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565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3873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762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1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color w:val="auto"/>
        </w:rPr>
        <w:t>Report of Foreign Private Issuer</w:t>
      </w:r>
    </w:p>
    <w:p>
      <w:pPr>
        <w:spacing w:after="0" w:line="2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color w:val="auto"/>
        </w:rPr>
        <w:t>Pursuant to Rule 13a-16 or 15d-16 under the</w:t>
      </w:r>
    </w:p>
    <w:p>
      <w:pPr>
        <w:spacing w:after="0" w:line="1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color w:val="auto"/>
        </w:rPr>
        <w:t>Securities Exchange Act of 1934</w:t>
      </w:r>
    </w:p>
    <w:p>
      <w:pPr>
        <w:spacing w:after="0" w:line="18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For the month of March 2024</w:t>
      </w:r>
    </w:p>
    <w:p>
      <w:pPr>
        <w:spacing w:after="0" w:line="20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color w:val="auto"/>
        </w:rPr>
        <w:t>Commission File Number: 001-14014</w:t>
      </w:r>
    </w:p>
    <w:p>
      <w:pPr>
        <w:spacing w:after="0" w:line="17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39"/>
          <w:szCs w:val="39"/>
          <w:b w:val="1"/>
          <w:bCs w:val="1"/>
          <w:color w:val="auto"/>
        </w:rPr>
        <w:t>CREDICORP LTD.</w:t>
      </w:r>
    </w:p>
    <w:p>
      <w:pPr>
        <w:spacing w:after="0" w:line="5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8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Of our subsidiary</w:t>
      </w:r>
    </w:p>
    <w:p>
      <w:pPr>
        <w:spacing w:after="0" w:line="2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Banco de Credito del Peru:</w:t>
      </w:r>
    </w:p>
    <w:p>
      <w:pPr>
        <w:spacing w:after="0" w:line="1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Calle Centenario 156</w:t>
      </w:r>
    </w:p>
    <w:p>
      <w:pPr>
        <w:spacing w:after="0" w:line="1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La Molina 15026</w:t>
      </w:r>
    </w:p>
    <w:p>
      <w:pPr>
        <w:spacing w:after="0" w:line="1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Lima, Peru</w:t>
      </w:r>
    </w:p>
    <w:p>
      <w:pPr>
        <w:spacing w:after="0" w:line="1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9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71" w:lineRule="exact"/>
        <w:rPr>
          <w:sz w:val="24"/>
          <w:szCs w:val="24"/>
          <w:color w:val="auto"/>
        </w:rPr>
      </w:pPr>
    </w:p>
    <w:p>
      <w:pPr>
        <w:ind w:left="466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101(b)(1): 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141605</wp:posOffset>
            </wp:positionV>
            <wp:extent cx="7145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157480</wp:posOffset>
            </wp:positionV>
            <wp:extent cx="714565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655" cy="3873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304800</wp:posOffset>
            </wp:positionV>
            <wp:extent cx="714565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099"/>
          </w:cols>
          <w:pgMar w:left="360" w:top="35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1791970" cy="224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91970" cy="224790"/>
                    </a:xfrm>
                    <a:prstGeom prst="rect">
                      <a:avLst/>
                    </a:prstGeom>
                    <a:noFill/>
                  </pic:spPr>
                </pic:pic>
              </a:graphicData>
            </a:graphic>
          </wp:anchor>
        </w:drawing>
        <w:t>March 04,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and Exchange Commission - SEC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Sirs:</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Please find attached a copy of the audited consolidated financial statements of Credicorp Ltd. (the Company”) and its subsidiaries, for the fiscal year ended on December 31, 2023, including the report of the external auditors Tanaka, Valdivia y Asociados Sociedad Civil de Responsabilidad Limitada, members of EY in Peru, approved by the Company’s Board of Directors in its session held on February 29, 2024, and which will be presented to the Annual General Meeting of Shareholders on March 27, 2024.</w:t>
      </w:r>
    </w:p>
    <w:p>
      <w:pPr>
        <w:spacing w:after="0" w:line="15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Representative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714565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9" w:lineRule="exact"/>
        <w:rPr>
          <w:sz w:val="20"/>
          <w:szCs w:val="20"/>
          <w:color w:val="auto"/>
        </w:rPr>
      </w:pPr>
    </w:p>
    <w:p>
      <w:pPr>
        <w:ind w:firstLine="293"/>
        <w:spacing w:after="0" w:line="29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Date: March 04, 2024</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(Registrant)</w:t>
      </w:r>
    </w:p>
    <w:p>
      <w:pPr>
        <w:spacing w:after="0" w:line="19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Guillermo Morales</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-115570</wp:posOffset>
            </wp:positionV>
            <wp:extent cx="23507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0770" cy="762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714565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 w:name="page4"/>
    <w:bookmarkEnd w:id="3"/>
    <w:p>
      <w:pPr>
        <w:ind w:left="101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565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65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126365</wp:posOffset>
            </wp:positionV>
            <wp:extent cx="3568700" cy="1062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8700" cy="1062990"/>
                    </a:xfrm>
                    <a:prstGeom prst="rect">
                      <a:avLst/>
                    </a:prstGeom>
                    <a:noFill/>
                  </pic:spPr>
                </pic:pic>
              </a:graphicData>
            </a:graphic>
          </wp:anchor>
        </w:drawing>
      </w:r>
    </w:p>
    <w:p>
      <w:pPr>
        <w:sectPr>
          <w:pgSz w:w="11900" w:h="16838" w:orient="portrait"/>
          <w:cols w:equalWidth="0" w:num="1">
            <w:col w:w="11040"/>
          </w:cols>
          <w:pgMar w:left="540" w:top="196" w:right="31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2023 AND 2022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356870</wp:posOffset>
            </wp:positionV>
            <wp:extent cx="7145655" cy="1217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655" cy="1217930"/>
                    </a:xfrm>
                    <a:prstGeom prst="rect">
                      <a:avLst/>
                    </a:prstGeom>
                    <a:noFill/>
                  </pic:spPr>
                </pic:pic>
              </a:graphicData>
            </a:graphic>
          </wp:anchor>
        </w:drawing>
      </w:r>
    </w:p>
    <w:p>
      <w:pPr>
        <w:sectPr>
          <w:pgSz w:w="11900" w:h="16838" w:orient="portrait"/>
          <w:cols w:equalWidth="0" w:num="1">
            <w:col w:w="11040"/>
          </w:cols>
          <w:pgMar w:left="540" w:top="196" w:right="319" w:bottom="1440" w:gutter="0" w:footer="0" w:header="0"/>
          <w:type w:val="continuous"/>
        </w:sectPr>
      </w:pPr>
    </w:p>
    <w:bookmarkStart w:id="4" w:name="page5"/>
    <w:bookmarkEnd w:id="4"/>
    <w:tbl>
      <w:tblPr>
        <w:tblLayout w:type="fixed"/>
        <w:tblInd w:w="2" w:type="dxa"/>
        <w:tblCellMar>
          <w:top w:w="0" w:type="dxa"/>
          <w:left w:w="0" w:type="dxa"/>
          <w:bottom w:w="0" w:type="dxa"/>
          <w:right w:w="0" w:type="dxa"/>
        </w:tblCellMar>
      </w:tblPr>
      <w:tr>
        <w:trPr>
          <w:trHeight w:val="223"/>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SUBSIDIARIES</w:t>
            </w:r>
          </w:p>
        </w:tc>
        <w:tc>
          <w:tcPr>
            <w:tcW w:w="3980" w:type="dxa"/>
            <w:vAlign w:val="bottom"/>
          </w:tcPr>
          <w:p>
            <w:pPr>
              <w:spacing w:after="0"/>
              <w:rPr>
                <w:sz w:val="19"/>
                <w:szCs w:val="19"/>
                <w:color w:val="auto"/>
              </w:rPr>
            </w:pPr>
          </w:p>
        </w:tc>
      </w:tr>
      <w:tr>
        <w:trPr>
          <w:trHeight w:val="326"/>
        </w:trPr>
        <w:tc>
          <w:tcPr>
            <w:tcW w:w="7280" w:type="dxa"/>
            <w:vAlign w:val="bottom"/>
            <w:gridSpan w:val="2"/>
          </w:tcPr>
          <w:p>
            <w:pPr>
              <w:spacing w:after="0"/>
              <w:rPr>
                <w:sz w:val="20"/>
                <w:szCs w:val="20"/>
                <w:color w:val="auto"/>
              </w:rPr>
            </w:pPr>
            <w:r>
              <w:rPr>
                <w:rFonts w:ascii="Arial" w:cs="Arial" w:eastAsia="Arial" w:hAnsi="Arial"/>
                <w:sz w:val="16"/>
                <w:szCs w:val="16"/>
                <w:color w:val="auto"/>
              </w:rPr>
              <w:t>CONSOLIDATED FINANCIAL STATEMENTS</w:t>
            </w:r>
          </w:p>
        </w:tc>
        <w:tc>
          <w:tcPr>
            <w:tcW w:w="3980" w:type="dxa"/>
            <w:vAlign w:val="bottom"/>
          </w:tcPr>
          <w:p>
            <w:pPr>
              <w:spacing w:after="0"/>
              <w:rPr>
                <w:sz w:val="24"/>
                <w:szCs w:val="24"/>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color w:val="auto"/>
              </w:rPr>
              <w:t>AS OF DECEMBER 31, 2023 AND 2022 (RESTATED)</w:t>
            </w:r>
          </w:p>
        </w:tc>
        <w:tc>
          <w:tcPr>
            <w:tcW w:w="3980" w:type="dxa"/>
            <w:vAlign w:val="bottom"/>
          </w:tcPr>
          <w:p>
            <w:pPr>
              <w:spacing w:after="0"/>
              <w:rPr>
                <w:sz w:val="18"/>
                <w:szCs w:val="18"/>
                <w:color w:val="auto"/>
              </w:rPr>
            </w:pPr>
          </w:p>
        </w:tc>
      </w:tr>
      <w:tr>
        <w:trPr>
          <w:trHeight w:val="367"/>
        </w:trPr>
        <w:tc>
          <w:tcPr>
            <w:tcW w:w="7280" w:type="dxa"/>
            <w:vAlign w:val="bottom"/>
            <w:gridSpan w:val="2"/>
          </w:tcPr>
          <w:p>
            <w:pPr>
              <w:spacing w:after="0"/>
              <w:rPr>
                <w:sz w:val="20"/>
                <w:szCs w:val="20"/>
                <w:color w:val="auto"/>
              </w:rPr>
            </w:pPr>
            <w:r>
              <w:rPr>
                <w:rFonts w:ascii="Arial" w:cs="Arial" w:eastAsia="Arial" w:hAnsi="Arial"/>
                <w:sz w:val="16"/>
                <w:szCs w:val="16"/>
                <w:color w:val="auto"/>
              </w:rPr>
              <w:t>CONTENTS</w:t>
            </w:r>
          </w:p>
        </w:tc>
        <w:tc>
          <w:tcPr>
            <w:tcW w:w="3980" w:type="dxa"/>
            <w:vAlign w:val="bottom"/>
          </w:tcPr>
          <w:p>
            <w:pPr>
              <w:jc w:val="right"/>
              <w:spacing w:after="0"/>
              <w:rPr>
                <w:sz w:val="20"/>
                <w:szCs w:val="20"/>
                <w:color w:val="auto"/>
              </w:rPr>
            </w:pPr>
            <w:r>
              <w:rPr>
                <w:rFonts w:ascii="Arial" w:cs="Arial" w:eastAsia="Arial" w:hAnsi="Arial"/>
                <w:sz w:val="16"/>
                <w:szCs w:val="16"/>
                <w:color w:val="auto"/>
              </w:rPr>
              <w:t>Pages</w:t>
            </w:r>
          </w:p>
        </w:tc>
      </w:tr>
      <w:tr>
        <w:trPr>
          <w:trHeight w:val="367"/>
        </w:trPr>
        <w:tc>
          <w:tcPr>
            <w:tcW w:w="7280" w:type="dxa"/>
            <w:vAlign w:val="bottom"/>
            <w:gridSpan w:val="2"/>
          </w:tcPr>
          <w:p>
            <w:pPr>
              <w:spacing w:after="0"/>
              <w:rPr>
                <w:sz w:val="20"/>
                <w:szCs w:val="20"/>
                <w:color w:val="auto"/>
              </w:rPr>
            </w:pPr>
            <w:r>
              <w:rPr>
                <w:rFonts w:ascii="Arial" w:cs="Arial" w:eastAsia="Arial" w:hAnsi="Arial"/>
                <w:sz w:val="16"/>
                <w:szCs w:val="16"/>
                <w:color w:val="auto"/>
              </w:rPr>
              <w:t>Independent auditor’s report</w:t>
            </w:r>
          </w:p>
        </w:tc>
        <w:tc>
          <w:tcPr>
            <w:tcW w:w="3980" w:type="dxa"/>
            <w:vAlign w:val="bottom"/>
          </w:tcPr>
          <w:p>
            <w:pPr>
              <w:spacing w:after="0"/>
              <w:rPr>
                <w:sz w:val="24"/>
                <w:szCs w:val="24"/>
                <w:color w:val="auto"/>
              </w:rPr>
            </w:pPr>
          </w:p>
        </w:tc>
      </w:tr>
      <w:tr>
        <w:trPr>
          <w:trHeight w:val="367"/>
        </w:trPr>
        <w:tc>
          <w:tcPr>
            <w:tcW w:w="7280" w:type="dxa"/>
            <w:vAlign w:val="bottom"/>
            <w:gridSpan w:val="2"/>
          </w:tcPr>
          <w:p>
            <w:pPr>
              <w:spacing w:after="0"/>
              <w:rPr>
                <w:sz w:val="20"/>
                <w:szCs w:val="20"/>
                <w:color w:val="auto"/>
              </w:rPr>
            </w:pPr>
            <w:r>
              <w:rPr>
                <w:rFonts w:ascii="Arial" w:cs="Arial" w:eastAsia="Arial" w:hAnsi="Arial"/>
                <w:sz w:val="16"/>
                <w:szCs w:val="16"/>
                <w:color w:val="auto"/>
              </w:rPr>
              <w:t>Consolidated statement of financial position</w:t>
            </w:r>
          </w:p>
        </w:tc>
        <w:tc>
          <w:tcPr>
            <w:tcW w:w="39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67"/>
        </w:trPr>
        <w:tc>
          <w:tcPr>
            <w:tcW w:w="7280" w:type="dxa"/>
            <w:vAlign w:val="bottom"/>
            <w:gridSpan w:val="2"/>
          </w:tcPr>
          <w:p>
            <w:pPr>
              <w:spacing w:after="0"/>
              <w:rPr>
                <w:sz w:val="20"/>
                <w:szCs w:val="20"/>
                <w:color w:val="auto"/>
              </w:rPr>
            </w:pPr>
            <w:r>
              <w:rPr>
                <w:rFonts w:ascii="Arial" w:cs="Arial" w:eastAsia="Arial" w:hAnsi="Arial"/>
                <w:sz w:val="16"/>
                <w:szCs w:val="16"/>
                <w:color w:val="auto"/>
              </w:rPr>
              <w:t>Consolidated statement of income</w:t>
            </w:r>
          </w:p>
        </w:tc>
        <w:tc>
          <w:tcPr>
            <w:tcW w:w="3980" w:type="dxa"/>
            <w:vAlign w:val="bottom"/>
          </w:tcPr>
          <w:p>
            <w:pPr>
              <w:jc w:val="right"/>
              <w:spacing w:after="0"/>
              <w:rPr>
                <w:sz w:val="20"/>
                <w:szCs w:val="20"/>
                <w:color w:val="auto"/>
              </w:rPr>
            </w:pPr>
            <w:r>
              <w:rPr>
                <w:rFonts w:ascii="Arial" w:cs="Arial" w:eastAsia="Arial" w:hAnsi="Arial"/>
                <w:sz w:val="16"/>
                <w:szCs w:val="16"/>
                <w:color w:val="auto"/>
              </w:rPr>
              <w:t>12 - 13</w:t>
            </w:r>
          </w:p>
        </w:tc>
      </w:tr>
      <w:tr>
        <w:trPr>
          <w:trHeight w:val="367"/>
        </w:trPr>
        <w:tc>
          <w:tcPr>
            <w:tcW w:w="7280" w:type="dxa"/>
            <w:vAlign w:val="bottom"/>
            <w:gridSpan w:val="2"/>
          </w:tcPr>
          <w:p>
            <w:pPr>
              <w:spacing w:after="0"/>
              <w:rPr>
                <w:sz w:val="20"/>
                <w:szCs w:val="20"/>
                <w:color w:val="auto"/>
              </w:rPr>
            </w:pPr>
            <w:r>
              <w:rPr>
                <w:rFonts w:ascii="Arial" w:cs="Arial" w:eastAsia="Arial" w:hAnsi="Arial"/>
                <w:sz w:val="16"/>
                <w:szCs w:val="16"/>
                <w:color w:val="auto"/>
              </w:rPr>
              <w:t>Consolidated statement of comprehensive income</w:t>
            </w:r>
          </w:p>
        </w:tc>
        <w:tc>
          <w:tcPr>
            <w:tcW w:w="39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67"/>
        </w:trPr>
        <w:tc>
          <w:tcPr>
            <w:tcW w:w="7280" w:type="dxa"/>
            <w:vAlign w:val="bottom"/>
            <w:gridSpan w:val="2"/>
          </w:tcPr>
          <w:p>
            <w:pPr>
              <w:spacing w:after="0"/>
              <w:rPr>
                <w:sz w:val="20"/>
                <w:szCs w:val="20"/>
                <w:color w:val="auto"/>
              </w:rPr>
            </w:pPr>
            <w:r>
              <w:rPr>
                <w:rFonts w:ascii="Arial" w:cs="Arial" w:eastAsia="Arial" w:hAnsi="Arial"/>
                <w:sz w:val="16"/>
                <w:szCs w:val="16"/>
                <w:color w:val="auto"/>
              </w:rPr>
              <w:t>Consolidated statement of changes in equity</w:t>
            </w:r>
          </w:p>
        </w:tc>
        <w:tc>
          <w:tcPr>
            <w:tcW w:w="3980" w:type="dxa"/>
            <w:vAlign w:val="bottom"/>
          </w:tcPr>
          <w:p>
            <w:pPr>
              <w:jc w:val="right"/>
              <w:spacing w:after="0"/>
              <w:rPr>
                <w:sz w:val="20"/>
                <w:szCs w:val="20"/>
                <w:color w:val="auto"/>
              </w:rPr>
            </w:pPr>
            <w:r>
              <w:rPr>
                <w:rFonts w:ascii="Arial" w:cs="Arial" w:eastAsia="Arial" w:hAnsi="Arial"/>
                <w:sz w:val="16"/>
                <w:szCs w:val="16"/>
                <w:color w:val="auto"/>
              </w:rPr>
              <w:t>15 - 16</w:t>
            </w:r>
          </w:p>
        </w:tc>
      </w:tr>
      <w:tr>
        <w:trPr>
          <w:trHeight w:val="367"/>
        </w:trPr>
        <w:tc>
          <w:tcPr>
            <w:tcW w:w="7280" w:type="dxa"/>
            <w:vAlign w:val="bottom"/>
            <w:gridSpan w:val="2"/>
          </w:tcPr>
          <w:p>
            <w:pPr>
              <w:spacing w:after="0"/>
              <w:rPr>
                <w:sz w:val="20"/>
                <w:szCs w:val="20"/>
                <w:color w:val="auto"/>
              </w:rPr>
            </w:pPr>
            <w:r>
              <w:rPr>
                <w:rFonts w:ascii="Arial" w:cs="Arial" w:eastAsia="Arial" w:hAnsi="Arial"/>
                <w:sz w:val="16"/>
                <w:szCs w:val="16"/>
                <w:color w:val="auto"/>
              </w:rPr>
              <w:t>Consolidated statement of cash flows</w:t>
            </w:r>
          </w:p>
        </w:tc>
        <w:tc>
          <w:tcPr>
            <w:tcW w:w="3980" w:type="dxa"/>
            <w:vAlign w:val="bottom"/>
          </w:tcPr>
          <w:p>
            <w:pPr>
              <w:jc w:val="right"/>
              <w:spacing w:after="0"/>
              <w:rPr>
                <w:sz w:val="20"/>
                <w:szCs w:val="20"/>
                <w:color w:val="auto"/>
              </w:rPr>
            </w:pPr>
            <w:r>
              <w:rPr>
                <w:rFonts w:ascii="Arial" w:cs="Arial" w:eastAsia="Arial" w:hAnsi="Arial"/>
                <w:sz w:val="16"/>
                <w:szCs w:val="16"/>
                <w:color w:val="auto"/>
              </w:rPr>
              <w:t>17 - 20</w:t>
            </w:r>
          </w:p>
        </w:tc>
      </w:tr>
      <w:tr>
        <w:trPr>
          <w:trHeight w:val="367"/>
        </w:trPr>
        <w:tc>
          <w:tcPr>
            <w:tcW w:w="7280" w:type="dxa"/>
            <w:vAlign w:val="bottom"/>
            <w:gridSpan w:val="2"/>
          </w:tcPr>
          <w:p>
            <w:pPr>
              <w:spacing w:after="0"/>
              <w:rPr>
                <w:sz w:val="20"/>
                <w:szCs w:val="20"/>
                <w:color w:val="auto"/>
              </w:rPr>
            </w:pPr>
            <w:r>
              <w:rPr>
                <w:rFonts w:ascii="Arial" w:cs="Arial" w:eastAsia="Arial" w:hAnsi="Arial"/>
                <w:sz w:val="16"/>
                <w:szCs w:val="16"/>
                <w:color w:val="auto"/>
              </w:rPr>
              <w:t>Notes to the consolidated financial statements</w:t>
            </w:r>
          </w:p>
        </w:tc>
        <w:tc>
          <w:tcPr>
            <w:tcW w:w="3980" w:type="dxa"/>
            <w:vAlign w:val="bottom"/>
          </w:tcPr>
          <w:p>
            <w:pPr>
              <w:jc w:val="right"/>
              <w:spacing w:after="0"/>
              <w:rPr>
                <w:sz w:val="20"/>
                <w:szCs w:val="20"/>
                <w:color w:val="auto"/>
              </w:rPr>
            </w:pPr>
            <w:r>
              <w:rPr>
                <w:rFonts w:ascii="Arial" w:cs="Arial" w:eastAsia="Arial" w:hAnsi="Arial"/>
                <w:sz w:val="16"/>
                <w:szCs w:val="16"/>
                <w:color w:val="auto"/>
              </w:rPr>
              <w:t>21 – 190</w:t>
            </w:r>
          </w:p>
        </w:tc>
      </w:tr>
      <w:tr>
        <w:trPr>
          <w:trHeight w:val="334"/>
        </w:trPr>
        <w:tc>
          <w:tcPr>
            <w:tcW w:w="7280" w:type="dxa"/>
            <w:vAlign w:val="bottom"/>
            <w:gridSpan w:val="2"/>
          </w:tcPr>
          <w:p>
            <w:pPr>
              <w:spacing w:after="0"/>
              <w:rPr>
                <w:sz w:val="20"/>
                <w:szCs w:val="20"/>
                <w:color w:val="auto"/>
              </w:rPr>
            </w:pPr>
            <w:r>
              <w:rPr>
                <w:rFonts w:ascii="Arial" w:cs="Arial" w:eastAsia="Arial" w:hAnsi="Arial"/>
                <w:sz w:val="16"/>
                <w:szCs w:val="16"/>
                <w:color w:val="auto"/>
              </w:rPr>
              <w:t>US$  = United States dollar</w:t>
            </w:r>
          </w:p>
        </w:tc>
        <w:tc>
          <w:tcPr>
            <w:tcW w:w="3980" w:type="dxa"/>
            <w:vAlign w:val="bottom"/>
          </w:tcPr>
          <w:p>
            <w:pPr>
              <w:spacing w:after="0"/>
              <w:rPr>
                <w:sz w:val="24"/>
                <w:szCs w:val="24"/>
                <w:color w:val="auto"/>
              </w:rPr>
            </w:pPr>
          </w:p>
        </w:tc>
      </w:tr>
      <w:tr>
        <w:trPr>
          <w:trHeight w:val="183"/>
        </w:trPr>
        <w:tc>
          <w:tcPr>
            <w:tcW w:w="320" w:type="dxa"/>
            <w:vAlign w:val="bottom"/>
          </w:tcPr>
          <w:p>
            <w:pPr>
              <w:spacing w:after="0"/>
              <w:rPr>
                <w:sz w:val="20"/>
                <w:szCs w:val="20"/>
                <w:color w:val="auto"/>
              </w:rPr>
            </w:pPr>
            <w:r>
              <w:rPr>
                <w:rFonts w:ascii="Arial" w:cs="Arial" w:eastAsia="Arial" w:hAnsi="Arial"/>
                <w:sz w:val="16"/>
                <w:szCs w:val="16"/>
                <w:color w:val="auto"/>
              </w:rPr>
              <w:t>S/</w:t>
            </w:r>
          </w:p>
        </w:tc>
        <w:tc>
          <w:tcPr>
            <w:tcW w:w="6960" w:type="dxa"/>
            <w:vAlign w:val="bottom"/>
          </w:tcPr>
          <w:p>
            <w:pPr>
              <w:ind w:left="120"/>
              <w:spacing w:after="0"/>
              <w:rPr>
                <w:sz w:val="20"/>
                <w:szCs w:val="20"/>
                <w:color w:val="auto"/>
              </w:rPr>
            </w:pPr>
            <w:r>
              <w:rPr>
                <w:rFonts w:ascii="Arial" w:cs="Arial" w:eastAsia="Arial" w:hAnsi="Arial"/>
                <w:sz w:val="16"/>
                <w:szCs w:val="16"/>
                <w:color w:val="auto"/>
              </w:rPr>
              <w:t>= Sol</w:t>
            </w:r>
          </w:p>
        </w:tc>
        <w:tc>
          <w:tcPr>
            <w:tcW w:w="3980" w:type="dxa"/>
            <w:vAlign w:val="bottom"/>
          </w:tcPr>
          <w:p>
            <w:pPr>
              <w:spacing w:after="0"/>
              <w:rPr>
                <w:sz w:val="15"/>
                <w:szCs w:val="15"/>
                <w:color w:val="auto"/>
              </w:rPr>
            </w:pPr>
          </w:p>
        </w:tc>
      </w:tr>
      <w:tr>
        <w:trPr>
          <w:trHeight w:val="199"/>
        </w:trPr>
        <w:tc>
          <w:tcPr>
            <w:tcW w:w="320" w:type="dxa"/>
            <w:vAlign w:val="bottom"/>
          </w:tcPr>
          <w:p>
            <w:pPr>
              <w:spacing w:after="0"/>
              <w:rPr>
                <w:sz w:val="20"/>
                <w:szCs w:val="20"/>
                <w:color w:val="auto"/>
              </w:rPr>
            </w:pPr>
            <w:r>
              <w:rPr>
                <w:rFonts w:ascii="Arial" w:cs="Arial" w:eastAsia="Arial" w:hAnsi="Arial"/>
                <w:sz w:val="16"/>
                <w:szCs w:val="16"/>
                <w:color w:val="auto"/>
              </w:rPr>
              <w:t>Bs</w:t>
            </w:r>
          </w:p>
        </w:tc>
        <w:tc>
          <w:tcPr>
            <w:tcW w:w="6960" w:type="dxa"/>
            <w:vAlign w:val="bottom"/>
          </w:tcPr>
          <w:p>
            <w:pPr>
              <w:ind w:left="120"/>
              <w:spacing w:after="0"/>
              <w:rPr>
                <w:sz w:val="20"/>
                <w:szCs w:val="20"/>
                <w:color w:val="auto"/>
              </w:rPr>
            </w:pPr>
            <w:r>
              <w:rPr>
                <w:rFonts w:ascii="Arial" w:cs="Arial" w:eastAsia="Arial" w:hAnsi="Arial"/>
                <w:sz w:val="16"/>
                <w:szCs w:val="16"/>
                <w:color w:val="auto"/>
              </w:rPr>
              <w:t>= Boliviano</w:t>
            </w:r>
          </w:p>
        </w:tc>
        <w:tc>
          <w:tcPr>
            <w:tcW w:w="3980" w:type="dxa"/>
            <w:vAlign w:val="bottom"/>
          </w:tcPr>
          <w:p>
            <w:pPr>
              <w:spacing w:after="0"/>
              <w:rPr>
                <w:sz w:val="17"/>
                <w:szCs w:val="17"/>
                <w:color w:val="auto"/>
              </w:rPr>
            </w:pPr>
          </w:p>
        </w:tc>
      </w:tr>
    </w:tbl>
    <w:p>
      <w:pPr>
        <w:ind w:left="442" w:hanging="442"/>
        <w:spacing w:after="0"/>
        <w:tabs>
          <w:tab w:leader="none" w:pos="442" w:val="left"/>
        </w:tabs>
        <w:numPr>
          <w:ilvl w:val="0"/>
          <w:numId w:val="1"/>
        </w:numPr>
        <w:rPr>
          <w:rFonts w:ascii="Arial" w:cs="Arial" w:eastAsia="Arial" w:hAnsi="Arial"/>
          <w:sz w:val="16"/>
          <w:szCs w:val="16"/>
          <w:color w:val="auto"/>
        </w:rPr>
      </w:pPr>
      <w:r>
        <w:rPr>
          <w:rFonts w:ascii="Arial" w:cs="Arial" w:eastAsia="Arial" w:hAnsi="Arial"/>
          <w:sz w:val="16"/>
          <w:szCs w:val="16"/>
          <w:color w:val="auto"/>
        </w:rPr>
        <w:t>= Colombian peso</w:t>
      </w:r>
    </w:p>
    <w:p>
      <w:pPr>
        <w:ind w:left="442" w:hanging="442"/>
        <w:spacing w:after="0"/>
        <w:tabs>
          <w:tab w:leader="none" w:pos="442" w:val="left"/>
        </w:tabs>
        <w:numPr>
          <w:ilvl w:val="0"/>
          <w:numId w:val="2"/>
        </w:numPr>
        <w:rPr>
          <w:rFonts w:ascii="Arial" w:cs="Arial" w:eastAsia="Arial" w:hAnsi="Arial"/>
          <w:sz w:val="16"/>
          <w:szCs w:val="16"/>
          <w:color w:val="auto"/>
        </w:rPr>
      </w:pPr>
      <w:r>
        <w:rPr>
          <w:rFonts w:ascii="Arial" w:cs="Arial" w:eastAsia="Arial" w:hAnsi="Arial"/>
          <w:sz w:val="16"/>
          <w:szCs w:val="16"/>
          <w:color w:val="auto"/>
        </w:rPr>
        <w:t>= 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565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2"/>
          </w:cols>
          <w:pgMar w:left="318" w:top="124" w:right="319" w:bottom="1440" w:gutter="0" w:footer="0" w:header="0"/>
        </w:sectPr>
      </w:pPr>
    </w:p>
    <w:bookmarkStart w:id="5" w:name="page6"/>
    <w:bookmarkEnd w:id="5"/>
    <w:p>
      <w:pPr>
        <w:ind w:left="1700"/>
        <w:spacing w:after="0"/>
        <w:rPr>
          <w:sz w:val="20"/>
          <w:szCs w:val="20"/>
          <w:color w:val="auto"/>
        </w:rPr>
      </w:pPr>
      <w:r>
        <w:rPr>
          <w:rFonts w:ascii="Arial" w:cs="Arial" w:eastAsia="Arial" w:hAnsi="Arial"/>
          <w:sz w:val="16"/>
          <w:szCs w:val="16"/>
          <w:b w:val="1"/>
          <w:bCs w:val="1"/>
          <w:color w:val="2D2D38"/>
        </w:rPr>
        <w:drawing>
          <wp:anchor simplePos="0" relativeHeight="251657728" behindDoc="1" locked="0" layoutInCell="0" allowOverlap="1">
            <wp:simplePos x="0" y="0"/>
            <wp:positionH relativeFrom="page">
              <wp:posOffset>201930</wp:posOffset>
            </wp:positionH>
            <wp:positionV relativeFrom="page">
              <wp:posOffset>88900</wp:posOffset>
            </wp:positionV>
            <wp:extent cx="775970" cy="907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75970" cy="907415"/>
                    </a:xfrm>
                    <a:prstGeom prst="rect">
                      <a:avLst/>
                    </a:prstGeom>
                    <a:noFill/>
                  </pic:spPr>
                </pic:pic>
              </a:graphicData>
            </a:graphic>
          </wp:anchor>
        </w:drawing>
        <w:t>Tanaka, Valdivia &amp; Asociados</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2D2D38"/>
        </w:rPr>
        <w:t>Sociedad Civil de R. 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Report of the Independent Auditors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333333"/>
        </w:rPr>
        <w:t>To the Shareholders and Directors of Credicorp Ltd. and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Opinion</w:t>
      </w:r>
    </w:p>
    <w:p>
      <w:pPr>
        <w:spacing w:after="0" w:line="181"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333333"/>
        </w:rPr>
        <w:t>We have a</w:t>
      </w:r>
      <w:r>
        <w:rPr>
          <w:rFonts w:ascii="Arial" w:cs="Arial" w:eastAsia="Arial" w:hAnsi="Arial"/>
          <w:sz w:val="16"/>
          <w:szCs w:val="16"/>
          <w:color w:val="000000"/>
        </w:rPr>
        <w:t>udited the consolidated financial statements of Credicorp Ltd. and Subsidiaries (hereinafter “the Group”), which comprise the consolidated</w:t>
      </w:r>
      <w:r>
        <w:rPr>
          <w:rFonts w:ascii="Arial" w:cs="Arial" w:eastAsia="Arial" w:hAnsi="Arial"/>
          <w:sz w:val="16"/>
          <w:szCs w:val="16"/>
          <w:color w:val="333333"/>
        </w:rPr>
        <w:t xml:space="preserve"> </w:t>
      </w:r>
      <w:r>
        <w:rPr>
          <w:rFonts w:ascii="Arial" w:cs="Arial" w:eastAsia="Arial" w:hAnsi="Arial"/>
          <w:sz w:val="16"/>
          <w:szCs w:val="16"/>
          <w:color w:val="000000"/>
        </w:rPr>
        <w:t>statement of financial position as of December 31, 2023, and the consolidated statements of income, comprehensive income, changes in equity and cash flows for the year then ended; as well as the explanatory notes to the consolidated financial statements, which include a summary of material accounting policies.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our opinion, the accompanying consolidated financial statements present fairly, in all material respects, the consolidated financial position of the Group as of December 31, 2023, as well as its consolidated financial performance and cash flows for the year then ended, in accordance with International Financial Reporting Standards (IFRSs) issued by the International Accounting Standards Board.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181"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 xml:space="preserve">We conduct our audit in accordance with the International Standards on Auditing (ISAs) approved for application in Peru by the Board of Deans of Associations of Public Accountants of Peru. Our responsibilities under these standards are described in more detail in the </w:t>
      </w:r>
      <w:r>
        <w:rPr>
          <w:rFonts w:ascii="Arial" w:cs="Arial" w:eastAsia="Arial" w:hAnsi="Arial"/>
          <w:sz w:val="16"/>
          <w:szCs w:val="16"/>
          <w:i w:val="1"/>
          <w:iCs w:val="1"/>
          <w:color w:val="auto"/>
        </w:rPr>
        <w:t>Auditor’s responsibilities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audit of the consolidated financial statements </w:t>
      </w:r>
      <w:r>
        <w:rPr>
          <w:rFonts w:ascii="Arial" w:cs="Arial" w:eastAsia="Arial" w:hAnsi="Arial"/>
          <w:sz w:val="16"/>
          <w:szCs w:val="16"/>
          <w:color w:val="auto"/>
        </w:rPr>
        <w:t>section of our report. We are independent of the Group in accordance with the Code of Ethics for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Professionals of the International Ethical Standards Council for Accountants (IESBA Code) together with the ethical requirements that are relevant to our audit of the financial statements in Peru, and we have complied with our other ethical responsibilities in accordance with these requirements and the IESBA Code. We believe that the audit evidence we have obtained provides a sufficient and adequate basis for our opinion.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Key Audit Matters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Key audit matters are those matters that, in our professional judgment, were of the greatest importance in the audit of the financial statements for the current period. These matters were addressed in the context of the audit of the financial statements as a whole, and in forming our opinion thereon; so we do not provide a separate opinion on these matters. Based on the above, below is how each key issue was addressed during our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97790</wp:posOffset>
            </wp:positionV>
            <wp:extent cx="7620" cy="93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0" cy="93345"/>
                    </a:xfrm>
                    <a:prstGeom prst="rect">
                      <a:avLst/>
                    </a:prstGeom>
                    <a:noFill/>
                  </pic:spPr>
                </pic:pic>
              </a:graphicData>
            </a:graphic>
          </wp:anchor>
        </w:drawing>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1940" w:type="dxa"/>
            <w:vAlign w:val="bottom"/>
          </w:tcPr>
          <w:p>
            <w:pPr>
              <w:spacing w:after="0"/>
              <w:rPr>
                <w:sz w:val="20"/>
                <w:szCs w:val="20"/>
                <w:color w:val="auto"/>
              </w:rPr>
            </w:pPr>
            <w:r>
              <w:rPr>
                <w:rFonts w:ascii="Arial" w:cs="Arial" w:eastAsia="Arial" w:hAnsi="Arial"/>
                <w:sz w:val="13"/>
                <w:szCs w:val="13"/>
                <w:color w:val="auto"/>
              </w:rPr>
              <w:t>Lima</w:t>
            </w:r>
          </w:p>
        </w:tc>
        <w:tc>
          <w:tcPr>
            <w:tcW w:w="3280" w:type="dxa"/>
            <w:vAlign w:val="bottom"/>
            <w:tcBorders>
              <w:right w:val="single" w:sz="8" w:color="FDF268"/>
            </w:tcBorders>
          </w:tcPr>
          <w:p>
            <w:pPr>
              <w:ind w:left="720"/>
              <w:spacing w:after="0"/>
              <w:rPr>
                <w:sz w:val="20"/>
                <w:szCs w:val="20"/>
                <w:color w:val="auto"/>
              </w:rPr>
            </w:pPr>
            <w:r>
              <w:rPr>
                <w:rFonts w:ascii="Arial" w:cs="Arial" w:eastAsia="Arial" w:hAnsi="Arial"/>
                <w:sz w:val="13"/>
                <w:szCs w:val="13"/>
                <w:color w:val="auto"/>
              </w:rPr>
              <w:t>Lima II</w:t>
            </w:r>
          </w:p>
        </w:tc>
        <w:tc>
          <w:tcPr>
            <w:tcW w:w="2660" w:type="dxa"/>
            <w:vAlign w:val="bottom"/>
            <w:tcBorders>
              <w:right w:val="single" w:sz="8" w:color="FDF268"/>
            </w:tcBorders>
          </w:tcPr>
          <w:p>
            <w:pPr>
              <w:ind w:left="140"/>
              <w:spacing w:after="0"/>
              <w:rPr>
                <w:sz w:val="20"/>
                <w:szCs w:val="20"/>
                <w:color w:val="auto"/>
              </w:rPr>
            </w:pPr>
            <w:r>
              <w:rPr>
                <w:rFonts w:ascii="Arial" w:cs="Arial" w:eastAsia="Arial" w:hAnsi="Arial"/>
                <w:sz w:val="13"/>
                <w:szCs w:val="13"/>
                <w:color w:val="auto"/>
              </w:rPr>
              <w:t>Arequipa</w:t>
            </w:r>
          </w:p>
        </w:tc>
        <w:tc>
          <w:tcPr>
            <w:tcW w:w="2000" w:type="dxa"/>
            <w:vAlign w:val="bottom"/>
          </w:tcPr>
          <w:p>
            <w:pPr>
              <w:ind w:left="140"/>
              <w:spacing w:after="0"/>
              <w:rPr>
                <w:sz w:val="20"/>
                <w:szCs w:val="20"/>
                <w:color w:val="auto"/>
              </w:rPr>
            </w:pPr>
            <w:r>
              <w:rPr>
                <w:rFonts w:ascii="Arial" w:cs="Arial" w:eastAsia="Arial" w:hAnsi="Arial"/>
                <w:sz w:val="13"/>
                <w:szCs w:val="13"/>
                <w:color w:val="auto"/>
              </w:rPr>
              <w:t>Trujillo</w:t>
            </w:r>
          </w:p>
        </w:tc>
      </w:tr>
      <w:tr>
        <w:trPr>
          <w:trHeight w:val="139"/>
        </w:trPr>
        <w:tc>
          <w:tcPr>
            <w:tcW w:w="1940" w:type="dxa"/>
            <w:vAlign w:val="bottom"/>
          </w:tcPr>
          <w:p>
            <w:pPr>
              <w:spacing w:after="0" w:line="139" w:lineRule="exact"/>
              <w:rPr>
                <w:sz w:val="20"/>
                <w:szCs w:val="20"/>
                <w:color w:val="auto"/>
              </w:rPr>
            </w:pPr>
            <w:r>
              <w:rPr>
                <w:rFonts w:ascii="Arial" w:cs="Arial" w:eastAsia="Arial" w:hAnsi="Arial"/>
                <w:sz w:val="13"/>
                <w:szCs w:val="13"/>
                <w:color w:val="auto"/>
              </w:rPr>
              <w:t>Av. Víctor Andrés</w:t>
            </w:r>
          </w:p>
        </w:tc>
        <w:tc>
          <w:tcPr>
            <w:tcW w:w="3280" w:type="dxa"/>
            <w:vAlign w:val="bottom"/>
          </w:tcPr>
          <w:p>
            <w:pPr>
              <w:ind w:left="720"/>
              <w:spacing w:after="0" w:line="139" w:lineRule="exact"/>
              <w:rPr>
                <w:sz w:val="20"/>
                <w:szCs w:val="20"/>
                <w:color w:val="auto"/>
              </w:rPr>
            </w:pPr>
            <w:r>
              <w:rPr>
                <w:rFonts w:ascii="Arial" w:cs="Arial" w:eastAsia="Arial" w:hAnsi="Arial"/>
                <w:sz w:val="13"/>
                <w:szCs w:val="13"/>
                <w:color w:val="auto"/>
              </w:rPr>
              <w:t>Av. Jorge Basadre 330</w:t>
            </w:r>
          </w:p>
        </w:tc>
        <w:tc>
          <w:tcPr>
            <w:tcW w:w="2660" w:type="dxa"/>
            <w:vAlign w:val="bottom"/>
          </w:tcPr>
          <w:p>
            <w:pPr>
              <w:ind w:left="120"/>
              <w:spacing w:after="0" w:line="139" w:lineRule="exact"/>
              <w:rPr>
                <w:sz w:val="20"/>
                <w:szCs w:val="20"/>
                <w:color w:val="auto"/>
              </w:rPr>
            </w:pPr>
            <w:r>
              <w:rPr>
                <w:rFonts w:ascii="Arial" w:cs="Arial" w:eastAsia="Arial" w:hAnsi="Arial"/>
                <w:sz w:val="13"/>
                <w:szCs w:val="13"/>
                <w:color w:val="auto"/>
              </w:rPr>
              <w:t>Av. Bolognesi 407</w:t>
            </w:r>
          </w:p>
        </w:tc>
        <w:tc>
          <w:tcPr>
            <w:tcW w:w="2000" w:type="dxa"/>
            <w:vAlign w:val="bottom"/>
          </w:tcPr>
          <w:p>
            <w:pPr>
              <w:ind w:left="120"/>
              <w:spacing w:after="0" w:line="139" w:lineRule="exact"/>
              <w:rPr>
                <w:sz w:val="20"/>
                <w:szCs w:val="20"/>
                <w:color w:val="auto"/>
              </w:rPr>
            </w:pPr>
            <w:r>
              <w:rPr>
                <w:rFonts w:ascii="Arial" w:cs="Arial" w:eastAsia="Arial" w:hAnsi="Arial"/>
                <w:sz w:val="13"/>
                <w:szCs w:val="13"/>
                <w:color w:val="auto"/>
              </w:rPr>
              <w:t>Av. El Golf 591 Urb. Del Golf III</w:t>
            </w:r>
          </w:p>
        </w:tc>
      </w:tr>
      <w:tr>
        <w:trPr>
          <w:trHeight w:val="147"/>
        </w:trPr>
        <w:tc>
          <w:tcPr>
            <w:tcW w:w="1940" w:type="dxa"/>
            <w:vAlign w:val="bottom"/>
          </w:tcPr>
          <w:p>
            <w:pPr>
              <w:spacing w:after="0" w:line="147" w:lineRule="exact"/>
              <w:rPr>
                <w:sz w:val="20"/>
                <w:szCs w:val="20"/>
                <w:color w:val="auto"/>
              </w:rPr>
            </w:pPr>
            <w:r>
              <w:rPr>
                <w:rFonts w:ascii="Arial" w:cs="Arial" w:eastAsia="Arial" w:hAnsi="Arial"/>
                <w:sz w:val="13"/>
                <w:szCs w:val="13"/>
                <w:color w:val="auto"/>
              </w:rPr>
              <w:t>Belaunde 171</w:t>
            </w:r>
          </w:p>
        </w:tc>
        <w:tc>
          <w:tcPr>
            <w:tcW w:w="3280" w:type="dxa"/>
            <w:vAlign w:val="bottom"/>
          </w:tcPr>
          <w:p>
            <w:pPr>
              <w:ind w:left="720"/>
              <w:spacing w:after="0" w:line="147" w:lineRule="exact"/>
              <w:rPr>
                <w:sz w:val="20"/>
                <w:szCs w:val="20"/>
                <w:color w:val="auto"/>
              </w:rPr>
            </w:pPr>
            <w:r>
              <w:rPr>
                <w:rFonts w:ascii="Arial" w:cs="Arial" w:eastAsia="Arial" w:hAnsi="Arial"/>
                <w:sz w:val="13"/>
                <w:szCs w:val="13"/>
                <w:color w:val="auto"/>
              </w:rPr>
              <w:t>San Isidro</w:t>
            </w:r>
          </w:p>
        </w:tc>
        <w:tc>
          <w:tcPr>
            <w:tcW w:w="2660" w:type="dxa"/>
            <w:vAlign w:val="bottom"/>
          </w:tcPr>
          <w:p>
            <w:pPr>
              <w:ind w:left="120"/>
              <w:spacing w:after="0" w:line="147" w:lineRule="exact"/>
              <w:rPr>
                <w:sz w:val="20"/>
                <w:szCs w:val="20"/>
                <w:color w:val="auto"/>
              </w:rPr>
            </w:pPr>
            <w:r>
              <w:rPr>
                <w:rFonts w:ascii="Arial" w:cs="Arial" w:eastAsia="Arial" w:hAnsi="Arial"/>
                <w:sz w:val="13"/>
                <w:szCs w:val="13"/>
                <w:color w:val="auto"/>
              </w:rPr>
              <w:t>Yanahuara</w:t>
            </w:r>
          </w:p>
        </w:tc>
        <w:tc>
          <w:tcPr>
            <w:tcW w:w="2000" w:type="dxa"/>
            <w:vAlign w:val="bottom"/>
          </w:tcPr>
          <w:p>
            <w:pPr>
              <w:ind w:left="120"/>
              <w:spacing w:after="0" w:line="147" w:lineRule="exact"/>
              <w:rPr>
                <w:sz w:val="20"/>
                <w:szCs w:val="20"/>
                <w:color w:val="auto"/>
              </w:rPr>
            </w:pPr>
            <w:r>
              <w:rPr>
                <w:rFonts w:ascii="Arial" w:cs="Arial" w:eastAsia="Arial" w:hAnsi="Arial"/>
                <w:sz w:val="13"/>
                <w:szCs w:val="13"/>
                <w:color w:val="auto"/>
              </w:rPr>
              <w:t>Victor Larco Herrera 13009,</w:t>
            </w:r>
          </w:p>
        </w:tc>
      </w:tr>
      <w:tr>
        <w:trPr>
          <w:trHeight w:val="147"/>
        </w:trPr>
        <w:tc>
          <w:tcPr>
            <w:tcW w:w="1940" w:type="dxa"/>
            <w:vAlign w:val="bottom"/>
          </w:tcPr>
          <w:p>
            <w:pPr>
              <w:spacing w:after="0" w:line="147" w:lineRule="exact"/>
              <w:rPr>
                <w:sz w:val="20"/>
                <w:szCs w:val="20"/>
                <w:color w:val="auto"/>
              </w:rPr>
            </w:pPr>
            <w:r>
              <w:rPr>
                <w:rFonts w:ascii="Arial" w:cs="Arial" w:eastAsia="Arial" w:hAnsi="Arial"/>
                <w:sz w:val="13"/>
                <w:szCs w:val="13"/>
                <w:color w:val="auto"/>
              </w:rPr>
              <w:t>San Isidro</w:t>
            </w:r>
          </w:p>
        </w:tc>
        <w:tc>
          <w:tcPr>
            <w:tcW w:w="3280" w:type="dxa"/>
            <w:vAlign w:val="bottom"/>
          </w:tcPr>
          <w:p>
            <w:pPr>
              <w:ind w:left="720"/>
              <w:spacing w:after="0" w:line="147" w:lineRule="exact"/>
              <w:rPr>
                <w:sz w:val="20"/>
                <w:szCs w:val="20"/>
                <w:color w:val="auto"/>
              </w:rPr>
            </w:pPr>
            <w:r>
              <w:rPr>
                <w:rFonts w:ascii="Arial" w:cs="Arial" w:eastAsia="Arial" w:hAnsi="Arial"/>
                <w:sz w:val="13"/>
                <w:szCs w:val="13"/>
                <w:color w:val="auto"/>
              </w:rPr>
              <w:t>Tel: +51 (1) 411 4444</w:t>
            </w:r>
          </w:p>
        </w:tc>
        <w:tc>
          <w:tcPr>
            <w:tcW w:w="2660" w:type="dxa"/>
            <w:vAlign w:val="bottom"/>
          </w:tcPr>
          <w:p>
            <w:pPr>
              <w:ind w:left="120"/>
              <w:spacing w:after="0" w:line="147" w:lineRule="exact"/>
              <w:rPr>
                <w:sz w:val="20"/>
                <w:szCs w:val="20"/>
                <w:color w:val="auto"/>
              </w:rPr>
            </w:pPr>
            <w:r>
              <w:rPr>
                <w:rFonts w:ascii="Arial" w:cs="Arial" w:eastAsia="Arial" w:hAnsi="Arial"/>
                <w:sz w:val="13"/>
                <w:szCs w:val="13"/>
                <w:color w:val="auto"/>
              </w:rPr>
              <w:t>Tel: +51 (54) 484 470</w:t>
            </w:r>
          </w:p>
        </w:tc>
        <w:tc>
          <w:tcPr>
            <w:tcW w:w="2000" w:type="dxa"/>
            <w:vAlign w:val="bottom"/>
          </w:tcPr>
          <w:p>
            <w:pPr>
              <w:ind w:left="120"/>
              <w:spacing w:after="0" w:line="147" w:lineRule="exact"/>
              <w:rPr>
                <w:sz w:val="20"/>
                <w:szCs w:val="20"/>
                <w:color w:val="auto"/>
              </w:rPr>
            </w:pPr>
            <w:r>
              <w:rPr>
                <w:rFonts w:ascii="Arial" w:cs="Arial" w:eastAsia="Arial" w:hAnsi="Arial"/>
                <w:sz w:val="13"/>
                <w:szCs w:val="13"/>
                <w:color w:val="auto"/>
                <w:w w:val="98"/>
              </w:rPr>
              <w:t>Sede Miguel Ángel Ouijano Doig</w:t>
            </w:r>
          </w:p>
        </w:tc>
      </w:tr>
      <w:tr>
        <w:trPr>
          <w:trHeight w:val="147"/>
        </w:trPr>
        <w:tc>
          <w:tcPr>
            <w:tcW w:w="1940" w:type="dxa"/>
            <w:vAlign w:val="bottom"/>
          </w:tcPr>
          <w:p>
            <w:pPr>
              <w:spacing w:after="0" w:line="147" w:lineRule="exact"/>
              <w:rPr>
                <w:sz w:val="20"/>
                <w:szCs w:val="20"/>
                <w:color w:val="auto"/>
              </w:rPr>
            </w:pPr>
            <w:r>
              <w:rPr>
                <w:rFonts w:ascii="Arial" w:cs="Arial" w:eastAsia="Arial" w:hAnsi="Arial"/>
                <w:sz w:val="13"/>
                <w:szCs w:val="13"/>
                <w:color w:val="auto"/>
              </w:rPr>
              <w:t>Tel: +51 (1) 411 4444</w:t>
            </w:r>
          </w:p>
        </w:tc>
        <w:tc>
          <w:tcPr>
            <w:tcW w:w="3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0" w:type="dxa"/>
            <w:vAlign w:val="bottom"/>
          </w:tcPr>
          <w:p>
            <w:pPr>
              <w:ind w:left="120"/>
              <w:spacing w:after="0" w:line="147" w:lineRule="exact"/>
              <w:rPr>
                <w:sz w:val="20"/>
                <w:szCs w:val="20"/>
                <w:color w:val="auto"/>
              </w:rPr>
            </w:pPr>
            <w:r>
              <w:rPr>
                <w:rFonts w:ascii="Arial" w:cs="Arial" w:eastAsia="Arial" w:hAnsi="Arial"/>
                <w:sz w:val="13"/>
                <w:szCs w:val="13"/>
                <w:color w:val="auto"/>
              </w:rPr>
              <w:t>La Libertad</w:t>
            </w:r>
          </w:p>
        </w:tc>
      </w:tr>
      <w:tr>
        <w:trPr>
          <w:trHeight w:val="172"/>
        </w:trPr>
        <w:tc>
          <w:tcPr>
            <w:tcW w:w="19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0" w:type="dxa"/>
            <w:vAlign w:val="bottom"/>
          </w:tcPr>
          <w:p>
            <w:pPr>
              <w:ind w:left="120"/>
              <w:spacing w:after="0"/>
              <w:rPr>
                <w:sz w:val="20"/>
                <w:szCs w:val="20"/>
                <w:color w:val="auto"/>
              </w:rPr>
            </w:pPr>
            <w:r>
              <w:rPr>
                <w:rFonts w:ascii="Arial" w:cs="Arial" w:eastAsia="Arial" w:hAnsi="Arial"/>
                <w:sz w:val="13"/>
                <w:szCs w:val="13"/>
                <w:color w:val="auto"/>
              </w:rPr>
              <w:t>Tel: +51 (44) 608 830</w:t>
            </w:r>
          </w:p>
        </w:tc>
      </w:tr>
    </w:tbl>
    <w:p>
      <w:pPr>
        <w:spacing w:after="0" w:line="15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Inscrita en la partida 11396556 del Registro de Personas Juridicas de Lima y Callao</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Miembro de Ernst &amp; Young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96520</wp:posOffset>
            </wp:positionV>
            <wp:extent cx="714565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 w:name="page7"/>
    <w:bookmarkEnd w:id="6"/>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75970" cy="907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75970" cy="9074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Report of the Independent Auditors (continue)</w:t>
      </w:r>
    </w:p>
    <w:p>
      <w:pPr>
        <w:spacing w:after="0" w:line="183"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333333"/>
        </w:rPr>
        <w:t xml:space="preserve">We have complied with the responsibilities described </w:t>
      </w:r>
      <w:r>
        <w:rPr>
          <w:rFonts w:ascii="Arial" w:cs="Arial" w:eastAsia="Arial" w:hAnsi="Arial"/>
          <w:sz w:val="16"/>
          <w:szCs w:val="16"/>
          <w:i w:val="1"/>
          <w:iCs w:val="1"/>
          <w:color w:val="333333"/>
        </w:rPr>
        <w:t>in Auditor’s responsibilities for the audit of the consolidated financial statements</w:t>
      </w:r>
      <w:r>
        <w:rPr>
          <w:rFonts w:ascii="Arial" w:cs="Arial" w:eastAsia="Arial" w:hAnsi="Arial"/>
          <w:sz w:val="16"/>
          <w:szCs w:val="16"/>
          <w:color w:val="333333"/>
        </w:rPr>
        <w:t xml:space="preserve"> section of our report, including in relation to these matters. Accordingly, our audit included the performance of procedures designed to respond to the risks of material misstatement assessed in the consolidated financial statements. The results of the audit procedures, including the procedures undertaken to address the matters mentioned below, form the basis for the audit opinion on the accompanying consolidated financial statements.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5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333333"/>
              </w:rPr>
              <w:t>Key Audit Matters</w:t>
            </w:r>
          </w:p>
        </w:tc>
        <w:tc>
          <w:tcPr>
            <w:tcW w:w="6720" w:type="dxa"/>
            <w:vAlign w:val="bottom"/>
            <w:tcBorders>
              <w:bottom w:val="single" w:sz="8" w:color="auto"/>
            </w:tcBorders>
          </w:tcPr>
          <w:p>
            <w:pPr>
              <w:ind w:left="1200"/>
              <w:spacing w:after="0"/>
              <w:rPr>
                <w:sz w:val="20"/>
                <w:szCs w:val="20"/>
                <w:color w:val="auto"/>
              </w:rPr>
            </w:pPr>
            <w:r>
              <w:rPr>
                <w:rFonts w:ascii="Arial" w:cs="Arial" w:eastAsia="Arial" w:hAnsi="Arial"/>
                <w:sz w:val="16"/>
                <w:szCs w:val="16"/>
                <w:b w:val="1"/>
                <w:bCs w:val="1"/>
                <w:color w:val="333333"/>
              </w:rPr>
              <w:t>Audit Response</w:t>
            </w: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b w:val="1"/>
                <w:bCs w:val="1"/>
                <w:color w:val="333333"/>
              </w:rPr>
              <w:t>Information Technology (IT) Environment</w:t>
            </w:r>
          </w:p>
        </w:tc>
        <w:tc>
          <w:tcPr>
            <w:tcW w:w="6720" w:type="dxa"/>
            <w:vAlign w:val="bottom"/>
          </w:tcPr>
          <w:p>
            <w:pPr>
              <w:spacing w:after="0"/>
              <w:rPr>
                <w:sz w:val="18"/>
                <w:szCs w:val="18"/>
                <w:color w:val="auto"/>
              </w:rPr>
            </w:pPr>
          </w:p>
        </w:tc>
      </w:tr>
    </w:tbl>
    <w:p>
      <w:pPr>
        <w:spacing w:after="0" w:line="126" w:lineRule="exact"/>
        <w:rPr>
          <w:sz w:val="20"/>
          <w:szCs w:val="20"/>
          <w:color w:val="auto"/>
        </w:rPr>
      </w:pPr>
    </w:p>
    <w:p>
      <w:pPr>
        <w:sectPr>
          <w:pgSz w:w="11900" w:h="16838" w:orient="portrait"/>
          <w:cols w:equalWidth="0" w:num="1">
            <w:col w:w="11260"/>
          </w:cols>
          <w:pgMar w:left="320" w:top="1440" w:right="319" w:bottom="1440" w:gutter="0" w:footer="0" w:header="0"/>
        </w:sectPr>
      </w:pPr>
    </w:p>
    <w:p>
      <w:pPr>
        <w:ind w:left="140"/>
        <w:spacing w:after="0" w:line="244" w:lineRule="auto"/>
        <w:rPr>
          <w:sz w:val="20"/>
          <w:szCs w:val="20"/>
          <w:color w:val="auto"/>
        </w:rPr>
      </w:pPr>
      <w:r>
        <w:rPr>
          <w:rFonts w:ascii="Arial" w:cs="Arial" w:eastAsia="Arial" w:hAnsi="Arial"/>
          <w:sz w:val="16"/>
          <w:szCs w:val="16"/>
          <w:color w:val="333333"/>
        </w:rPr>
        <w:t>The Group’s information technology (IT) environment consists of an infrastructure of a large number of key systems for the processing of its operations, accounting records and preparation of its consolidated financial statements. In addition, the Group’s Management has designed a series of automatic controls, interfaces between the systems and executed calculations of the applications; with the aim of ensuring the completeness and accuracy of accounting records and accurate financial reports, and thus mitigating the potential risk of fraud or error.</w:t>
      </w:r>
    </w:p>
    <w:p>
      <w:pPr>
        <w:spacing w:after="0" w:line="153" w:lineRule="exact"/>
        <w:rPr>
          <w:sz w:val="20"/>
          <w:szCs w:val="20"/>
          <w:color w:val="auto"/>
        </w:rPr>
      </w:pPr>
    </w:p>
    <w:p>
      <w:pPr>
        <w:ind w:left="140" w:right="20"/>
        <w:spacing w:after="0" w:line="249" w:lineRule="auto"/>
        <w:rPr>
          <w:sz w:val="20"/>
          <w:szCs w:val="20"/>
          <w:color w:val="auto"/>
        </w:rPr>
      </w:pPr>
      <w:r>
        <w:rPr>
          <w:rFonts w:ascii="Arial" w:cs="Arial" w:eastAsia="Arial" w:hAnsi="Arial"/>
          <w:sz w:val="16"/>
          <w:szCs w:val="16"/>
          <w:color w:val="333333"/>
        </w:rPr>
        <w:t>In light of the above, we consider the information technology environment to be a key issue, as the Group depends on the efficient and continuous operation of IT applications as well as their automatic controls, so there is a risk that breaches in the IT control environment may result in accounting records being materially misstated.</w:t>
      </w:r>
    </w:p>
    <w:p>
      <w:pPr>
        <w:spacing w:after="0" w:line="20" w:lineRule="exact"/>
        <w:rPr>
          <w:sz w:val="20"/>
          <w:szCs w:val="20"/>
          <w:color w:val="auto"/>
        </w:rPr>
      </w:pPr>
      <w:r>
        <w:rPr>
          <w:sz w:val="20"/>
          <w:szCs w:val="20"/>
          <w:color w:val="auto"/>
        </w:rPr>
        <w:br w:type="column"/>
      </w:r>
    </w:p>
    <w:p>
      <w:pPr>
        <w:ind w:right="80"/>
        <w:spacing w:after="0" w:line="252" w:lineRule="auto"/>
        <w:rPr>
          <w:sz w:val="20"/>
          <w:szCs w:val="20"/>
          <w:color w:val="auto"/>
        </w:rPr>
      </w:pPr>
      <w:r>
        <w:rPr>
          <w:rFonts w:ascii="Arial" w:cs="Arial" w:eastAsia="Arial" w:hAnsi="Arial"/>
          <w:sz w:val="16"/>
          <w:szCs w:val="16"/>
          <w:color w:val="333333"/>
        </w:rPr>
        <w:t>With the support of our Information Technology (IT) specialists, our audit efforts focused on the key systems related to the processing of its operations, accounting records and preparation of the Group’s consolidated financial statements; performing the following procedures:</w:t>
      </w:r>
    </w:p>
    <w:p>
      <w:pPr>
        <w:spacing w:after="0" w:line="144" w:lineRule="exact"/>
        <w:rPr>
          <w:sz w:val="20"/>
          <w:szCs w:val="20"/>
          <w:color w:val="auto"/>
        </w:rPr>
      </w:pPr>
    </w:p>
    <w:p>
      <w:pPr>
        <w:ind w:left="280" w:hanging="280"/>
        <w:spacing w:after="0"/>
        <w:tabs>
          <w:tab w:leader="none" w:pos="280" w:val="left"/>
        </w:tabs>
        <w:numPr>
          <w:ilvl w:val="0"/>
          <w:numId w:val="3"/>
        </w:numPr>
        <w:rPr>
          <w:rFonts w:ascii="Arial" w:cs="Arial" w:eastAsia="Arial" w:hAnsi="Arial"/>
          <w:sz w:val="16"/>
          <w:szCs w:val="16"/>
          <w:color w:val="333333"/>
        </w:rPr>
      </w:pPr>
      <w:r>
        <w:rPr>
          <w:rFonts w:ascii="Arial" w:cs="Arial" w:eastAsia="Arial" w:hAnsi="Arial"/>
          <w:sz w:val="16"/>
          <w:szCs w:val="16"/>
          <w:color w:val="333333"/>
        </w:rPr>
        <w:t>Evaluation of the Group’s IT governance framework.</w:t>
      </w:r>
    </w:p>
    <w:p>
      <w:pPr>
        <w:spacing w:after="0" w:line="15" w:lineRule="exact"/>
        <w:rPr>
          <w:rFonts w:ascii="Arial" w:cs="Arial" w:eastAsia="Arial" w:hAnsi="Arial"/>
          <w:sz w:val="16"/>
          <w:szCs w:val="16"/>
          <w:color w:val="333333"/>
        </w:rPr>
      </w:pPr>
    </w:p>
    <w:p>
      <w:pPr>
        <w:ind w:left="300" w:right="60" w:hanging="300"/>
        <w:spacing w:after="0" w:line="239" w:lineRule="auto"/>
        <w:tabs>
          <w:tab w:leader="none" w:pos="287" w:val="left"/>
        </w:tabs>
        <w:numPr>
          <w:ilvl w:val="0"/>
          <w:numId w:val="3"/>
        </w:numPr>
        <w:rPr>
          <w:rFonts w:ascii="Arial" w:cs="Arial" w:eastAsia="Arial" w:hAnsi="Arial"/>
          <w:sz w:val="16"/>
          <w:szCs w:val="16"/>
          <w:color w:val="333333"/>
        </w:rPr>
      </w:pPr>
      <w:r>
        <w:rPr>
          <w:rFonts w:ascii="Arial" w:cs="Arial" w:eastAsia="Arial" w:hAnsi="Arial"/>
          <w:sz w:val="16"/>
          <w:szCs w:val="16"/>
          <w:color w:val="333333"/>
        </w:rPr>
        <w:t>Understanding of the control environment and identification of risks of IT processes.</w:t>
      </w:r>
    </w:p>
    <w:p>
      <w:pPr>
        <w:ind w:left="300" w:right="360" w:hanging="300"/>
        <w:spacing w:after="0" w:line="239" w:lineRule="auto"/>
        <w:tabs>
          <w:tab w:leader="none" w:pos="284" w:val="left"/>
        </w:tabs>
        <w:numPr>
          <w:ilvl w:val="0"/>
          <w:numId w:val="3"/>
        </w:numPr>
        <w:rPr>
          <w:rFonts w:ascii="Arial" w:cs="Arial" w:eastAsia="Arial" w:hAnsi="Arial"/>
          <w:sz w:val="16"/>
          <w:szCs w:val="16"/>
          <w:color w:val="333333"/>
        </w:rPr>
      </w:pPr>
      <w:r>
        <w:rPr>
          <w:rFonts w:ascii="Arial" w:cs="Arial" w:eastAsia="Arial" w:hAnsi="Arial"/>
          <w:sz w:val="16"/>
          <w:szCs w:val="16"/>
          <w:color w:val="333333"/>
        </w:rPr>
        <w:t>Testing key controls over application and data access management, program changes and application development, and IT operations.</w:t>
      </w:r>
    </w:p>
    <w:p>
      <w:pPr>
        <w:ind w:left="300" w:right="80" w:hanging="300"/>
        <w:spacing w:after="0" w:line="239" w:lineRule="auto"/>
        <w:tabs>
          <w:tab w:leader="none" w:pos="284" w:val="left"/>
        </w:tabs>
        <w:numPr>
          <w:ilvl w:val="0"/>
          <w:numId w:val="3"/>
        </w:numPr>
        <w:rPr>
          <w:rFonts w:ascii="Arial" w:cs="Arial" w:eastAsia="Arial" w:hAnsi="Arial"/>
          <w:sz w:val="16"/>
          <w:szCs w:val="16"/>
          <w:color w:val="333333"/>
        </w:rPr>
      </w:pPr>
      <w:r>
        <w:rPr>
          <w:rFonts w:ascii="Arial" w:cs="Arial" w:eastAsia="Arial" w:hAnsi="Arial"/>
          <w:sz w:val="16"/>
          <w:szCs w:val="16"/>
          <w:color w:val="333333"/>
        </w:rPr>
        <w:t>Testing of the design and operational effectiveness of the key automatic controls identified in the various relevant processes of the Group.</w:t>
      </w:r>
    </w:p>
    <w:p>
      <w:pPr>
        <w:ind w:left="300" w:right="620" w:hanging="300"/>
        <w:spacing w:after="0" w:line="259" w:lineRule="auto"/>
        <w:tabs>
          <w:tab w:leader="none" w:pos="284" w:val="left"/>
        </w:tabs>
        <w:numPr>
          <w:ilvl w:val="0"/>
          <w:numId w:val="3"/>
        </w:numPr>
        <w:rPr>
          <w:rFonts w:ascii="Arial" w:cs="Arial" w:eastAsia="Arial" w:hAnsi="Arial"/>
          <w:sz w:val="16"/>
          <w:szCs w:val="16"/>
          <w:color w:val="333333"/>
        </w:rPr>
      </w:pPr>
      <w:r>
        <w:rPr>
          <w:rFonts w:ascii="Arial" w:cs="Arial" w:eastAsia="Arial" w:hAnsi="Arial"/>
          <w:sz w:val="16"/>
          <w:szCs w:val="16"/>
          <w:color w:val="333333"/>
        </w:rPr>
        <w:t>Testing of the design and operational effectiveness of applicable compensation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81915</wp:posOffset>
            </wp:positionV>
            <wp:extent cx="714565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2">
            <w:col w:w="5500" w:space="240"/>
            <w:col w:w="5520"/>
          </w:cols>
          <w:pgMar w:left="320" w:top="1440" w:right="319" w:bottom="1440" w:gutter="0" w:footer="0" w:header="0"/>
          <w:type w:val="continuous"/>
        </w:sectPr>
      </w:pPr>
    </w:p>
    <w:bookmarkStart w:id="7" w:name="page8"/>
    <w:bookmarkEnd w:id="7"/>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75970" cy="907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75970" cy="907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20"/>
                <w:szCs w:val="20"/>
                <w:color w:val="auto"/>
              </w:rPr>
            </w:pPr>
            <w:r>
              <w:rPr>
                <w:rFonts w:ascii="Arial" w:cs="Arial" w:eastAsia="Arial" w:hAnsi="Arial"/>
                <w:sz w:val="16"/>
                <w:szCs w:val="16"/>
                <w:color w:val="auto"/>
              </w:rPr>
              <w:t>Report of the Independent Auditors (continue)</w:t>
            </w:r>
          </w:p>
        </w:tc>
        <w:tc>
          <w:tcPr>
            <w:tcW w:w="6640" w:type="dxa"/>
            <w:vAlign w:val="bottom"/>
          </w:tcPr>
          <w:p>
            <w:pPr>
              <w:spacing w:after="0"/>
              <w:rPr>
                <w:sz w:val="18"/>
                <w:szCs w:val="18"/>
                <w:color w:val="auto"/>
              </w:rPr>
            </w:pPr>
          </w:p>
        </w:tc>
      </w:tr>
      <w:tr>
        <w:trPr>
          <w:trHeight w:val="351"/>
        </w:trPr>
        <w:tc>
          <w:tcPr>
            <w:tcW w:w="46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333333"/>
              </w:rPr>
              <w:t>Key Audit Matters</w:t>
            </w:r>
          </w:p>
        </w:tc>
        <w:tc>
          <w:tcPr>
            <w:tcW w:w="664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333333"/>
              </w:rPr>
              <w:t>Audit Response</w:t>
            </w:r>
          </w:p>
        </w:tc>
      </w:tr>
      <w:tr>
        <w:trPr>
          <w:trHeight w:val="216"/>
        </w:trPr>
        <w:tc>
          <w:tcPr>
            <w:tcW w:w="4620" w:type="dxa"/>
            <w:vAlign w:val="bottom"/>
          </w:tcPr>
          <w:p>
            <w:pPr>
              <w:ind w:left="140"/>
              <w:spacing w:after="0"/>
              <w:rPr>
                <w:sz w:val="20"/>
                <w:szCs w:val="20"/>
                <w:color w:val="auto"/>
              </w:rPr>
            </w:pPr>
            <w:r>
              <w:rPr>
                <w:rFonts w:ascii="Arial" w:cs="Arial" w:eastAsia="Arial" w:hAnsi="Arial"/>
                <w:sz w:val="16"/>
                <w:szCs w:val="16"/>
                <w:b w:val="1"/>
                <w:bCs w:val="1"/>
                <w:color w:val="333333"/>
              </w:rPr>
              <w:t>Provision for credit losses on loan portfolio</w:t>
            </w:r>
          </w:p>
        </w:tc>
        <w:tc>
          <w:tcPr>
            <w:tcW w:w="6640" w:type="dxa"/>
            <w:vAlign w:val="bottom"/>
          </w:tcPr>
          <w:p>
            <w:pPr>
              <w:spacing w:after="0"/>
              <w:rPr>
                <w:sz w:val="18"/>
                <w:szCs w:val="18"/>
                <w:color w:val="auto"/>
              </w:rPr>
            </w:pPr>
          </w:p>
        </w:tc>
      </w:tr>
    </w:tbl>
    <w:p>
      <w:pPr>
        <w:spacing w:after="0" w:line="126" w:lineRule="exact"/>
        <w:rPr>
          <w:sz w:val="20"/>
          <w:szCs w:val="20"/>
          <w:color w:val="auto"/>
        </w:rPr>
      </w:pPr>
    </w:p>
    <w:p>
      <w:pPr>
        <w:sectPr>
          <w:pgSz w:w="11900" w:h="16838" w:orient="portrait"/>
          <w:cols w:equalWidth="0" w:num="1">
            <w:col w:w="11260"/>
          </w:cols>
          <w:pgMar w:left="320" w:top="1440" w:right="319" w:bottom="1440" w:gutter="0" w:footer="0" w:header="0"/>
        </w:sectPr>
      </w:pPr>
    </w:p>
    <w:p>
      <w:pPr>
        <w:ind w:left="140"/>
        <w:spacing w:after="0" w:line="244" w:lineRule="auto"/>
        <w:rPr>
          <w:sz w:val="20"/>
          <w:szCs w:val="20"/>
          <w:color w:val="auto"/>
        </w:rPr>
      </w:pPr>
      <w:r>
        <w:rPr>
          <w:rFonts w:ascii="Arial" w:cs="Arial" w:eastAsia="Arial" w:hAnsi="Arial"/>
          <w:sz w:val="16"/>
          <w:szCs w:val="16"/>
          <w:color w:val="333333"/>
        </w:rPr>
        <w:t>As described in notes 3(j), 7 and 30.1 of the Group’s consolidated financial statements, the measurement of expected credit loss is based primarily on the product of the probability of default (PD), the loss given the default (LGD), and the exposure at the time of default (EAD), discounted at the reporting date and considering the expected macroeconomic effects. The expected credit loss impairment model reflects the present value of all cash deficit events related to the default events, either (i) over the next twelve months or (ii) over the expected life of the loan depending on its impairment from inception.</w:t>
      </w:r>
    </w:p>
    <w:p>
      <w:pPr>
        <w:spacing w:after="0" w:line="149" w:lineRule="exact"/>
        <w:rPr>
          <w:sz w:val="20"/>
          <w:szCs w:val="20"/>
          <w:color w:val="auto"/>
        </w:rPr>
      </w:pPr>
    </w:p>
    <w:p>
      <w:pPr>
        <w:ind w:left="140"/>
        <w:spacing w:after="0" w:line="241" w:lineRule="auto"/>
        <w:rPr>
          <w:sz w:val="20"/>
          <w:szCs w:val="20"/>
          <w:color w:val="auto"/>
        </w:rPr>
      </w:pPr>
      <w:r>
        <w:rPr>
          <w:rFonts w:ascii="Arial" w:cs="Arial" w:eastAsia="Arial" w:hAnsi="Arial"/>
          <w:sz w:val="16"/>
          <w:szCs w:val="16"/>
          <w:color w:val="333333"/>
        </w:rPr>
        <w:t>Significant assumptions and judgments considered by the Group, with respect to the estimation of the expected loss, include: (i) the probability of default, based on the debtor’s payment behavior and credit risk management based primarily on the Group’s internal rating and scoring models; (ii) the loss assigned for default, which is considered to determine the fair value of the guarantees and recoveries; (iii) the determination of the exposure balance at a future default date, which takes into account expected changes in exposure after the reporting date, including principal and interest repayments; (iv) forward-looking forecasts for multiple economic scenarios and the probability weighting of those scenarios; (v) the determination of when a loan has experienced a significant increase in credit risk; (vi) the individual analysis of corporate clients classified in phase 3, mainly considering the situation of the recoverability of the guarantees, analysis of financial statements and sector in which the debtor operates; (vii) the calculation of credit losses for 12 months and over the expected life of the credit agreement; and (viii) the application of the judgment specifically for the current situation of the El Niño phenomenon affecting our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210820</wp:posOffset>
            </wp:positionV>
            <wp:extent cx="714565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60"/>
        <w:spacing w:after="0" w:line="244" w:lineRule="auto"/>
        <w:rPr>
          <w:sz w:val="20"/>
          <w:szCs w:val="20"/>
          <w:color w:val="auto"/>
        </w:rPr>
      </w:pPr>
      <w:r>
        <w:rPr>
          <w:rFonts w:ascii="Arial" w:cs="Arial" w:eastAsia="Arial" w:hAnsi="Arial"/>
          <w:sz w:val="16"/>
          <w:szCs w:val="16"/>
          <w:color w:val="333333"/>
        </w:rPr>
        <w:t>We gained an understanding, evaluated the design and tested the operational effectiveness of the controls of the expected loss provision estimation process for the Group’s loan portfolio, which included the following procedures:</w:t>
      </w:r>
    </w:p>
    <w:p>
      <w:pPr>
        <w:spacing w:after="0" w:line="1" w:lineRule="exact"/>
        <w:rPr>
          <w:sz w:val="20"/>
          <w:szCs w:val="20"/>
          <w:color w:val="auto"/>
        </w:rPr>
      </w:pPr>
    </w:p>
    <w:p>
      <w:pPr>
        <w:ind w:left="300" w:right="820" w:hanging="300"/>
        <w:spacing w:after="0" w:line="239" w:lineRule="auto"/>
        <w:tabs>
          <w:tab w:leader="none" w:pos="287"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Evaluation of the methodology and criteria established for the calculation according to IFRS9.</w:t>
      </w:r>
    </w:p>
    <w:p>
      <w:pPr>
        <w:ind w:left="300" w:right="80" w:hanging="300"/>
        <w:spacing w:after="0" w:line="239" w:lineRule="auto"/>
        <w:tabs>
          <w:tab w:leader="none" w:pos="287"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Evaluation of the methodology and criteria related to the estimate made by the Group corresponding to the current situation of the El Niño phenomenon.</w:t>
      </w:r>
    </w:p>
    <w:p>
      <w:pPr>
        <w:ind w:left="300" w:right="60" w:hanging="300"/>
        <w:spacing w:after="0" w:line="239" w:lineRule="auto"/>
        <w:tabs>
          <w:tab w:leader="none" w:pos="287"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Evaluation of the significant models and assumptions established by the Group in the calculation, such as: PD, LGD, EAD, scores, rating and forward-looking information forecasts for multiple economic scenarios and the probability weighting of those scenarios.</w:t>
      </w:r>
    </w:p>
    <w:p>
      <w:pPr>
        <w:ind w:left="280" w:hanging="280"/>
        <w:spacing w:after="0"/>
        <w:tabs>
          <w:tab w:leader="none" w:pos="280"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Completeness and accuracy of the database in the Group’s systems.</w:t>
      </w:r>
    </w:p>
    <w:p>
      <w:pPr>
        <w:ind w:left="300" w:right="260" w:hanging="300"/>
        <w:spacing w:after="0" w:line="239" w:lineRule="auto"/>
        <w:tabs>
          <w:tab w:leader="none" w:pos="287"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Identification of impairment indicators and determination of significant changes in credit risk.</w:t>
      </w:r>
    </w:p>
    <w:p>
      <w:pPr>
        <w:ind w:left="280" w:hanging="280"/>
        <w:spacing w:after="0"/>
        <w:tabs>
          <w:tab w:leader="none" w:pos="280"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Individual analysis of corporate clients classified in phase 3.</w:t>
      </w:r>
    </w:p>
    <w:p>
      <w:pPr>
        <w:ind w:left="280" w:hanging="280"/>
        <w:spacing w:after="0"/>
        <w:tabs>
          <w:tab w:leader="none" w:pos="280"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Calculation of the expected loss estimate for the loan portfolio.</w:t>
      </w:r>
    </w:p>
    <w:p>
      <w:pPr>
        <w:ind w:left="300" w:right="80" w:hanging="300"/>
        <w:spacing w:after="0" w:line="259" w:lineRule="auto"/>
        <w:tabs>
          <w:tab w:leader="none" w:pos="287"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Review of disclosures included in the notes to the consolidated financial statements.</w:t>
      </w:r>
    </w:p>
    <w:p>
      <w:pPr>
        <w:spacing w:after="0" w:line="137" w:lineRule="exact"/>
        <w:rPr>
          <w:sz w:val="20"/>
          <w:szCs w:val="20"/>
          <w:color w:val="auto"/>
        </w:rPr>
      </w:pPr>
    </w:p>
    <w:p>
      <w:pPr>
        <w:ind w:right="540"/>
        <w:spacing w:after="0" w:line="249" w:lineRule="auto"/>
        <w:rPr>
          <w:sz w:val="20"/>
          <w:szCs w:val="20"/>
          <w:color w:val="auto"/>
        </w:rPr>
      </w:pPr>
      <w:r>
        <w:rPr>
          <w:rFonts w:ascii="Arial" w:cs="Arial" w:eastAsia="Arial" w:hAnsi="Arial"/>
          <w:sz w:val="16"/>
          <w:szCs w:val="16"/>
          <w:color w:val="333333"/>
        </w:rPr>
        <w:t>In addition, with the support of our specialists, we carried out detailed substantive procedures, which included:</w:t>
      </w:r>
    </w:p>
    <w:p>
      <w:pPr>
        <w:spacing w:after="0" w:line="1" w:lineRule="exact"/>
        <w:rPr>
          <w:sz w:val="20"/>
          <w:szCs w:val="20"/>
          <w:color w:val="auto"/>
        </w:rPr>
      </w:pPr>
    </w:p>
    <w:p>
      <w:pPr>
        <w:ind w:left="300" w:right="120" w:hanging="300"/>
        <w:spacing w:after="0" w:line="239" w:lineRule="auto"/>
        <w:tabs>
          <w:tab w:leader="none" w:pos="278" w:val="left"/>
        </w:tabs>
        <w:numPr>
          <w:ilvl w:val="0"/>
          <w:numId w:val="5"/>
        </w:numPr>
        <w:rPr>
          <w:rFonts w:ascii="Arial" w:cs="Arial" w:eastAsia="Arial" w:hAnsi="Arial"/>
          <w:sz w:val="16"/>
          <w:szCs w:val="16"/>
          <w:color w:val="333333"/>
        </w:rPr>
      </w:pPr>
      <w:r>
        <w:rPr>
          <w:rFonts w:ascii="Arial" w:cs="Arial" w:eastAsia="Arial" w:hAnsi="Arial"/>
          <w:sz w:val="16"/>
          <w:szCs w:val="16"/>
          <w:color w:val="333333"/>
        </w:rPr>
        <w:t>Assessment that the methodology, assumptions and judgments used in the expected loss estimation models are consistent with the requirements of IFRS9 and the Group’s accounting policies.</w:t>
      </w:r>
    </w:p>
    <w:p>
      <w:pPr>
        <w:ind w:left="300" w:right="400" w:hanging="300"/>
        <w:spacing w:after="0" w:line="249" w:lineRule="auto"/>
        <w:tabs>
          <w:tab w:leader="none" w:pos="284" w:val="left"/>
        </w:tabs>
        <w:numPr>
          <w:ilvl w:val="0"/>
          <w:numId w:val="5"/>
        </w:numPr>
        <w:rPr>
          <w:rFonts w:ascii="Arial" w:cs="Arial" w:eastAsia="Arial" w:hAnsi="Arial"/>
          <w:sz w:val="16"/>
          <w:szCs w:val="16"/>
          <w:color w:val="333333"/>
        </w:rPr>
      </w:pPr>
      <w:r>
        <w:rPr>
          <w:rFonts w:ascii="Arial" w:cs="Arial" w:eastAsia="Arial" w:hAnsi="Arial"/>
          <w:sz w:val="16"/>
          <w:szCs w:val="16"/>
          <w:color w:val="333333"/>
        </w:rPr>
        <w:t>Testing the completeness and accuracy of the data used in the calculation of the provision and, selectively, checking the main data against the source systems.</w:t>
      </w:r>
    </w:p>
    <w:p>
      <w:pPr>
        <w:sectPr>
          <w:pgSz w:w="11900" w:h="16838" w:orient="portrait"/>
          <w:cols w:equalWidth="0" w:num="2">
            <w:col w:w="5500" w:space="240"/>
            <w:col w:w="5520"/>
          </w:cols>
          <w:pgMar w:left="320" w:top="1440" w:right="319" w:bottom="1440" w:gutter="0" w:footer="0" w:header="0"/>
          <w:type w:val="continuous"/>
        </w:sectPr>
      </w:pPr>
    </w:p>
    <w:bookmarkStart w:id="8" w:name="page9"/>
    <w:bookmarkEnd w:id="8"/>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75970" cy="907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75970" cy="9074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Report of the Independent Auditors (continue)</w:t>
      </w:r>
    </w:p>
    <w:p>
      <w:pPr>
        <w:spacing w:after="0" w:line="183" w:lineRule="exact"/>
        <w:rPr>
          <w:sz w:val="20"/>
          <w:szCs w:val="20"/>
          <w:color w:val="auto"/>
        </w:rPr>
      </w:pPr>
    </w:p>
    <w:p>
      <w:pPr>
        <w:ind w:left="140"/>
        <w:spacing w:after="0"/>
        <w:tabs>
          <w:tab w:leader="none" w:pos="5720" w:val="left"/>
        </w:tabs>
        <w:rPr>
          <w:sz w:val="20"/>
          <w:szCs w:val="20"/>
          <w:color w:val="auto"/>
        </w:rPr>
      </w:pPr>
      <w:r>
        <w:rPr>
          <w:rFonts w:ascii="Arial" w:cs="Arial" w:eastAsia="Arial" w:hAnsi="Arial"/>
          <w:sz w:val="16"/>
          <w:szCs w:val="16"/>
          <w:b w:val="1"/>
          <w:bCs w:val="1"/>
          <w:color w:val="333333"/>
        </w:rPr>
        <w:t>Key Audit Matters</w:t>
      </w:r>
      <w:r>
        <w:rPr>
          <w:sz w:val="20"/>
          <w:szCs w:val="20"/>
          <w:color w:val="auto"/>
        </w:rPr>
        <w:tab/>
      </w:r>
      <w:r>
        <w:rPr>
          <w:rFonts w:ascii="Arial" w:cs="Arial" w:eastAsia="Arial" w:hAnsi="Arial"/>
          <w:sz w:val="16"/>
          <w:szCs w:val="16"/>
          <w:b w:val="1"/>
          <w:bCs w:val="1"/>
          <w:color w:val="333333"/>
        </w:rPr>
        <w:t>Audit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456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27" w:lineRule="exact"/>
        <w:rPr>
          <w:sz w:val="20"/>
          <w:szCs w:val="20"/>
          <w:color w:val="auto"/>
        </w:rPr>
      </w:pPr>
    </w:p>
    <w:p>
      <w:pPr>
        <w:ind w:left="140"/>
        <w:spacing w:after="0" w:line="241" w:lineRule="auto"/>
        <w:rPr>
          <w:sz w:val="20"/>
          <w:szCs w:val="20"/>
          <w:color w:val="auto"/>
        </w:rPr>
      </w:pPr>
      <w:r>
        <w:rPr>
          <w:rFonts w:ascii="Arial" w:cs="Arial" w:eastAsia="Arial" w:hAnsi="Arial"/>
          <w:sz w:val="16"/>
          <w:szCs w:val="16"/>
          <w:color w:val="333333"/>
        </w:rPr>
        <w:t>In view of the above, we consider that the estimate of expected loss for the loan portfolio is a key audit matter, given that any change in assumptions and/or judgments could have material effects on the calculation of the provision. In addition, the determination of accounting figures requires the participation of specialists due to the inherent complexity of the models, assumptions, judgments, prospective nature of the key assumptions, and the interrelationship of critical variables in the measurement.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00" w:hanging="300"/>
        <w:spacing w:after="0" w:line="239" w:lineRule="auto"/>
        <w:tabs>
          <w:tab w:leader="none" w:pos="287" w:val="left"/>
        </w:tabs>
        <w:numPr>
          <w:ilvl w:val="0"/>
          <w:numId w:val="6"/>
        </w:numPr>
        <w:rPr>
          <w:rFonts w:ascii="Arial" w:cs="Arial" w:eastAsia="Arial" w:hAnsi="Arial"/>
          <w:sz w:val="16"/>
          <w:szCs w:val="16"/>
          <w:color w:val="333333"/>
        </w:rPr>
      </w:pPr>
      <w:r>
        <w:rPr>
          <w:rFonts w:ascii="Arial" w:cs="Arial" w:eastAsia="Arial" w:hAnsi="Arial"/>
          <w:sz w:val="16"/>
          <w:szCs w:val="16"/>
          <w:color w:val="333333"/>
        </w:rPr>
        <w:t>Comparison of the Group’s macroeconomic projections (forward-looking information) with publicly available information from independent sources.</w:t>
      </w:r>
    </w:p>
    <w:p>
      <w:pPr>
        <w:ind w:left="280" w:hanging="280"/>
        <w:spacing w:after="0"/>
        <w:tabs>
          <w:tab w:leader="none" w:pos="280" w:val="left"/>
        </w:tabs>
        <w:numPr>
          <w:ilvl w:val="0"/>
          <w:numId w:val="6"/>
        </w:numPr>
        <w:rPr>
          <w:rFonts w:ascii="Arial" w:cs="Arial" w:eastAsia="Arial" w:hAnsi="Arial"/>
          <w:sz w:val="16"/>
          <w:szCs w:val="16"/>
          <w:color w:val="333333"/>
        </w:rPr>
      </w:pPr>
      <w:r>
        <w:rPr>
          <w:rFonts w:ascii="Arial" w:cs="Arial" w:eastAsia="Arial" w:hAnsi="Arial"/>
          <w:sz w:val="16"/>
          <w:szCs w:val="16"/>
          <w:color w:val="333333"/>
        </w:rPr>
        <w:t>Assessment of significant changes in credit risk triggers.</w:t>
      </w:r>
    </w:p>
    <w:p>
      <w:pPr>
        <w:ind w:left="300" w:right="320" w:hanging="300"/>
        <w:spacing w:after="0" w:line="239" w:lineRule="auto"/>
        <w:tabs>
          <w:tab w:leader="none" w:pos="287" w:val="left"/>
        </w:tabs>
        <w:numPr>
          <w:ilvl w:val="0"/>
          <w:numId w:val="6"/>
        </w:numPr>
        <w:rPr>
          <w:rFonts w:ascii="Arial" w:cs="Arial" w:eastAsia="Arial" w:hAnsi="Arial"/>
          <w:sz w:val="16"/>
          <w:szCs w:val="16"/>
          <w:color w:val="333333"/>
        </w:rPr>
      </w:pPr>
      <w:r>
        <w:rPr>
          <w:rFonts w:ascii="Arial" w:cs="Arial" w:eastAsia="Arial" w:hAnsi="Arial"/>
          <w:sz w:val="16"/>
          <w:szCs w:val="16"/>
          <w:color w:val="333333"/>
        </w:rPr>
        <w:t>Evaluation of the estimate made by the Group related to the current situation of the El Niño phenomenon.</w:t>
      </w:r>
    </w:p>
    <w:p>
      <w:pPr>
        <w:ind w:left="300" w:right="400" w:hanging="300"/>
        <w:spacing w:after="0" w:line="239" w:lineRule="auto"/>
        <w:tabs>
          <w:tab w:leader="none" w:pos="287" w:val="left"/>
        </w:tabs>
        <w:numPr>
          <w:ilvl w:val="0"/>
          <w:numId w:val="6"/>
        </w:numPr>
        <w:rPr>
          <w:rFonts w:ascii="Arial" w:cs="Arial" w:eastAsia="Arial" w:hAnsi="Arial"/>
          <w:sz w:val="16"/>
          <w:szCs w:val="16"/>
          <w:color w:val="333333"/>
        </w:rPr>
      </w:pPr>
      <w:r>
        <w:rPr>
          <w:rFonts w:ascii="Arial" w:cs="Arial" w:eastAsia="Arial" w:hAnsi="Arial"/>
          <w:sz w:val="16"/>
          <w:szCs w:val="16"/>
          <w:color w:val="333333"/>
        </w:rPr>
        <w:t>Evaluation of corporate clients classified in phase 3 that the Group analyzes individually.</w:t>
      </w:r>
    </w:p>
    <w:p>
      <w:pPr>
        <w:ind w:left="300" w:right="100" w:hanging="300"/>
        <w:spacing w:after="0" w:line="239" w:lineRule="auto"/>
        <w:tabs>
          <w:tab w:leader="none" w:pos="287" w:val="left"/>
        </w:tabs>
        <w:numPr>
          <w:ilvl w:val="0"/>
          <w:numId w:val="6"/>
        </w:numPr>
        <w:rPr>
          <w:rFonts w:ascii="Arial" w:cs="Arial" w:eastAsia="Arial" w:hAnsi="Arial"/>
          <w:sz w:val="16"/>
          <w:szCs w:val="16"/>
          <w:color w:val="333333"/>
        </w:rPr>
      </w:pPr>
      <w:r>
        <w:rPr>
          <w:rFonts w:ascii="Arial" w:cs="Arial" w:eastAsia="Arial" w:hAnsi="Arial"/>
          <w:sz w:val="16"/>
          <w:szCs w:val="16"/>
          <w:color w:val="333333"/>
        </w:rPr>
        <w:t>Independently testing the calculation of the estimate of the provision of credits.</w:t>
      </w:r>
    </w:p>
    <w:p>
      <w:pPr>
        <w:ind w:left="300" w:right="320" w:hanging="300"/>
        <w:spacing w:after="0" w:line="259" w:lineRule="auto"/>
        <w:tabs>
          <w:tab w:leader="none" w:pos="278" w:val="left"/>
        </w:tabs>
        <w:numPr>
          <w:ilvl w:val="0"/>
          <w:numId w:val="6"/>
        </w:numPr>
        <w:rPr>
          <w:rFonts w:ascii="Arial" w:cs="Arial" w:eastAsia="Arial" w:hAnsi="Arial"/>
          <w:sz w:val="16"/>
          <w:szCs w:val="16"/>
          <w:color w:val="333333"/>
        </w:rPr>
      </w:pPr>
      <w:r>
        <w:rPr>
          <w:rFonts w:ascii="Arial" w:cs="Arial" w:eastAsia="Arial" w:hAnsi="Arial"/>
          <w:sz w:val="16"/>
          <w:szCs w:val="16"/>
          <w:color w:val="333333"/>
        </w:rPr>
        <w:t>Assessment of adequate disclosure in the notes to the consolidated financial statements.</w:t>
      </w:r>
    </w:p>
    <w:p>
      <w:pPr>
        <w:spacing w:after="0" w:line="137" w:lineRule="exact"/>
        <w:rPr>
          <w:sz w:val="20"/>
          <w:szCs w:val="20"/>
          <w:color w:val="auto"/>
        </w:rPr>
      </w:pPr>
    </w:p>
    <w:p>
      <w:pPr>
        <w:sectPr>
          <w:pgSz w:w="11900" w:h="16838" w:orient="portrait"/>
          <w:cols w:equalWidth="0" w:num="2">
            <w:col w:w="5400" w:space="340"/>
            <w:col w:w="5460"/>
          </w:cols>
          <w:pgMar w:left="320" w:top="1440" w:right="379" w:bottom="1440" w:gutter="0" w:footer="0" w:header="0"/>
          <w:type w:val="continuous"/>
        </w:sectPr>
      </w:pPr>
    </w:p>
    <w:p>
      <w:pPr>
        <w:ind w:left="140"/>
        <w:spacing w:after="0"/>
        <w:rPr>
          <w:sz w:val="20"/>
          <w:szCs w:val="20"/>
          <w:color w:val="auto"/>
        </w:rPr>
      </w:pPr>
      <w:r>
        <w:rPr>
          <w:rFonts w:ascii="Arial" w:cs="Arial" w:eastAsia="Arial" w:hAnsi="Arial"/>
          <w:sz w:val="16"/>
          <w:szCs w:val="16"/>
          <w:b w:val="1"/>
          <w:bCs w:val="1"/>
          <w:color w:val="333333"/>
        </w:rPr>
        <w:t>Estimation of liabilities for life insurance contracts under the general valuation model</w:t>
      </w:r>
    </w:p>
    <w:p>
      <w:pPr>
        <w:sectPr>
          <w:pgSz w:w="11900" w:h="16838" w:orient="portrait"/>
          <w:cols w:equalWidth="0" w:num="1">
            <w:col w:w="11200"/>
          </w:cols>
          <w:pgMar w:left="320" w:top="1440" w:right="379" w:bottom="1440" w:gutter="0" w:footer="0" w:header="0"/>
          <w:type w:val="continuous"/>
        </w:sectPr>
      </w:pPr>
    </w:p>
    <w:p>
      <w:pPr>
        <w:spacing w:after="0" w:line="183" w:lineRule="exact"/>
        <w:rPr>
          <w:sz w:val="20"/>
          <w:szCs w:val="20"/>
          <w:color w:val="auto"/>
        </w:rPr>
      </w:pPr>
    </w:p>
    <w:p>
      <w:pPr>
        <w:ind w:left="140"/>
        <w:spacing w:after="0" w:line="243" w:lineRule="auto"/>
        <w:rPr>
          <w:sz w:val="20"/>
          <w:szCs w:val="20"/>
          <w:color w:val="auto"/>
        </w:rPr>
      </w:pPr>
      <w:r>
        <w:rPr>
          <w:rFonts w:ascii="Arial" w:cs="Arial" w:eastAsia="Arial" w:hAnsi="Arial"/>
          <w:sz w:val="16"/>
          <w:szCs w:val="16"/>
          <w:color w:val="333333"/>
        </w:rPr>
        <w:t>As described in notes 3(f), 8 and 30.9 of the Group’s consolidated financial statements, the estimation of insurance contract liabilities is based primarily on: (i) review and identification of insurance contracts; (ii) grouping of insurance contracts; (iii) determination of the valuation models by product (general model or block construction - BBA, variable rate - VFA and the simplified model - PPA); (iv) definition of the discount rate; (v) calculation of the risk adjustment and (vi) calculation of the contractual service margin (CSM). The projections of cash inflows and outflows related to each portfolio of insurance contracts consider their probability of occurrence, and all cash flows that are within the contract limit are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208915</wp:posOffset>
            </wp:positionV>
            <wp:extent cx="714565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333333"/>
        </w:rPr>
        <w:t>We gained an understanding, evaluated the design, and tested the operational effectiveness of the controls of the valuation process of life insurance contracts under the overall model, which included the following procedures:</w:t>
      </w:r>
    </w:p>
    <w:p>
      <w:pPr>
        <w:spacing w:after="0" w:line="1" w:lineRule="exact"/>
        <w:rPr>
          <w:sz w:val="20"/>
          <w:szCs w:val="20"/>
          <w:color w:val="auto"/>
        </w:rPr>
      </w:pPr>
    </w:p>
    <w:p>
      <w:pPr>
        <w:jc w:val="both"/>
        <w:ind w:left="300" w:right="440" w:hanging="300"/>
        <w:spacing w:after="0" w:line="239" w:lineRule="auto"/>
        <w:tabs>
          <w:tab w:leader="none" w:pos="287" w:val="left"/>
        </w:tabs>
        <w:numPr>
          <w:ilvl w:val="0"/>
          <w:numId w:val="7"/>
        </w:numPr>
        <w:rPr>
          <w:rFonts w:ascii="Arial" w:cs="Arial" w:eastAsia="Arial" w:hAnsi="Arial"/>
          <w:sz w:val="16"/>
          <w:szCs w:val="16"/>
          <w:color w:val="333333"/>
        </w:rPr>
      </w:pPr>
      <w:r>
        <w:rPr>
          <w:rFonts w:ascii="Arial" w:cs="Arial" w:eastAsia="Arial" w:hAnsi="Arial"/>
          <w:sz w:val="16"/>
          <w:szCs w:val="16"/>
          <w:color w:val="333333"/>
        </w:rPr>
        <w:t>Review of the methodology and criteria established for calculation according to actuarial methods that are accepted under IFRS 17.</w:t>
      </w:r>
    </w:p>
    <w:p>
      <w:pPr>
        <w:ind w:left="300" w:right="280" w:hanging="300"/>
        <w:spacing w:after="0" w:line="239" w:lineRule="auto"/>
        <w:tabs>
          <w:tab w:leader="none" w:pos="287" w:val="left"/>
        </w:tabs>
        <w:numPr>
          <w:ilvl w:val="0"/>
          <w:numId w:val="7"/>
        </w:numPr>
        <w:rPr>
          <w:rFonts w:ascii="Arial" w:cs="Arial" w:eastAsia="Arial" w:hAnsi="Arial"/>
          <w:sz w:val="16"/>
          <w:szCs w:val="16"/>
          <w:color w:val="333333"/>
        </w:rPr>
      </w:pPr>
      <w:r>
        <w:rPr>
          <w:rFonts w:ascii="Arial" w:cs="Arial" w:eastAsia="Arial" w:hAnsi="Arial"/>
          <w:sz w:val="16"/>
          <w:szCs w:val="16"/>
          <w:color w:val="333333"/>
        </w:rPr>
        <w:t>Evaluation of the actuarial models, assumptions and assumptions of general acceptance, established by the Group.</w:t>
      </w:r>
    </w:p>
    <w:p>
      <w:pPr>
        <w:ind w:left="300" w:right="20" w:hanging="300"/>
        <w:spacing w:after="0" w:line="249" w:lineRule="auto"/>
        <w:tabs>
          <w:tab w:leader="none" w:pos="287" w:val="left"/>
        </w:tabs>
        <w:numPr>
          <w:ilvl w:val="0"/>
          <w:numId w:val="7"/>
        </w:numPr>
        <w:rPr>
          <w:rFonts w:ascii="Arial" w:cs="Arial" w:eastAsia="Arial" w:hAnsi="Arial"/>
          <w:sz w:val="16"/>
          <w:szCs w:val="16"/>
          <w:color w:val="333333"/>
        </w:rPr>
      </w:pPr>
      <w:r>
        <w:rPr>
          <w:rFonts w:ascii="Arial" w:cs="Arial" w:eastAsia="Arial" w:hAnsi="Arial"/>
          <w:sz w:val="16"/>
          <w:szCs w:val="16"/>
          <w:color w:val="333333"/>
        </w:rPr>
        <w:t>Review of the completeness and accuracy of the database used in the Group’s information systems to manage, calculate and raise awareness of these liabilities.</w:t>
      </w:r>
    </w:p>
    <w:p>
      <w:pPr>
        <w:sectPr>
          <w:pgSz w:w="11900" w:h="16838" w:orient="portrait"/>
          <w:cols w:equalWidth="0" w:num="2">
            <w:col w:w="5520" w:space="220"/>
            <w:col w:w="5460"/>
          </w:cols>
          <w:pgMar w:left="320" w:top="1440" w:right="379" w:bottom="1440" w:gutter="0" w:footer="0" w:header="0"/>
          <w:type w:val="continuous"/>
        </w:sectPr>
      </w:pPr>
    </w:p>
    <w:bookmarkStart w:id="9" w:name="page10"/>
    <w:bookmarkEnd w:id="9"/>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75970" cy="907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75970" cy="9074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Report of the Independent Auditors (continue)</w:t>
      </w:r>
    </w:p>
    <w:p>
      <w:pPr>
        <w:spacing w:after="0" w:line="183" w:lineRule="exact"/>
        <w:rPr>
          <w:sz w:val="20"/>
          <w:szCs w:val="20"/>
          <w:color w:val="auto"/>
        </w:rPr>
      </w:pPr>
    </w:p>
    <w:p>
      <w:pPr>
        <w:ind w:left="140"/>
        <w:spacing w:after="0"/>
        <w:tabs>
          <w:tab w:leader="none" w:pos="5720" w:val="left"/>
        </w:tabs>
        <w:rPr>
          <w:sz w:val="20"/>
          <w:szCs w:val="20"/>
          <w:color w:val="auto"/>
        </w:rPr>
      </w:pPr>
      <w:r>
        <w:rPr>
          <w:rFonts w:ascii="Arial" w:cs="Arial" w:eastAsia="Arial" w:hAnsi="Arial"/>
          <w:sz w:val="16"/>
          <w:szCs w:val="16"/>
          <w:b w:val="1"/>
          <w:bCs w:val="1"/>
          <w:color w:val="333333"/>
        </w:rPr>
        <w:t>Key Audit Matters</w:t>
      </w:r>
      <w:r>
        <w:rPr>
          <w:sz w:val="20"/>
          <w:szCs w:val="20"/>
          <w:color w:val="auto"/>
        </w:rPr>
        <w:tab/>
      </w:r>
      <w:r>
        <w:rPr>
          <w:rFonts w:ascii="Arial" w:cs="Arial" w:eastAsia="Arial" w:hAnsi="Arial"/>
          <w:sz w:val="16"/>
          <w:szCs w:val="16"/>
          <w:b w:val="1"/>
          <w:bCs w:val="1"/>
          <w:color w:val="333333"/>
        </w:rPr>
        <w:t>Audit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456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27" w:lineRule="exact"/>
        <w:rPr>
          <w:sz w:val="20"/>
          <w:szCs w:val="20"/>
          <w:color w:val="auto"/>
        </w:rPr>
      </w:pPr>
    </w:p>
    <w:p>
      <w:pPr>
        <w:ind w:left="140"/>
        <w:spacing w:after="0" w:line="241" w:lineRule="auto"/>
        <w:rPr>
          <w:sz w:val="20"/>
          <w:szCs w:val="20"/>
          <w:color w:val="auto"/>
        </w:rPr>
      </w:pPr>
      <w:r>
        <w:rPr>
          <w:rFonts w:ascii="Arial" w:cs="Arial" w:eastAsia="Arial" w:hAnsi="Arial"/>
          <w:sz w:val="16"/>
          <w:szCs w:val="16"/>
          <w:color w:val="333333"/>
        </w:rPr>
        <w:t>To determine the assumptions and estimates, the Group relies on parameters derived from the experience of managing its portfolio. However, existing circumstances and assumptions about future developments could change due to changes in the market or circumstances beyond the Group’s control. The parameters are kept up to date to reflect such changes in assumptions where necessary. In addition, the Group re-evaluates the CSM each period considering the experience that the Group has had. The parameters used to estimate estimated future cash flows is a comparison between actual rates and estimated rates and the following assumptions are evaluated: mortality, longevity, disability, expenses, and falls.</w:t>
      </w:r>
    </w:p>
    <w:p>
      <w:pPr>
        <w:spacing w:after="0" w:line="336" w:lineRule="exact"/>
        <w:rPr>
          <w:sz w:val="20"/>
          <w:szCs w:val="20"/>
          <w:color w:val="auto"/>
        </w:rPr>
      </w:pPr>
    </w:p>
    <w:p>
      <w:pPr>
        <w:ind w:left="140" w:right="100"/>
        <w:spacing w:after="0" w:line="249" w:lineRule="auto"/>
        <w:rPr>
          <w:sz w:val="20"/>
          <w:szCs w:val="20"/>
          <w:color w:val="auto"/>
        </w:rPr>
      </w:pPr>
      <w:r>
        <w:rPr>
          <w:rFonts w:ascii="Arial" w:cs="Arial" w:eastAsia="Arial" w:hAnsi="Arial"/>
          <w:sz w:val="16"/>
          <w:szCs w:val="16"/>
          <w:color w:val="333333"/>
        </w:rPr>
        <w:t>Considering the above, we consider insurance liabilities to be a key audit matter, as any changes in assumptions and data could have material effects on the valuation of liabilities; In addition, the determination of accounting figures is complex and requires the involvement of specialists due to actuarial models.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00" w:right="160" w:hanging="300"/>
        <w:spacing w:after="0" w:line="239" w:lineRule="auto"/>
        <w:tabs>
          <w:tab w:leader="none" w:pos="287" w:val="left"/>
        </w:tabs>
        <w:numPr>
          <w:ilvl w:val="0"/>
          <w:numId w:val="8"/>
        </w:numPr>
        <w:rPr>
          <w:rFonts w:ascii="Arial" w:cs="Arial" w:eastAsia="Arial" w:hAnsi="Arial"/>
          <w:sz w:val="16"/>
          <w:szCs w:val="16"/>
          <w:color w:val="333333"/>
        </w:rPr>
      </w:pPr>
      <w:r>
        <w:rPr>
          <w:rFonts w:ascii="Arial" w:cs="Arial" w:eastAsia="Arial" w:hAnsi="Arial"/>
          <w:sz w:val="16"/>
          <w:szCs w:val="16"/>
          <w:color w:val="333333"/>
        </w:rPr>
        <w:t>Review of the correct allocation of discount rates for the calculation of liabilities for life insurance contracts.</w:t>
      </w:r>
    </w:p>
    <w:p>
      <w:pPr>
        <w:ind w:left="280" w:hanging="280"/>
        <w:spacing w:after="0"/>
        <w:tabs>
          <w:tab w:leader="none" w:pos="280" w:val="left"/>
        </w:tabs>
        <w:numPr>
          <w:ilvl w:val="0"/>
          <w:numId w:val="8"/>
        </w:numPr>
        <w:rPr>
          <w:rFonts w:ascii="Arial" w:cs="Arial" w:eastAsia="Arial" w:hAnsi="Arial"/>
          <w:sz w:val="16"/>
          <w:szCs w:val="16"/>
          <w:color w:val="333333"/>
        </w:rPr>
      </w:pPr>
      <w:r>
        <w:rPr>
          <w:rFonts w:ascii="Arial" w:cs="Arial" w:eastAsia="Arial" w:hAnsi="Arial"/>
          <w:sz w:val="16"/>
          <w:szCs w:val="16"/>
          <w:color w:val="333333"/>
        </w:rPr>
        <w:t>Review of the calculation of the liability valuation estimate.</w:t>
      </w:r>
    </w:p>
    <w:p>
      <w:pPr>
        <w:ind w:left="300" w:hanging="300"/>
        <w:spacing w:after="0" w:line="259" w:lineRule="auto"/>
        <w:tabs>
          <w:tab w:leader="none" w:pos="287" w:val="left"/>
        </w:tabs>
        <w:numPr>
          <w:ilvl w:val="0"/>
          <w:numId w:val="8"/>
        </w:numPr>
        <w:rPr>
          <w:rFonts w:ascii="Arial" w:cs="Arial" w:eastAsia="Arial" w:hAnsi="Arial"/>
          <w:sz w:val="16"/>
          <w:szCs w:val="16"/>
          <w:color w:val="333333"/>
        </w:rPr>
      </w:pPr>
      <w:r>
        <w:rPr>
          <w:rFonts w:ascii="Arial" w:cs="Arial" w:eastAsia="Arial" w:hAnsi="Arial"/>
          <w:sz w:val="16"/>
          <w:szCs w:val="16"/>
          <w:color w:val="333333"/>
        </w:rPr>
        <w:t>Review of disclosures included in the notes to the consolidated financial statements.</w:t>
      </w:r>
    </w:p>
    <w:p>
      <w:pPr>
        <w:spacing w:after="0" w:line="137" w:lineRule="exact"/>
        <w:rPr>
          <w:sz w:val="20"/>
          <w:szCs w:val="20"/>
          <w:color w:val="auto"/>
        </w:rPr>
      </w:pPr>
    </w:p>
    <w:p>
      <w:pPr>
        <w:ind w:right="420"/>
        <w:spacing w:after="0" w:line="249" w:lineRule="auto"/>
        <w:rPr>
          <w:sz w:val="20"/>
          <w:szCs w:val="20"/>
          <w:color w:val="auto"/>
        </w:rPr>
      </w:pPr>
      <w:r>
        <w:rPr>
          <w:rFonts w:ascii="Arial" w:cs="Arial" w:eastAsia="Arial" w:hAnsi="Arial"/>
          <w:sz w:val="16"/>
          <w:szCs w:val="16"/>
          <w:color w:val="333333"/>
        </w:rPr>
        <w:t>In addition, with the support of our actuarial specialists, we carried out detailed substantive procedures, which included:</w:t>
      </w:r>
    </w:p>
    <w:p>
      <w:pPr>
        <w:spacing w:after="0" w:line="1" w:lineRule="exact"/>
        <w:rPr>
          <w:sz w:val="20"/>
          <w:szCs w:val="20"/>
          <w:color w:val="auto"/>
        </w:rPr>
      </w:pPr>
    </w:p>
    <w:p>
      <w:pPr>
        <w:ind w:left="300" w:right="100" w:hanging="300"/>
        <w:spacing w:after="0" w:line="239" w:lineRule="auto"/>
        <w:tabs>
          <w:tab w:leader="none" w:pos="278"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Assessment that the methodology defined by the Group on actuarial models and assumptions is consistent with the application of IFRS 17.</w:t>
      </w:r>
    </w:p>
    <w:p>
      <w:pPr>
        <w:ind w:left="300" w:right="20" w:hanging="300"/>
        <w:spacing w:after="0" w:line="239" w:lineRule="auto"/>
        <w:tabs>
          <w:tab w:leader="none" w:pos="287"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Independent evaluation of the actuarial model and assumptions used in the calculation.</w:t>
      </w:r>
    </w:p>
    <w:p>
      <w:pPr>
        <w:ind w:left="300" w:hanging="300"/>
        <w:spacing w:after="0" w:line="239" w:lineRule="auto"/>
        <w:tabs>
          <w:tab w:leader="none" w:pos="287"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Proof of the completeness and accuracy of the policy data used, as well as the variables used in the calculation.</w:t>
      </w:r>
    </w:p>
    <w:p>
      <w:pPr>
        <w:ind w:left="300" w:right="120" w:hanging="300"/>
        <w:spacing w:after="0" w:line="239" w:lineRule="auto"/>
        <w:tabs>
          <w:tab w:leader="none" w:pos="287"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Evaluation of the proper determination of the discount rate used in the calculations.</w:t>
      </w:r>
    </w:p>
    <w:p>
      <w:pPr>
        <w:ind w:left="300" w:right="60" w:hanging="300"/>
        <w:spacing w:after="0" w:line="239" w:lineRule="auto"/>
        <w:tabs>
          <w:tab w:leader="none" w:pos="287"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Reconciliation of the discount rates charged to the application, where the calculations are determined, comparing them with those defined by the risk area.</w:t>
      </w:r>
    </w:p>
    <w:p>
      <w:pPr>
        <w:ind w:left="280" w:hanging="280"/>
        <w:spacing w:after="0"/>
        <w:tabs>
          <w:tab w:leader="none" w:pos="280"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Proof, independently, of the calculation made by the Group.</w:t>
      </w:r>
    </w:p>
    <w:p>
      <w:pPr>
        <w:ind w:left="300" w:right="560" w:hanging="300"/>
        <w:spacing w:after="0" w:line="239" w:lineRule="auto"/>
        <w:tabs>
          <w:tab w:leader="none" w:pos="287"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Evaluation of the appropriate movement of liabilities considering changes in actuarial assumptions at the end of the year.</w:t>
      </w:r>
    </w:p>
    <w:p>
      <w:pPr>
        <w:ind w:left="300" w:right="500" w:hanging="300"/>
        <w:spacing w:after="0" w:line="239" w:lineRule="auto"/>
        <w:tabs>
          <w:tab w:leader="none" w:pos="287"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Evaluation of the sensitivity of changes in certain variables in the determination of these liabilities.</w:t>
      </w:r>
    </w:p>
    <w:p>
      <w:pPr>
        <w:ind w:left="300" w:right="700" w:hanging="300"/>
        <w:spacing w:after="0" w:line="259" w:lineRule="auto"/>
        <w:tabs>
          <w:tab w:leader="none" w:pos="278"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Assessment of the adequacy of disclosures in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81915</wp:posOffset>
            </wp:positionV>
            <wp:extent cx="714565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2">
            <w:col w:w="5500" w:space="240"/>
            <w:col w:w="5440"/>
          </w:cols>
          <w:pgMar w:left="320" w:top="1440" w:right="399" w:bottom="1440" w:gutter="0" w:footer="0" w:header="0"/>
          <w:type w:val="continuous"/>
        </w:sectPr>
      </w:pPr>
    </w:p>
    <w:bookmarkStart w:id="10" w:name="page11"/>
    <w:bookmarkEnd w:id="10"/>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75970" cy="907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75970" cy="9074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Report of the Independent Auditors (continue)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Other Matter</w:t>
      </w:r>
    </w:p>
    <w:p>
      <w:pPr>
        <w:spacing w:after="0" w:line="181"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333333"/>
        </w:rPr>
        <w:t>As described in Note 3(b) to the consolidated financial statements as of and for the year ended December 31, 2022, which are presented for comparative purposes, they have been restated due to the initial implementation of IFRS 17, Insurance Contracts. These restated consolidated financial statements, including their opening balance as of January 1, 2022, as well as the respective adjustments related to the retroactive effect of the implementation of IFRS 17 on those financial statements, were audited by other independent auditors, who expressed an unchanged opinion.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Other information included in the Group’s 2023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333333"/>
        </w:rPr>
        <w:t>Other information consists of the information included in the Annual Report, other than the consolidated financial statements and our audit report thereon.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333333"/>
        </w:rPr>
        <w:t>Management is responsible for the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333333"/>
        </w:rPr>
        <w:t>Our opinion on the consolidated financial statements does not cover the other information and we do not express any form of assurance conclusion thereon.</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333333"/>
        </w:rPr>
        <w:t>In connection with our audit of the consolidated financial statements, our responsibility is to read the other information and, in doing so, consider whether the other information is materially inconsistent with the consolidated financial statements or our knowledge gained in the audit or whether it otherwise appears to be materially misstated. If, based on the work we have done, we conclude that there is a material error in this other information, we are obliged to report that fact. We have nothing to report in this regard.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Responsibilities of the Group’s management and those charged with corporate governance for the consolidated financial statements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333333"/>
        </w:rPr>
        <w:t>Management is responsible for the preparation and fair presentation of the consolidated financial statements in accordance with IFRSs, and for such internal control as Management determines is necessary to enable the preparation of consolidated financial statements that are free from material misstatement, whether due to fraud or error.</w:t>
      </w:r>
    </w:p>
    <w:p>
      <w:pPr>
        <w:spacing w:after="0" w:line="137"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color w:val="333333"/>
        </w:rPr>
        <w:t>In preparing the consolidated financial statements, Management is responsible for assessing the Group’s ability to continue as a going concern, disclosing as appropriate matters relating to the going concern and using the going concern’s accounting basis, unless Management intends to liquidate the Group or cease operations, or have no realistic alternative to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82550</wp:posOffset>
            </wp:positionV>
            <wp:extent cx="714565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75970" cy="907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75970" cy="907415"/>
                    </a:xfrm>
                    <a:prstGeom prst="rect">
                      <a:avLst/>
                    </a:prstGeom>
                    <a:noFill/>
                  </pic:spPr>
                </pic:pic>
              </a:graphicData>
            </a:graphic>
          </wp:anchor>
        </w:drawing>
      </w:r>
    </w:p>
    <w:p>
      <w:pPr>
        <w:ind w:left="2"/>
        <w:spacing w:after="0"/>
        <w:rPr>
          <w:sz w:val="20"/>
          <w:szCs w:val="20"/>
          <w:color w:val="auto"/>
        </w:rPr>
      </w:pPr>
      <w:r>
        <w:rPr>
          <w:rFonts w:ascii="Arial" w:cs="Arial" w:eastAsia="Arial" w:hAnsi="Arial"/>
          <w:sz w:val="16"/>
          <w:szCs w:val="16"/>
          <w:color w:val="auto"/>
        </w:rPr>
        <w:t>Report of the Independent Auditors (continue)</w:t>
      </w:r>
    </w:p>
    <w:p>
      <w:pPr>
        <w:spacing w:after="0" w:line="183" w:lineRule="exact"/>
        <w:rPr>
          <w:sz w:val="20"/>
          <w:szCs w:val="20"/>
          <w:color w:val="auto"/>
        </w:rPr>
      </w:pPr>
    </w:p>
    <w:p>
      <w:pPr>
        <w:ind w:left="2" w:right="2060"/>
        <w:spacing w:after="0" w:line="478" w:lineRule="auto"/>
        <w:rPr>
          <w:sz w:val="20"/>
          <w:szCs w:val="20"/>
          <w:color w:val="auto"/>
        </w:rPr>
      </w:pPr>
      <w:r>
        <w:rPr>
          <w:rFonts w:ascii="Arial" w:cs="Arial" w:eastAsia="Arial" w:hAnsi="Arial"/>
          <w:sz w:val="16"/>
          <w:szCs w:val="16"/>
          <w:i w:val="1"/>
          <w:iCs w:val="1"/>
          <w:color w:val="333333"/>
        </w:rPr>
        <w:t xml:space="preserve">Those responsible for the Group’s corporate governance are responsible for </w:t>
      </w:r>
      <w:r>
        <w:rPr>
          <w:rFonts w:ascii="Arial" w:cs="Arial" w:eastAsia="Arial" w:hAnsi="Arial"/>
          <w:sz w:val="16"/>
          <w:szCs w:val="16"/>
          <w:color w:val="333333"/>
        </w:rPr>
        <w:t>overseeing the Group’s financial reporting process.</w:t>
      </w:r>
      <w:r>
        <w:rPr>
          <w:rFonts w:ascii="Arial" w:cs="Arial" w:eastAsia="Arial" w:hAnsi="Arial"/>
          <w:sz w:val="16"/>
          <w:szCs w:val="16"/>
          <w:i w:val="1"/>
          <w:iCs w:val="1"/>
          <w:color w:val="333333"/>
        </w:rPr>
        <w:t xml:space="preserve"> Auditor’s responsibilities for the audit of the consolidated financial statements</w:t>
      </w:r>
    </w:p>
    <w:p>
      <w:pPr>
        <w:ind w:left="2"/>
        <w:spacing w:after="0" w:line="249" w:lineRule="auto"/>
        <w:rPr>
          <w:sz w:val="20"/>
          <w:szCs w:val="20"/>
          <w:color w:val="auto"/>
        </w:rPr>
      </w:pPr>
      <w:r>
        <w:rPr>
          <w:rFonts w:ascii="Arial" w:cs="Arial" w:eastAsia="Arial" w:hAnsi="Arial"/>
          <w:sz w:val="16"/>
          <w:szCs w:val="16"/>
          <w:color w:val="333333"/>
        </w:rPr>
        <w:t>Our objectives are to obtain reasonable assurance as to whether the consolidated financial statements as a whole are free from material misstatement, whether due to fraud or error, and to issue a report that includes our opinion. Reasonable assurance is a high level of assurance, but it does not guarantee that an audit conducted in accordance with ISAs will always detect a material misstatement when it exists. Misstatements may arise due to fraud or error and are considered material if, individually or cumulatively, you could reasonably expect them to influence the economic decisions that users make based on the consolidated financial statements.</w:t>
      </w:r>
    </w:p>
    <w:p>
      <w:pPr>
        <w:spacing w:after="0" w:line="145" w:lineRule="exact"/>
        <w:rPr>
          <w:sz w:val="20"/>
          <w:szCs w:val="20"/>
          <w:color w:val="auto"/>
        </w:rPr>
      </w:pPr>
    </w:p>
    <w:p>
      <w:pPr>
        <w:ind w:left="2" w:right="20"/>
        <w:spacing w:after="0" w:line="280" w:lineRule="auto"/>
        <w:rPr>
          <w:sz w:val="20"/>
          <w:szCs w:val="20"/>
          <w:color w:val="auto"/>
        </w:rPr>
      </w:pPr>
      <w:r>
        <w:rPr>
          <w:rFonts w:ascii="Arial" w:cs="Arial" w:eastAsia="Arial" w:hAnsi="Arial"/>
          <w:sz w:val="16"/>
          <w:szCs w:val="16"/>
          <w:color w:val="333333"/>
        </w:rPr>
        <w:t>As part of an audit in accordance with the International Standards on Auditing (ISAs) approved for application in Peru by the Board of Deans of Associations of Public Accountants of Peru, we exercise professional judgment and maintain professional skepticism throughout the audit. Also:</w:t>
      </w:r>
    </w:p>
    <w:p>
      <w:pPr>
        <w:spacing w:after="0" w:line="120" w:lineRule="exact"/>
        <w:rPr>
          <w:sz w:val="20"/>
          <w:szCs w:val="20"/>
          <w:color w:val="auto"/>
        </w:rPr>
      </w:pPr>
    </w:p>
    <w:p>
      <w:pPr>
        <w:ind w:left="442" w:hanging="442"/>
        <w:spacing w:after="0" w:line="244" w:lineRule="auto"/>
        <w:tabs>
          <w:tab w:leader="none" w:pos="442" w:val="left"/>
        </w:tabs>
        <w:numPr>
          <w:ilvl w:val="0"/>
          <w:numId w:val="10"/>
        </w:numPr>
        <w:rPr>
          <w:rFonts w:ascii="Arial" w:cs="Arial" w:eastAsia="Arial" w:hAnsi="Arial"/>
          <w:sz w:val="16"/>
          <w:szCs w:val="16"/>
          <w:color w:val="auto"/>
        </w:rPr>
      </w:pPr>
      <w:r>
        <w:rPr>
          <w:rFonts w:ascii="Arial" w:cs="Arial" w:eastAsia="Arial" w:hAnsi="Arial"/>
          <w:sz w:val="16"/>
          <w:szCs w:val="16"/>
          <w:color w:val="333333"/>
        </w:rPr>
        <w:t>We identify and evaluate the risks of material misstatement in the consolidated financial statements, whether due to fraud or error, design and execute audit procedures that respond to those risks, and obtain audit evidence that is sufficient and appropriate to provide us with a basis for our opinion. The risk of not detecting a material misstatement due to fraud is greater than that resulting from an error, as fraud may involve collusion, falsification, intentional omissions, misrepresentations, or overstepping the internal control system.</w:t>
      </w:r>
    </w:p>
    <w:p>
      <w:pPr>
        <w:ind w:left="442" w:right="200" w:hanging="442"/>
        <w:spacing w:after="0" w:line="239" w:lineRule="auto"/>
        <w:tabs>
          <w:tab w:leader="none" w:pos="442" w:val="left"/>
        </w:tabs>
        <w:numPr>
          <w:ilvl w:val="0"/>
          <w:numId w:val="10"/>
        </w:numPr>
        <w:rPr>
          <w:rFonts w:ascii="Arial" w:cs="Arial" w:eastAsia="Arial" w:hAnsi="Arial"/>
          <w:sz w:val="16"/>
          <w:szCs w:val="16"/>
          <w:color w:val="auto"/>
        </w:rPr>
      </w:pPr>
      <w:r>
        <w:rPr>
          <w:rFonts w:ascii="Arial" w:cs="Arial" w:eastAsia="Arial" w:hAnsi="Arial"/>
          <w:sz w:val="16"/>
          <w:szCs w:val="16"/>
          <w:color w:val="333333"/>
        </w:rPr>
        <w:t>We obtained an understanding of internal control relevant to the audit in order to design audit procedures that are appropriate in the circumstances, but not for the purpose of expressing an opinion on the effectiveness of the Group’s internal control.</w:t>
      </w:r>
    </w:p>
    <w:p>
      <w:pPr>
        <w:ind w:left="442" w:right="140" w:hanging="442"/>
        <w:spacing w:after="0" w:line="239" w:lineRule="auto"/>
        <w:tabs>
          <w:tab w:leader="none" w:pos="442" w:val="left"/>
        </w:tabs>
        <w:numPr>
          <w:ilvl w:val="0"/>
          <w:numId w:val="10"/>
        </w:numPr>
        <w:rPr>
          <w:rFonts w:ascii="Arial" w:cs="Arial" w:eastAsia="Arial" w:hAnsi="Arial"/>
          <w:sz w:val="16"/>
          <w:szCs w:val="16"/>
          <w:color w:val="auto"/>
        </w:rPr>
      </w:pPr>
      <w:r>
        <w:rPr>
          <w:rFonts w:ascii="Arial" w:cs="Arial" w:eastAsia="Arial" w:hAnsi="Arial"/>
          <w:sz w:val="16"/>
          <w:szCs w:val="16"/>
          <w:color w:val="333333"/>
        </w:rPr>
        <w:t>We evaluate the adequacy of the accounting policies used, the reasonableness of the accounting estimates and the respective disclosures made by management.</w:t>
      </w:r>
    </w:p>
    <w:p>
      <w:pPr>
        <w:ind w:left="442" w:right="20" w:hanging="442"/>
        <w:spacing w:after="0" w:line="239" w:lineRule="auto"/>
        <w:tabs>
          <w:tab w:leader="none" w:pos="442" w:val="left"/>
        </w:tabs>
        <w:numPr>
          <w:ilvl w:val="0"/>
          <w:numId w:val="10"/>
        </w:numPr>
        <w:rPr>
          <w:rFonts w:ascii="Arial" w:cs="Arial" w:eastAsia="Arial" w:hAnsi="Arial"/>
          <w:sz w:val="16"/>
          <w:szCs w:val="16"/>
          <w:color w:val="auto"/>
        </w:rPr>
      </w:pPr>
      <w:r>
        <w:rPr>
          <w:rFonts w:ascii="Arial" w:cs="Arial" w:eastAsia="Arial" w:hAnsi="Arial"/>
          <w:sz w:val="16"/>
          <w:szCs w:val="16"/>
          <w:color w:val="333333"/>
        </w:rPr>
        <w:t>We conclude on the adequacy of Management’s use of the going concern accounting basis and, based on the audit evidence obtained, whether there is material uncertainty related to events or conditions that may raise significant doubts about the Group’s ability to continue as a going concern. If we conclude that there is a material uncertainty, we are required to draw attention in our audit report to the related disclosures in the financial statements or, if such disclosures are inadequate, to modify our opinion. The findings are based on the audit evidence obtained to date from our audit report. However, future events or conditions may cause the Group to cease to continue as a going concern.</w:t>
      </w:r>
    </w:p>
    <w:p>
      <w:pPr>
        <w:ind w:left="442" w:right="100" w:hanging="442"/>
        <w:spacing w:after="0" w:line="259" w:lineRule="auto"/>
        <w:tabs>
          <w:tab w:leader="none" w:pos="442" w:val="left"/>
        </w:tabs>
        <w:numPr>
          <w:ilvl w:val="0"/>
          <w:numId w:val="10"/>
        </w:numPr>
        <w:rPr>
          <w:rFonts w:ascii="Arial" w:cs="Arial" w:eastAsia="Arial" w:hAnsi="Arial"/>
          <w:sz w:val="16"/>
          <w:szCs w:val="16"/>
          <w:color w:val="auto"/>
        </w:rPr>
      </w:pPr>
      <w:r>
        <w:rPr>
          <w:rFonts w:ascii="Arial" w:cs="Arial" w:eastAsia="Arial" w:hAnsi="Arial"/>
          <w:sz w:val="16"/>
          <w:szCs w:val="16"/>
          <w:color w:val="333333"/>
        </w:rPr>
        <w:t>We evaluate the overall presentation, structure, content of the consolidated financial statements, including disclosures, and whether the consolidated financial statements represent the underlying transactions and events in a manner that achieves a fair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4565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1440" w:right="339" w:bottom="1440" w:gutter="0" w:footer="0" w:header="0"/>
        </w:sectPr>
      </w:pPr>
    </w:p>
    <w:bookmarkStart w:id="12" w:name="page13"/>
    <w:bookmarkEnd w:id="12"/>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75970" cy="907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75970" cy="907415"/>
                    </a:xfrm>
                    <a:prstGeom prst="rect">
                      <a:avLst/>
                    </a:prstGeom>
                    <a:noFill/>
                  </pic:spPr>
                </pic:pic>
              </a:graphicData>
            </a:graphic>
          </wp:anchor>
        </w:drawing>
      </w:r>
    </w:p>
    <w:p>
      <w:pPr>
        <w:ind w:left="2"/>
        <w:spacing w:after="0"/>
        <w:rPr>
          <w:sz w:val="20"/>
          <w:szCs w:val="20"/>
          <w:color w:val="auto"/>
        </w:rPr>
      </w:pPr>
      <w:r>
        <w:rPr>
          <w:rFonts w:ascii="Arial" w:cs="Arial" w:eastAsia="Arial" w:hAnsi="Arial"/>
          <w:sz w:val="16"/>
          <w:szCs w:val="16"/>
          <w:color w:val="auto"/>
        </w:rPr>
        <w:t>Report of the Independent Auditors (continue)</w:t>
      </w:r>
    </w:p>
    <w:p>
      <w:pPr>
        <w:spacing w:after="0" w:line="183" w:lineRule="exact"/>
        <w:rPr>
          <w:sz w:val="20"/>
          <w:szCs w:val="20"/>
          <w:color w:val="auto"/>
        </w:rPr>
      </w:pPr>
    </w:p>
    <w:p>
      <w:pPr>
        <w:ind w:left="442" w:right="60" w:hanging="442"/>
        <w:spacing w:after="0" w:line="259" w:lineRule="auto"/>
        <w:tabs>
          <w:tab w:leader="none" w:pos="442" w:val="left"/>
        </w:tabs>
        <w:numPr>
          <w:ilvl w:val="0"/>
          <w:numId w:val="11"/>
        </w:numPr>
        <w:rPr>
          <w:rFonts w:ascii="Arial" w:cs="Arial" w:eastAsia="Arial" w:hAnsi="Arial"/>
          <w:sz w:val="16"/>
          <w:szCs w:val="16"/>
          <w:color w:val="auto"/>
        </w:rPr>
      </w:pPr>
      <w:r>
        <w:rPr>
          <w:rFonts w:ascii="Arial" w:cs="Arial" w:eastAsia="Arial" w:hAnsi="Arial"/>
          <w:sz w:val="16"/>
          <w:szCs w:val="16"/>
          <w:color w:val="333333"/>
        </w:rPr>
        <w:t>We obtained sufficient and adequate audit evidence in relation to the financial information of the entities or business activities that are part of the Group, in order to express an opinion on the consolidated financial statements. We are responsible for the direction, supervision and execution of the Group’s audit and therefore for our audit opinion.</w:t>
      </w:r>
    </w:p>
    <w:p>
      <w:pPr>
        <w:spacing w:after="0" w:line="137" w:lineRule="exact"/>
        <w:rPr>
          <w:sz w:val="20"/>
          <w:szCs w:val="20"/>
          <w:color w:val="auto"/>
        </w:rPr>
      </w:pPr>
    </w:p>
    <w:p>
      <w:pPr>
        <w:ind w:left="2" w:right="220"/>
        <w:spacing w:after="0" w:line="280" w:lineRule="auto"/>
        <w:rPr>
          <w:sz w:val="20"/>
          <w:szCs w:val="20"/>
          <w:color w:val="auto"/>
        </w:rPr>
      </w:pPr>
      <w:r>
        <w:rPr>
          <w:rFonts w:ascii="Arial" w:cs="Arial" w:eastAsia="Arial" w:hAnsi="Arial"/>
          <w:sz w:val="16"/>
          <w:szCs w:val="16"/>
          <w:color w:val="333333"/>
        </w:rPr>
        <w:t>We communicate to those charged for the Group’s corporate governance, among other matters, the planned scope and timing of the audit, the significant findings of the audit, as well as any significant internal control deficiencies identified in the course of the audit.</w:t>
      </w:r>
    </w:p>
    <w:p>
      <w:pPr>
        <w:spacing w:after="0" w:line="120" w:lineRule="exact"/>
        <w:rPr>
          <w:sz w:val="20"/>
          <w:szCs w:val="20"/>
          <w:color w:val="auto"/>
        </w:rPr>
      </w:pPr>
    </w:p>
    <w:p>
      <w:pPr>
        <w:ind w:left="2" w:right="120"/>
        <w:spacing w:after="0" w:line="259" w:lineRule="auto"/>
        <w:rPr>
          <w:sz w:val="20"/>
          <w:szCs w:val="20"/>
          <w:color w:val="auto"/>
        </w:rPr>
      </w:pPr>
      <w:r>
        <w:rPr>
          <w:rFonts w:ascii="Arial" w:cs="Arial" w:eastAsia="Arial" w:hAnsi="Arial"/>
          <w:sz w:val="16"/>
          <w:szCs w:val="16"/>
          <w:color w:val="333333"/>
        </w:rPr>
        <w:t>We also provide those charged for the Group’s corporate governance with a statement that we have complied with relevant ethical requirements in relation to independence and have communicated to them about all relationships and other matters that could reasonably affect our independence and, as appropriate, including the respective safeguards.</w:t>
      </w:r>
    </w:p>
    <w:p>
      <w:pPr>
        <w:spacing w:after="0" w:line="137" w:lineRule="exact"/>
        <w:rPr>
          <w:sz w:val="20"/>
          <w:szCs w:val="20"/>
          <w:color w:val="auto"/>
        </w:rPr>
      </w:pPr>
    </w:p>
    <w:p>
      <w:pPr>
        <w:ind w:left="2"/>
        <w:spacing w:after="0" w:line="249" w:lineRule="auto"/>
        <w:rPr>
          <w:sz w:val="20"/>
          <w:szCs w:val="20"/>
          <w:color w:val="auto"/>
        </w:rPr>
      </w:pPr>
      <w:r>
        <w:rPr>
          <w:rFonts w:ascii="Arial" w:cs="Arial" w:eastAsia="Arial" w:hAnsi="Arial"/>
          <w:sz w:val="16"/>
          <w:szCs w:val="16"/>
          <w:color w:val="333333"/>
        </w:rPr>
        <w:t>Among the matters that have been the subject of communication with those responsible for the Group’s corporate governance, we have identified those that have been of the greatest significance in the audit of the consolidated financial statements for the current period and, therefore, are the key audit matters. We have described such matters in our audit report unless legal or regulatory provisions prohibit public disclosure of the matter or, in extremely rare circumstances, we determine that a matter should not be disclosed in our report because it would reasonably be expected that the adverse consequences of doing so would outweigh the public interest benefits of the report.</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color w:val="333333"/>
        </w:rPr>
        <w:t>Lima, Peru</w:t>
      </w:r>
    </w:p>
    <w:p>
      <w:pPr>
        <w:spacing w:after="0" w:line="15" w:lineRule="exact"/>
        <w:rPr>
          <w:sz w:val="20"/>
          <w:szCs w:val="20"/>
          <w:color w:val="auto"/>
        </w:rPr>
      </w:pPr>
    </w:p>
    <w:p>
      <w:pPr>
        <w:ind w:left="2"/>
        <w:spacing w:after="0"/>
        <w:rPr>
          <w:sz w:val="20"/>
          <w:szCs w:val="20"/>
          <w:color w:val="auto"/>
        </w:rPr>
      </w:pPr>
      <w:r>
        <w:rPr>
          <w:rFonts w:ascii="Arial" w:cs="Arial" w:eastAsia="Arial" w:hAnsi="Arial"/>
          <w:sz w:val="16"/>
          <w:szCs w:val="16"/>
          <w:color w:val="333333"/>
        </w:rPr>
        <w:t>February 29, 2024</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color w:val="333333"/>
        </w:rPr>
        <w:t>Endorsed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4228465" cy="1202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28465" cy="120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
        <w:spacing w:after="0"/>
        <w:rPr>
          <w:sz w:val="20"/>
          <w:szCs w:val="20"/>
          <w:color w:val="auto"/>
        </w:rPr>
      </w:pPr>
      <w:r>
        <w:rPr>
          <w:rFonts w:ascii="Arial" w:cs="Arial" w:eastAsia="Arial" w:hAnsi="Arial"/>
          <w:sz w:val="16"/>
          <w:szCs w:val="16"/>
          <w:color w:val="333333"/>
        </w:rPr>
        <w:t>Victor Tanaka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21488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48840" cy="7620"/>
                    </a:xfrm>
                    <a:prstGeom prst="rect">
                      <a:avLst/>
                    </a:prstGeom>
                    <a:noFill/>
                  </pic:spPr>
                </pic:pic>
              </a:graphicData>
            </a:graphic>
          </wp:anchor>
        </w:drawing>
      </w:r>
    </w:p>
    <w:p>
      <w:pPr>
        <w:ind w:left="2"/>
        <w:spacing w:after="0"/>
        <w:rPr>
          <w:sz w:val="20"/>
          <w:szCs w:val="20"/>
          <w:color w:val="auto"/>
        </w:rPr>
      </w:pPr>
      <w:r>
        <w:rPr>
          <w:rFonts w:ascii="Arial" w:cs="Arial" w:eastAsia="Arial" w:hAnsi="Arial"/>
          <w:sz w:val="16"/>
          <w:szCs w:val="16"/>
          <w:color w:val="333333"/>
        </w:rPr>
        <w:t>Partner-in-Charge</w:t>
      </w:r>
    </w:p>
    <w:p>
      <w:pPr>
        <w:ind w:left="2"/>
        <w:spacing w:after="0"/>
        <w:rPr>
          <w:sz w:val="20"/>
          <w:szCs w:val="20"/>
          <w:color w:val="auto"/>
        </w:rPr>
      </w:pPr>
      <w:r>
        <w:rPr>
          <w:rFonts w:ascii="Arial" w:cs="Arial" w:eastAsia="Arial" w:hAnsi="Arial"/>
          <w:sz w:val="16"/>
          <w:szCs w:val="16"/>
          <w:color w:val="333333"/>
        </w:rPr>
        <w:t>C.P.C.C. Registration No. 25613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565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2"/>
          </w:cols>
          <w:pgMar w:left="318" w:top="1440"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FINANCIAL POSITION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2023, 2022 (RESTATED) AND JANUARY 01, 2022 (RESTATED)</w:t>
      </w:r>
    </w:p>
    <w:p>
      <w:pPr>
        <w:sectPr>
          <w:pgSz w:w="11900" w:h="16838" w:orient="portrait"/>
          <w:cols w:equalWidth="0" w:num="1">
            <w:col w:w="11260"/>
          </w:cols>
          <w:pgMar w:left="320" w:top="124" w:right="319" w:bottom="1440" w:gutter="0" w:footer="0" w:header="0"/>
        </w:sectPr>
      </w:pP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As of</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47"/>
        </w:trPr>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As of</w:t>
            </w:r>
          </w:p>
        </w:tc>
        <w:tc>
          <w:tcPr>
            <w:tcW w:w="90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January</w:t>
            </w:r>
          </w:p>
        </w:tc>
        <w:tc>
          <w:tcPr>
            <w:tcW w:w="0" w:type="dxa"/>
            <w:vAlign w:val="bottom"/>
          </w:tcPr>
          <w:p>
            <w:pPr>
              <w:spacing w:after="0"/>
              <w:rPr>
                <w:sz w:val="1"/>
                <w:szCs w:val="1"/>
                <w:color w:val="auto"/>
              </w:rPr>
            </w:pPr>
          </w:p>
        </w:tc>
      </w:tr>
      <w:tr>
        <w:trPr>
          <w:trHeight w:val="147"/>
        </w:trPr>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86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31, 2022</w:t>
            </w:r>
          </w:p>
        </w:tc>
        <w:tc>
          <w:tcPr>
            <w:tcW w:w="40" w:type="dxa"/>
            <w:vAlign w:val="bottom"/>
          </w:tcPr>
          <w:p>
            <w:pPr>
              <w:spacing w:after="0"/>
              <w:rPr>
                <w:sz w:val="12"/>
                <w:szCs w:val="12"/>
                <w:color w:val="auto"/>
              </w:rPr>
            </w:pPr>
          </w:p>
        </w:tc>
        <w:tc>
          <w:tcPr>
            <w:tcW w:w="86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01, 2022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22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3"/>
                <w:szCs w:val="13"/>
                <w:b w:val="1"/>
                <w:bCs w:val="1"/>
                <w:color w:val="auto"/>
              </w:rPr>
              <w:t>Note</w:t>
            </w:r>
          </w:p>
        </w:tc>
        <w:tc>
          <w:tcPr>
            <w:tcW w:w="880" w:type="dxa"/>
            <w:vAlign w:val="bottom"/>
          </w:tcPr>
          <w:p>
            <w:pPr>
              <w:ind w:left="40"/>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(Restated) (*)</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w w:val="98"/>
              </w:rPr>
              <w:t>(Restated) (*)</w:t>
            </w:r>
          </w:p>
        </w:tc>
        <w:tc>
          <w:tcPr>
            <w:tcW w:w="0" w:type="dxa"/>
            <w:vAlign w:val="bottom"/>
          </w:tcPr>
          <w:p>
            <w:pPr>
              <w:spacing w:after="0"/>
              <w:rPr>
                <w:sz w:val="1"/>
                <w:szCs w:val="1"/>
                <w:color w:val="auto"/>
              </w:rPr>
            </w:pPr>
          </w:p>
        </w:tc>
      </w:tr>
      <w:tr>
        <w:trPr>
          <w:trHeight w:val="170"/>
        </w:trPr>
        <w:tc>
          <w:tcPr>
            <w:tcW w:w="2220" w:type="dxa"/>
            <w:vAlign w:val="bottom"/>
            <w:vMerge w:val="restart"/>
          </w:tcPr>
          <w:p>
            <w:pPr>
              <w:spacing w:after="0"/>
              <w:rPr>
                <w:sz w:val="20"/>
                <w:szCs w:val="20"/>
                <w:color w:val="auto"/>
              </w:rPr>
            </w:pPr>
            <w:r>
              <w:rPr>
                <w:rFonts w:ascii="Arial" w:cs="Arial" w:eastAsia="Arial" w:hAnsi="Arial"/>
                <w:sz w:val="13"/>
                <w:szCs w:val="13"/>
                <w:b w:val="1"/>
                <w:bCs w:val="1"/>
                <w:color w:val="auto"/>
              </w:rPr>
              <w:t>Assets</w:t>
            </w:r>
          </w:p>
        </w:tc>
        <w:tc>
          <w:tcPr>
            <w:tcW w:w="480" w:type="dxa"/>
            <w:vAlign w:val="bottom"/>
          </w:tcPr>
          <w:p>
            <w:pPr>
              <w:spacing w:after="0"/>
              <w:rPr>
                <w:sz w:val="14"/>
                <w:szCs w:val="14"/>
                <w:color w:val="auto"/>
              </w:rPr>
            </w:pPr>
          </w:p>
        </w:tc>
        <w:tc>
          <w:tcPr>
            <w:tcW w:w="88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86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86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2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220" w:type="dxa"/>
            <w:vAlign w:val="bottom"/>
          </w:tcPr>
          <w:p>
            <w:pPr>
              <w:spacing w:after="0"/>
              <w:rPr>
                <w:sz w:val="20"/>
                <w:szCs w:val="20"/>
                <w:color w:val="auto"/>
              </w:rPr>
            </w:pPr>
            <w:r>
              <w:rPr>
                <w:rFonts w:ascii="Arial" w:cs="Arial" w:eastAsia="Arial" w:hAnsi="Arial"/>
                <w:sz w:val="13"/>
                <w:szCs w:val="13"/>
                <w:color w:val="auto"/>
              </w:rPr>
              <w:t>Cash and due from banks:</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220" w:type="dxa"/>
            <w:vAlign w:val="bottom"/>
          </w:tcPr>
          <w:p>
            <w:pPr>
              <w:ind w:left="140"/>
              <w:spacing w:after="0" w:line="147" w:lineRule="exact"/>
              <w:rPr>
                <w:sz w:val="20"/>
                <w:szCs w:val="20"/>
                <w:color w:val="auto"/>
              </w:rPr>
            </w:pPr>
            <w:r>
              <w:rPr>
                <w:rFonts w:ascii="Arial" w:cs="Arial" w:eastAsia="Arial" w:hAnsi="Arial"/>
                <w:sz w:val="13"/>
                <w:szCs w:val="13"/>
                <w:color w:val="auto"/>
              </w:rPr>
              <w:t>Non-interest-bearing</w:t>
            </w:r>
          </w:p>
        </w:tc>
        <w:tc>
          <w:tcPr>
            <w:tcW w:w="4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7,952,371</w:t>
            </w:r>
          </w:p>
        </w:tc>
        <w:tc>
          <w:tcPr>
            <w:tcW w:w="6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7,286,624</w:t>
            </w:r>
          </w:p>
        </w:tc>
        <w:tc>
          <w:tcPr>
            <w:tcW w:w="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6,925,332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220" w:type="dxa"/>
            <w:vAlign w:val="bottom"/>
          </w:tcPr>
          <w:p>
            <w:pPr>
              <w:ind w:left="140"/>
              <w:spacing w:after="0"/>
              <w:rPr>
                <w:sz w:val="20"/>
                <w:szCs w:val="20"/>
                <w:color w:val="auto"/>
              </w:rPr>
            </w:pPr>
            <w:r>
              <w:rPr>
                <w:rFonts w:ascii="Arial" w:cs="Arial" w:eastAsia="Arial" w:hAnsi="Arial"/>
                <w:sz w:val="13"/>
                <w:szCs w:val="13"/>
                <w:color w:val="auto"/>
              </w:rPr>
              <w:t>Interest-bearing</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25,978,577</w:t>
            </w:r>
          </w:p>
        </w:tc>
        <w:tc>
          <w:tcPr>
            <w:tcW w:w="6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26,897,216</w:t>
            </w:r>
          </w:p>
        </w:tc>
        <w:tc>
          <w:tcPr>
            <w:tcW w:w="4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32,395,408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33,930,948</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34,183,840</w:t>
            </w:r>
          </w:p>
        </w:tc>
        <w:tc>
          <w:tcPr>
            <w:tcW w:w="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39,320,740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220" w:type="dxa"/>
            <w:vAlign w:val="bottom"/>
          </w:tcPr>
          <w:p>
            <w:pPr>
              <w:spacing w:after="0"/>
              <w:rPr>
                <w:sz w:val="20"/>
                <w:szCs w:val="20"/>
                <w:color w:val="auto"/>
              </w:rPr>
            </w:pPr>
            <w:r>
              <w:rPr>
                <w:rFonts w:ascii="Arial" w:cs="Arial" w:eastAsia="Arial" w:hAnsi="Arial"/>
                <w:sz w:val="13"/>
                <w:szCs w:val="13"/>
                <w:color w:val="auto"/>
              </w:rPr>
              <w:t>Cash collateral, reverse repurchase</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220" w:type="dxa"/>
            <w:vAlign w:val="bottom"/>
          </w:tcPr>
          <w:p>
            <w:pPr>
              <w:ind w:left="140"/>
              <w:spacing w:after="0" w:line="147" w:lineRule="exact"/>
              <w:rPr>
                <w:sz w:val="20"/>
                <w:szCs w:val="20"/>
                <w:color w:val="auto"/>
              </w:rPr>
            </w:pPr>
            <w:r>
              <w:rPr>
                <w:rFonts w:ascii="Arial" w:cs="Arial" w:eastAsia="Arial" w:hAnsi="Arial"/>
                <w:sz w:val="13"/>
                <w:szCs w:val="13"/>
                <w:color w:val="auto"/>
              </w:rPr>
              <w:t>agreements and securities</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140"/>
              <w:spacing w:after="0"/>
              <w:rPr>
                <w:sz w:val="20"/>
                <w:szCs w:val="20"/>
                <w:color w:val="auto"/>
              </w:rPr>
            </w:pPr>
            <w:r>
              <w:rPr>
                <w:rFonts w:ascii="Arial" w:cs="Arial" w:eastAsia="Arial" w:hAnsi="Arial"/>
                <w:sz w:val="13"/>
                <w:szCs w:val="13"/>
                <w:color w:val="auto"/>
              </w:rPr>
              <w:t>borrowing</w:t>
            </w:r>
          </w:p>
        </w:tc>
        <w:tc>
          <w:tcPr>
            <w:tcW w:w="480" w:type="dxa"/>
            <w:vAlign w:val="bottom"/>
          </w:tcPr>
          <w:p>
            <w:pPr>
              <w:jc w:val="center"/>
              <w:spacing w:after="0"/>
              <w:rPr>
                <w:sz w:val="20"/>
                <w:szCs w:val="20"/>
                <w:color w:val="auto"/>
              </w:rPr>
            </w:pPr>
            <w:r>
              <w:rPr>
                <w:rFonts w:ascii="Arial" w:cs="Arial" w:eastAsia="Arial" w:hAnsi="Arial"/>
                <w:sz w:val="13"/>
                <w:szCs w:val="13"/>
                <w:color w:val="auto"/>
                <w:w w:val="94"/>
              </w:rPr>
              <w:t>5(a)</w:t>
            </w:r>
          </w:p>
        </w:tc>
        <w:tc>
          <w:tcPr>
            <w:tcW w:w="880" w:type="dxa"/>
            <w:vAlign w:val="bottom"/>
          </w:tcPr>
          <w:p>
            <w:pPr>
              <w:jc w:val="right"/>
              <w:spacing w:after="0"/>
              <w:rPr>
                <w:sz w:val="20"/>
                <w:szCs w:val="20"/>
                <w:color w:val="auto"/>
              </w:rPr>
            </w:pPr>
            <w:r>
              <w:rPr>
                <w:rFonts w:ascii="Arial" w:cs="Arial" w:eastAsia="Arial" w:hAnsi="Arial"/>
                <w:sz w:val="13"/>
                <w:szCs w:val="13"/>
                <w:color w:val="auto"/>
              </w:rPr>
              <w:t>1,410,647</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1,101,856</w:t>
            </w:r>
          </w:p>
        </w:tc>
        <w:tc>
          <w:tcPr>
            <w:tcW w:w="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1,766,948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220" w:type="dxa"/>
            <w:vAlign w:val="bottom"/>
          </w:tcPr>
          <w:p>
            <w:pPr>
              <w:spacing w:after="0"/>
              <w:rPr>
                <w:sz w:val="20"/>
                <w:szCs w:val="20"/>
                <w:color w:val="auto"/>
              </w:rPr>
            </w:pPr>
            <w:r>
              <w:rPr>
                <w:rFonts w:ascii="Arial" w:cs="Arial" w:eastAsia="Arial" w:hAnsi="Arial"/>
                <w:sz w:val="13"/>
                <w:szCs w:val="13"/>
                <w:color w:val="auto"/>
              </w:rPr>
              <w:t>Investments: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220" w:type="dxa"/>
            <w:vAlign w:val="bottom"/>
          </w:tcPr>
          <w:p>
            <w:pPr>
              <w:ind w:left="140"/>
              <w:spacing w:after="0"/>
              <w:rPr>
                <w:sz w:val="20"/>
                <w:szCs w:val="20"/>
                <w:color w:val="auto"/>
              </w:rPr>
            </w:pPr>
            <w:r>
              <w:rPr>
                <w:rFonts w:ascii="Arial" w:cs="Arial" w:eastAsia="Arial" w:hAnsi="Arial"/>
                <w:sz w:val="13"/>
                <w:szCs w:val="13"/>
                <w:color w:val="auto"/>
              </w:rPr>
              <w:t>At fair value through profit or loss</w:t>
            </w:r>
          </w:p>
        </w:tc>
        <w:tc>
          <w:tcPr>
            <w:tcW w:w="480" w:type="dxa"/>
            <w:vAlign w:val="bottom"/>
          </w:tcPr>
          <w:p>
            <w:pPr>
              <w:jc w:val="center"/>
              <w:spacing w:after="0"/>
              <w:rPr>
                <w:sz w:val="20"/>
                <w:szCs w:val="20"/>
                <w:color w:val="auto"/>
              </w:rPr>
            </w:pPr>
            <w:r>
              <w:rPr>
                <w:rFonts w:ascii="Arial" w:cs="Arial" w:eastAsia="Arial" w:hAnsi="Arial"/>
                <w:sz w:val="13"/>
                <w:szCs w:val="13"/>
                <w:color w:val="auto"/>
                <w:w w:val="94"/>
              </w:rPr>
              <w:t>6(a)</w:t>
            </w:r>
          </w:p>
        </w:tc>
        <w:tc>
          <w:tcPr>
            <w:tcW w:w="880" w:type="dxa"/>
            <w:vAlign w:val="bottom"/>
          </w:tcPr>
          <w:p>
            <w:pPr>
              <w:jc w:val="right"/>
              <w:spacing w:after="0"/>
              <w:rPr>
                <w:sz w:val="20"/>
                <w:szCs w:val="20"/>
                <w:color w:val="auto"/>
              </w:rPr>
            </w:pPr>
            <w:r>
              <w:rPr>
                <w:rFonts w:ascii="Arial" w:cs="Arial" w:eastAsia="Arial" w:hAnsi="Arial"/>
                <w:sz w:val="13"/>
                <w:szCs w:val="13"/>
                <w:color w:val="auto"/>
              </w:rPr>
              <w:t>4,982,661</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4,199,334</w:t>
            </w:r>
          </w:p>
        </w:tc>
        <w:tc>
          <w:tcPr>
            <w:tcW w:w="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5,928,538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220" w:type="dxa"/>
            <w:vAlign w:val="bottom"/>
          </w:tcPr>
          <w:p>
            <w:pPr>
              <w:ind w:left="140"/>
              <w:spacing w:after="0"/>
              <w:rPr>
                <w:sz w:val="20"/>
                <w:szCs w:val="20"/>
                <w:color w:val="auto"/>
              </w:rPr>
            </w:pPr>
            <w:r>
              <w:rPr>
                <w:rFonts w:ascii="Arial" w:cs="Arial" w:eastAsia="Arial" w:hAnsi="Arial"/>
                <w:sz w:val="13"/>
                <w:szCs w:val="13"/>
                <w:color w:val="auto"/>
              </w:rPr>
              <w:t>At fair value through other</w:t>
            </w: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2220" w:type="dxa"/>
            <w:vAlign w:val="bottom"/>
          </w:tcPr>
          <w:p>
            <w:pPr>
              <w:ind w:left="300"/>
              <w:spacing w:after="0" w:line="147" w:lineRule="exact"/>
              <w:rPr>
                <w:sz w:val="20"/>
                <w:szCs w:val="20"/>
                <w:color w:val="auto"/>
              </w:rPr>
            </w:pPr>
            <w:r>
              <w:rPr>
                <w:rFonts w:ascii="Arial" w:cs="Arial" w:eastAsia="Arial" w:hAnsi="Arial"/>
                <w:sz w:val="13"/>
                <w:szCs w:val="13"/>
                <w:color w:val="auto"/>
              </w:rPr>
              <w:t>comprehensive income</w:t>
            </w:r>
          </w:p>
        </w:tc>
        <w:tc>
          <w:tcPr>
            <w:tcW w:w="4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32,774,078</w:t>
            </w:r>
          </w:p>
        </w:tc>
        <w:tc>
          <w:tcPr>
            <w:tcW w:w="6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29,678,061</w:t>
            </w:r>
          </w:p>
        </w:tc>
        <w:tc>
          <w:tcPr>
            <w:tcW w:w="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34,440,091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20" w:type="dxa"/>
            <w:vAlign w:val="bottom"/>
          </w:tcPr>
          <w:p>
            <w:pPr>
              <w:ind w:left="140"/>
              <w:spacing w:after="0" w:line="147" w:lineRule="exact"/>
              <w:rPr>
                <w:sz w:val="20"/>
                <w:szCs w:val="20"/>
                <w:color w:val="auto"/>
              </w:rPr>
            </w:pPr>
            <w:r>
              <w:rPr>
                <w:rFonts w:ascii="Arial" w:cs="Arial" w:eastAsia="Arial" w:hAnsi="Arial"/>
                <w:sz w:val="13"/>
                <w:szCs w:val="13"/>
                <w:color w:val="auto"/>
              </w:rPr>
              <w:t>At fair value through other</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20" w:type="dxa"/>
            <w:vAlign w:val="bottom"/>
          </w:tcPr>
          <w:p>
            <w:pPr>
              <w:ind w:left="300"/>
              <w:spacing w:after="0" w:line="147" w:lineRule="exact"/>
              <w:rPr>
                <w:sz w:val="20"/>
                <w:szCs w:val="20"/>
                <w:color w:val="auto"/>
              </w:rPr>
            </w:pPr>
            <w:r>
              <w:rPr>
                <w:rFonts w:ascii="Arial" w:cs="Arial" w:eastAsia="Arial" w:hAnsi="Arial"/>
                <w:sz w:val="13"/>
                <w:szCs w:val="13"/>
                <w:color w:val="auto"/>
              </w:rPr>
              <w:t>comprehensive income pledged</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20" w:type="dxa"/>
            <w:vAlign w:val="bottom"/>
          </w:tcPr>
          <w:p>
            <w:pPr>
              <w:ind w:left="300"/>
              <w:spacing w:after="0" w:line="147" w:lineRule="exact"/>
              <w:rPr>
                <w:sz w:val="20"/>
                <w:szCs w:val="20"/>
                <w:color w:val="auto"/>
              </w:rPr>
            </w:pPr>
            <w:r>
              <w:rPr>
                <w:rFonts w:ascii="Arial" w:cs="Arial" w:eastAsia="Arial" w:hAnsi="Arial"/>
                <w:sz w:val="13"/>
                <w:szCs w:val="13"/>
                <w:color w:val="auto"/>
              </w:rPr>
              <w:t>as collateral</w:t>
            </w:r>
          </w:p>
        </w:tc>
        <w:tc>
          <w:tcPr>
            <w:tcW w:w="4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4,269,862</w:t>
            </w:r>
          </w:p>
        </w:tc>
        <w:tc>
          <w:tcPr>
            <w:tcW w:w="6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1,108,100</w:t>
            </w:r>
          </w:p>
        </w:tc>
        <w:tc>
          <w:tcPr>
            <w:tcW w:w="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318,352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22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4"/>
              </w:rPr>
              <w:t>6(b)</w:t>
            </w:r>
          </w:p>
        </w:tc>
        <w:tc>
          <w:tcPr>
            <w:tcW w:w="880" w:type="dxa"/>
            <w:vAlign w:val="bottom"/>
          </w:tcPr>
          <w:p>
            <w:pPr>
              <w:jc w:val="right"/>
              <w:spacing w:after="0"/>
              <w:rPr>
                <w:sz w:val="20"/>
                <w:szCs w:val="20"/>
                <w:color w:val="auto"/>
              </w:rPr>
            </w:pPr>
            <w:r>
              <w:rPr>
                <w:rFonts w:ascii="Arial" w:cs="Arial" w:eastAsia="Arial" w:hAnsi="Arial"/>
                <w:sz w:val="13"/>
                <w:szCs w:val="13"/>
                <w:color w:val="auto"/>
              </w:rPr>
              <w:t>37,043,940</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30,786,161</w:t>
            </w:r>
          </w:p>
        </w:tc>
        <w:tc>
          <w:tcPr>
            <w:tcW w:w="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34,758,443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As of</w:t>
            </w:r>
          </w:p>
        </w:tc>
        <w:tc>
          <w:tcPr>
            <w:tcW w:w="920" w:type="dxa"/>
            <w:vAlign w:val="bottom"/>
          </w:tcPr>
          <w:p>
            <w:pPr>
              <w:ind w:left="4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As of</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December</w:t>
            </w:r>
          </w:p>
        </w:tc>
        <w:tc>
          <w:tcPr>
            <w:tcW w:w="92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January</w:t>
            </w: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December 31,</w:t>
            </w:r>
          </w:p>
        </w:tc>
        <w:tc>
          <w:tcPr>
            <w:tcW w:w="92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31, 2022</w:t>
            </w:r>
          </w:p>
        </w:tc>
        <w:tc>
          <w:tcPr>
            <w:tcW w:w="60" w:type="dxa"/>
            <w:vAlign w:val="bottom"/>
          </w:tcPr>
          <w:p>
            <w:pPr>
              <w:spacing w:after="0"/>
              <w:rPr>
                <w:sz w:val="12"/>
                <w:szCs w:val="12"/>
                <w:color w:val="auto"/>
              </w:rPr>
            </w:pPr>
          </w:p>
        </w:tc>
        <w:tc>
          <w:tcPr>
            <w:tcW w:w="92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01, 2022</w:t>
            </w: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3"/>
                <w:szCs w:val="13"/>
                <w:b w:val="1"/>
                <w:bCs w:val="1"/>
                <w:color w:val="auto"/>
              </w:rPr>
              <w:t>Note</w:t>
            </w:r>
          </w:p>
        </w:tc>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(Restated) (*)</w:t>
            </w:r>
          </w:p>
        </w:tc>
        <w:tc>
          <w:tcPr>
            <w:tcW w:w="920" w:type="dxa"/>
            <w:vAlign w:val="bottom"/>
          </w:tcPr>
          <w:p>
            <w:pPr>
              <w:ind w:left="40"/>
              <w:spacing w:after="0"/>
              <w:rPr>
                <w:sz w:val="20"/>
                <w:szCs w:val="20"/>
                <w:color w:val="auto"/>
              </w:rPr>
            </w:pPr>
            <w:r>
              <w:rPr>
                <w:rFonts w:ascii="Arial" w:cs="Arial" w:eastAsia="Arial" w:hAnsi="Arial"/>
                <w:sz w:val="13"/>
                <w:szCs w:val="13"/>
                <w:b w:val="1"/>
                <w:bCs w:val="1"/>
                <w:color w:val="auto"/>
              </w:rPr>
              <w:t>(Restated) (*)</w:t>
            </w:r>
          </w:p>
        </w:tc>
        <w:tc>
          <w:tcPr>
            <w:tcW w:w="0" w:type="dxa"/>
            <w:vAlign w:val="bottom"/>
          </w:tcPr>
          <w:p>
            <w:pPr>
              <w:spacing w:after="0"/>
              <w:rPr>
                <w:sz w:val="1"/>
                <w:szCs w:val="1"/>
                <w:color w:val="auto"/>
              </w:rPr>
            </w:pPr>
          </w:p>
        </w:tc>
      </w:tr>
      <w:tr>
        <w:trPr>
          <w:trHeight w:val="170"/>
        </w:trPr>
        <w:tc>
          <w:tcPr>
            <w:tcW w:w="2040" w:type="dxa"/>
            <w:vAlign w:val="bottom"/>
            <w:vMerge w:val="restart"/>
          </w:tcPr>
          <w:p>
            <w:pPr>
              <w:spacing w:after="0"/>
              <w:rPr>
                <w:sz w:val="20"/>
                <w:szCs w:val="20"/>
                <w:color w:val="auto"/>
              </w:rPr>
            </w:pPr>
            <w:r>
              <w:rPr>
                <w:rFonts w:ascii="Arial" w:cs="Arial" w:eastAsia="Arial" w:hAnsi="Arial"/>
                <w:sz w:val="13"/>
                <w:szCs w:val="13"/>
                <w:b w:val="1"/>
                <w:bCs w:val="1"/>
                <w:color w:val="auto"/>
              </w:rPr>
              <w:t>Liabilities</w:t>
            </w:r>
          </w:p>
        </w:tc>
        <w:tc>
          <w:tcPr>
            <w:tcW w:w="480" w:type="dxa"/>
            <w:vAlign w:val="bottom"/>
          </w:tcPr>
          <w:p>
            <w:pPr>
              <w:spacing w:after="0"/>
              <w:rPr>
                <w:sz w:val="14"/>
                <w:szCs w:val="14"/>
                <w:color w:val="auto"/>
              </w:rPr>
            </w:pPr>
          </w:p>
        </w:tc>
        <w:tc>
          <w:tcPr>
            <w:tcW w:w="96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92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92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39"/>
        </w:trPr>
        <w:tc>
          <w:tcPr>
            <w:tcW w:w="20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040" w:type="dxa"/>
            <w:vAlign w:val="bottom"/>
          </w:tcPr>
          <w:p>
            <w:pPr>
              <w:spacing w:after="0"/>
              <w:rPr>
                <w:sz w:val="20"/>
                <w:szCs w:val="20"/>
                <w:color w:val="auto"/>
              </w:rPr>
            </w:pPr>
            <w:r>
              <w:rPr>
                <w:rFonts w:ascii="Arial" w:cs="Arial" w:eastAsia="Arial" w:hAnsi="Arial"/>
                <w:sz w:val="13"/>
                <w:szCs w:val="13"/>
                <w:color w:val="auto"/>
              </w:rPr>
              <w:t>Deposits and obligations:</w:t>
            </w: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40" w:type="dxa"/>
            <w:vAlign w:val="bottom"/>
          </w:tcPr>
          <w:p>
            <w:pPr>
              <w:ind w:left="160"/>
              <w:spacing w:after="0" w:line="147" w:lineRule="exact"/>
              <w:rPr>
                <w:sz w:val="20"/>
                <w:szCs w:val="20"/>
                <w:color w:val="auto"/>
              </w:rPr>
            </w:pPr>
            <w:r>
              <w:rPr>
                <w:rFonts w:ascii="Arial" w:cs="Arial" w:eastAsia="Arial" w:hAnsi="Arial"/>
                <w:sz w:val="13"/>
                <w:szCs w:val="13"/>
                <w:color w:val="auto"/>
              </w:rPr>
              <w:t>Non-interest-bearing</w:t>
            </w:r>
          </w:p>
        </w:tc>
        <w:tc>
          <w:tcPr>
            <w:tcW w:w="4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42,234,498</w:t>
            </w:r>
          </w:p>
        </w:tc>
        <w:tc>
          <w:tcPr>
            <w:tcW w:w="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43,346,151</w:t>
            </w:r>
          </w:p>
        </w:tc>
        <w:tc>
          <w:tcPr>
            <w:tcW w:w="6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51,851,206</w:t>
            </w:r>
          </w:p>
        </w:tc>
        <w:tc>
          <w:tcPr>
            <w:tcW w:w="0" w:type="dxa"/>
            <w:vAlign w:val="bottom"/>
          </w:tcPr>
          <w:p>
            <w:pPr>
              <w:spacing w:after="0"/>
              <w:rPr>
                <w:sz w:val="1"/>
                <w:szCs w:val="1"/>
                <w:color w:val="auto"/>
              </w:rPr>
            </w:pPr>
          </w:p>
        </w:tc>
      </w:tr>
      <w:tr>
        <w:trPr>
          <w:trHeight w:val="154"/>
        </w:trPr>
        <w:tc>
          <w:tcPr>
            <w:tcW w:w="2040" w:type="dxa"/>
            <w:vAlign w:val="bottom"/>
          </w:tcPr>
          <w:p>
            <w:pPr>
              <w:ind w:left="160"/>
              <w:spacing w:after="0"/>
              <w:rPr>
                <w:sz w:val="20"/>
                <w:szCs w:val="20"/>
                <w:color w:val="auto"/>
              </w:rPr>
            </w:pPr>
            <w:r>
              <w:rPr>
                <w:rFonts w:ascii="Arial" w:cs="Arial" w:eastAsia="Arial" w:hAnsi="Arial"/>
                <w:sz w:val="13"/>
                <w:szCs w:val="13"/>
                <w:color w:val="auto"/>
              </w:rPr>
              <w:t>Interest-bearing</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98"/>
              </w:rPr>
              <w:t>13(a)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105,470,496</w:t>
            </w:r>
          </w:p>
        </w:tc>
        <w:tc>
          <w:tcPr>
            <w:tcW w:w="4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103,674,636</w:t>
            </w:r>
          </w:p>
        </w:tc>
        <w:tc>
          <w:tcPr>
            <w:tcW w:w="6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97,745,339</w:t>
            </w:r>
          </w:p>
        </w:tc>
        <w:tc>
          <w:tcPr>
            <w:tcW w:w="0" w:type="dxa"/>
            <w:vAlign w:val="bottom"/>
          </w:tcPr>
          <w:p>
            <w:pPr>
              <w:spacing w:after="0"/>
              <w:rPr>
                <w:sz w:val="1"/>
                <w:szCs w:val="1"/>
                <w:color w:val="auto"/>
              </w:rPr>
            </w:pPr>
          </w:p>
        </w:tc>
      </w:tr>
      <w:tr>
        <w:trPr>
          <w:trHeight w:val="164"/>
        </w:trPr>
        <w:tc>
          <w:tcPr>
            <w:tcW w:w="20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147,704,994</w:t>
            </w:r>
          </w:p>
        </w:tc>
        <w:tc>
          <w:tcPr>
            <w:tcW w:w="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147,020,787</w:t>
            </w: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149,596,545</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Arial" w:cs="Arial" w:eastAsia="Arial" w:hAnsi="Arial"/>
                <w:sz w:val="13"/>
                <w:szCs w:val="13"/>
                <w:color w:val="auto"/>
              </w:rPr>
              <w:t>Payables from repurchase</w:t>
            </w: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40" w:type="dxa"/>
            <w:vAlign w:val="bottom"/>
          </w:tcPr>
          <w:p>
            <w:pPr>
              <w:ind w:left="160"/>
              <w:spacing w:after="0" w:line="147" w:lineRule="exact"/>
              <w:rPr>
                <w:sz w:val="20"/>
                <w:szCs w:val="20"/>
                <w:color w:val="auto"/>
              </w:rPr>
            </w:pPr>
            <w:r>
              <w:rPr>
                <w:rFonts w:ascii="Arial" w:cs="Arial" w:eastAsia="Arial" w:hAnsi="Arial"/>
                <w:sz w:val="13"/>
                <w:szCs w:val="13"/>
                <w:color w:val="auto"/>
              </w:rPr>
              <w:t>agreements and securities</w:t>
            </w: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tcPr>
          <w:p>
            <w:pPr>
              <w:ind w:left="160"/>
              <w:spacing w:after="0" w:line="147" w:lineRule="exact"/>
              <w:rPr>
                <w:sz w:val="20"/>
                <w:szCs w:val="20"/>
                <w:color w:val="auto"/>
              </w:rPr>
            </w:pPr>
            <w:r>
              <w:rPr>
                <w:rFonts w:ascii="Arial" w:cs="Arial" w:eastAsia="Arial" w:hAnsi="Arial"/>
                <w:sz w:val="13"/>
                <w:szCs w:val="13"/>
                <w:color w:val="auto"/>
              </w:rPr>
              <w:t>lending</w:t>
            </w: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auto"/>
                <w:w w:val="94"/>
              </w:rPr>
              <w:t>5(b)</w:t>
            </w: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10,168,427</w:t>
            </w:r>
          </w:p>
        </w:tc>
        <w:tc>
          <w:tcPr>
            <w:tcW w:w="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12,966,725</w:t>
            </w:r>
          </w:p>
        </w:tc>
        <w:tc>
          <w:tcPr>
            <w:tcW w:w="6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22,013,866</w:t>
            </w:r>
          </w:p>
        </w:tc>
        <w:tc>
          <w:tcPr>
            <w:tcW w:w="0" w:type="dxa"/>
            <w:vAlign w:val="bottom"/>
          </w:tcPr>
          <w:p>
            <w:pPr>
              <w:spacing w:after="0"/>
              <w:rPr>
                <w:sz w:val="1"/>
                <w:szCs w:val="1"/>
                <w:color w:val="auto"/>
              </w:rPr>
            </w:pPr>
          </w:p>
        </w:tc>
      </w:tr>
      <w:tr>
        <w:trPr>
          <w:trHeight w:val="147"/>
        </w:trPr>
        <w:tc>
          <w:tcPr>
            <w:tcW w:w="2040" w:type="dxa"/>
            <w:vAlign w:val="bottom"/>
          </w:tcPr>
          <w:p>
            <w:pPr>
              <w:spacing w:after="0" w:line="147" w:lineRule="exact"/>
              <w:rPr>
                <w:sz w:val="20"/>
                <w:szCs w:val="20"/>
                <w:color w:val="auto"/>
              </w:rPr>
            </w:pPr>
            <w:r>
              <w:rPr>
                <w:rFonts w:ascii="Arial" w:cs="Arial" w:eastAsia="Arial" w:hAnsi="Arial"/>
                <w:sz w:val="13"/>
                <w:szCs w:val="13"/>
                <w:color w:val="auto"/>
              </w:rPr>
              <w:t>Due to banks and correspondents</w:t>
            </w: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auto"/>
                <w:w w:val="98"/>
              </w:rPr>
              <w:t>14(a)</w:t>
            </w: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12,278,681</w:t>
            </w:r>
          </w:p>
        </w:tc>
        <w:tc>
          <w:tcPr>
            <w:tcW w:w="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8,937,411</w:t>
            </w:r>
          </w:p>
        </w:tc>
        <w:tc>
          <w:tcPr>
            <w:tcW w:w="6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7,212,946</w:t>
            </w:r>
          </w:p>
        </w:tc>
        <w:tc>
          <w:tcPr>
            <w:tcW w:w="0" w:type="dxa"/>
            <w:vAlign w:val="bottom"/>
          </w:tcPr>
          <w:p>
            <w:pPr>
              <w:spacing w:after="0"/>
              <w:rPr>
                <w:sz w:val="1"/>
                <w:szCs w:val="1"/>
                <w:color w:val="auto"/>
              </w:rPr>
            </w:pPr>
          </w:p>
        </w:tc>
      </w:tr>
      <w:tr>
        <w:trPr>
          <w:trHeight w:val="147"/>
        </w:trPr>
        <w:tc>
          <w:tcPr>
            <w:tcW w:w="2040" w:type="dxa"/>
            <w:vAlign w:val="bottom"/>
          </w:tcPr>
          <w:p>
            <w:pPr>
              <w:spacing w:after="0" w:line="147" w:lineRule="exact"/>
              <w:rPr>
                <w:sz w:val="20"/>
                <w:szCs w:val="20"/>
                <w:color w:val="auto"/>
              </w:rPr>
            </w:pPr>
            <w:r>
              <w:rPr>
                <w:rFonts w:ascii="Arial" w:cs="Arial" w:eastAsia="Arial" w:hAnsi="Arial"/>
                <w:sz w:val="13"/>
                <w:szCs w:val="13"/>
                <w:color w:val="auto"/>
              </w:rPr>
              <w:t>Due from customers on banker’s</w:t>
            </w: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tcPr>
          <w:p>
            <w:pPr>
              <w:ind w:left="160"/>
              <w:spacing w:after="0" w:line="147" w:lineRule="exact"/>
              <w:rPr>
                <w:sz w:val="20"/>
                <w:szCs w:val="20"/>
                <w:color w:val="auto"/>
              </w:rPr>
            </w:pPr>
            <w:r>
              <w:rPr>
                <w:rFonts w:ascii="Arial" w:cs="Arial" w:eastAsia="Arial" w:hAnsi="Arial"/>
                <w:sz w:val="13"/>
                <w:szCs w:val="13"/>
                <w:color w:val="auto"/>
              </w:rPr>
              <w:t>acceptances</w:t>
            </w: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auto"/>
                <w:w w:val="94"/>
              </w:rPr>
              <w:t>3(o)</w:t>
            </w: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412,401</w:t>
            </w:r>
          </w:p>
        </w:tc>
        <w:tc>
          <w:tcPr>
            <w:tcW w:w="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699,678</w:t>
            </w:r>
          </w:p>
        </w:tc>
        <w:tc>
          <w:tcPr>
            <w:tcW w:w="6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532,404</w:t>
            </w:r>
          </w:p>
        </w:tc>
        <w:tc>
          <w:tcPr>
            <w:tcW w:w="0" w:type="dxa"/>
            <w:vAlign w:val="bottom"/>
          </w:tcPr>
          <w:p>
            <w:pPr>
              <w:spacing w:after="0"/>
              <w:rPr>
                <w:sz w:val="1"/>
                <w:szCs w:val="1"/>
                <w:color w:val="auto"/>
              </w:rPr>
            </w:pPr>
          </w:p>
        </w:tc>
      </w:tr>
      <w:tr>
        <w:trPr>
          <w:trHeight w:val="147"/>
        </w:trPr>
        <w:tc>
          <w:tcPr>
            <w:tcW w:w="2040" w:type="dxa"/>
            <w:vAlign w:val="bottom"/>
          </w:tcPr>
          <w:p>
            <w:pPr>
              <w:spacing w:after="0" w:line="147" w:lineRule="exact"/>
              <w:rPr>
                <w:sz w:val="20"/>
                <w:szCs w:val="20"/>
                <w:color w:val="auto"/>
              </w:rPr>
            </w:pPr>
            <w:r>
              <w:rPr>
                <w:rFonts w:ascii="Arial" w:cs="Arial" w:eastAsia="Arial" w:hAnsi="Arial"/>
                <w:sz w:val="13"/>
                <w:szCs w:val="13"/>
                <w:color w:val="auto"/>
              </w:rPr>
              <w:t>Lease liabilities</w:t>
            </w: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auto"/>
                <w:w w:val="98"/>
              </w:rPr>
              <w:t>11(b)</w:t>
            </w: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512,579</w:t>
            </w:r>
          </w:p>
        </w:tc>
        <w:tc>
          <w:tcPr>
            <w:tcW w:w="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578,074</w:t>
            </w:r>
          </w:p>
        </w:tc>
        <w:tc>
          <w:tcPr>
            <w:tcW w:w="6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655,294</w:t>
            </w:r>
          </w:p>
        </w:tc>
        <w:tc>
          <w:tcPr>
            <w:tcW w:w="0" w:type="dxa"/>
            <w:vAlign w:val="bottom"/>
          </w:tcPr>
          <w:p>
            <w:pPr>
              <w:spacing w:after="0"/>
              <w:rPr>
                <w:sz w:val="1"/>
                <w:szCs w:val="1"/>
                <w:color w:val="auto"/>
              </w:rPr>
            </w:pPr>
          </w:p>
        </w:tc>
      </w:tr>
      <w:tr>
        <w:trPr>
          <w:trHeight w:val="147"/>
        </w:trPr>
        <w:tc>
          <w:tcPr>
            <w:tcW w:w="2040" w:type="dxa"/>
            <w:vAlign w:val="bottom"/>
          </w:tcPr>
          <w:p>
            <w:pPr>
              <w:spacing w:after="0" w:line="147" w:lineRule="exact"/>
              <w:rPr>
                <w:sz w:val="20"/>
                <w:szCs w:val="20"/>
                <w:color w:val="auto"/>
              </w:rPr>
            </w:pPr>
            <w:r>
              <w:rPr>
                <w:rFonts w:ascii="Arial" w:cs="Arial" w:eastAsia="Arial" w:hAnsi="Arial"/>
                <w:sz w:val="13"/>
                <w:szCs w:val="13"/>
                <w:color w:val="auto"/>
              </w:rPr>
              <w:t>Financial liabilities at fair value</w:t>
            </w: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tcPr>
          <w:p>
            <w:pPr>
              <w:ind w:left="160"/>
              <w:spacing w:after="0" w:line="147" w:lineRule="exact"/>
              <w:rPr>
                <w:sz w:val="20"/>
                <w:szCs w:val="20"/>
                <w:color w:val="auto"/>
              </w:rPr>
            </w:pPr>
            <w:r>
              <w:rPr>
                <w:rFonts w:ascii="Arial" w:cs="Arial" w:eastAsia="Arial" w:hAnsi="Arial"/>
                <w:sz w:val="13"/>
                <w:szCs w:val="13"/>
                <w:color w:val="auto"/>
              </w:rPr>
              <w:t>through profit or loss</w:t>
            </w: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auto"/>
                <w:w w:val="98"/>
              </w:rPr>
              <w:t>3(z)</w:t>
            </w: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641,915</w:t>
            </w:r>
          </w:p>
        </w:tc>
        <w:tc>
          <w:tcPr>
            <w:tcW w:w="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191,010</w:t>
            </w:r>
          </w:p>
        </w:tc>
        <w:tc>
          <w:tcPr>
            <w:tcW w:w="6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337,909</w:t>
            </w:r>
          </w:p>
        </w:tc>
        <w:tc>
          <w:tcPr>
            <w:tcW w:w="0" w:type="dxa"/>
            <w:vAlign w:val="bottom"/>
          </w:tcPr>
          <w:p>
            <w:pPr>
              <w:spacing w:after="0"/>
              <w:rPr>
                <w:sz w:val="1"/>
                <w:szCs w:val="1"/>
                <w:color w:val="auto"/>
              </w:rPr>
            </w:pPr>
          </w:p>
        </w:tc>
      </w:tr>
      <w:tr>
        <w:trPr>
          <w:trHeight w:val="147"/>
        </w:trPr>
        <w:tc>
          <w:tcPr>
            <w:tcW w:w="2040" w:type="dxa"/>
            <w:vAlign w:val="bottom"/>
          </w:tcPr>
          <w:p>
            <w:pPr>
              <w:spacing w:after="0" w:line="147" w:lineRule="exact"/>
              <w:rPr>
                <w:sz w:val="20"/>
                <w:szCs w:val="20"/>
                <w:color w:val="auto"/>
              </w:rPr>
            </w:pPr>
            <w:r>
              <w:rPr>
                <w:rFonts w:ascii="Arial" w:cs="Arial" w:eastAsia="Arial" w:hAnsi="Arial"/>
                <w:sz w:val="13"/>
                <w:szCs w:val="13"/>
                <w:color w:val="auto"/>
              </w:rPr>
              <w:t>Insurance contract liability</w:t>
            </w: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auto"/>
                <w:w w:val="94"/>
              </w:rPr>
              <w:t>8(b)</w:t>
            </w: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12,318,133</w:t>
            </w:r>
          </w:p>
        </w:tc>
        <w:tc>
          <w:tcPr>
            <w:tcW w:w="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11,154,008</w:t>
            </w:r>
          </w:p>
        </w:tc>
        <w:tc>
          <w:tcPr>
            <w:tcW w:w="6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11,920,974</w:t>
            </w:r>
          </w:p>
        </w:tc>
        <w:tc>
          <w:tcPr>
            <w:tcW w:w="0" w:type="dxa"/>
            <w:vAlign w:val="bottom"/>
          </w:tcPr>
          <w:p>
            <w:pPr>
              <w:spacing w:after="0"/>
              <w:rPr>
                <w:sz w:val="1"/>
                <w:szCs w:val="1"/>
                <w:color w:val="auto"/>
              </w:rPr>
            </w:pPr>
          </w:p>
        </w:tc>
      </w:tr>
      <w:tr>
        <w:trPr>
          <w:trHeight w:val="147"/>
        </w:trPr>
        <w:tc>
          <w:tcPr>
            <w:tcW w:w="2040" w:type="dxa"/>
            <w:vAlign w:val="bottom"/>
          </w:tcPr>
          <w:p>
            <w:pPr>
              <w:spacing w:after="0" w:line="147" w:lineRule="exact"/>
              <w:rPr>
                <w:sz w:val="20"/>
                <w:szCs w:val="20"/>
                <w:color w:val="auto"/>
              </w:rPr>
            </w:pPr>
            <w:r>
              <w:rPr>
                <w:rFonts w:ascii="Arial" w:cs="Arial" w:eastAsia="Arial" w:hAnsi="Arial"/>
                <w:sz w:val="13"/>
                <w:szCs w:val="13"/>
                <w:color w:val="auto"/>
              </w:rPr>
              <w:t>Bonds and notes issued</w:t>
            </w: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auto"/>
                <w:w w:val="96"/>
              </w:rPr>
              <w:t>15</w:t>
            </w: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14,594,785</w:t>
            </w:r>
          </w:p>
        </w:tc>
        <w:tc>
          <w:tcPr>
            <w:tcW w:w="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17,007,194</w:t>
            </w:r>
          </w:p>
        </w:tc>
        <w:tc>
          <w:tcPr>
            <w:tcW w:w="6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17,823,146</w:t>
            </w:r>
          </w:p>
        </w:tc>
        <w:tc>
          <w:tcPr>
            <w:tcW w:w="0" w:type="dxa"/>
            <w:vAlign w:val="bottom"/>
          </w:tcPr>
          <w:p>
            <w:pPr>
              <w:spacing w:after="0"/>
              <w:rPr>
                <w:sz w:val="1"/>
                <w:szCs w:val="1"/>
                <w:color w:val="auto"/>
              </w:rPr>
            </w:pPr>
          </w:p>
        </w:tc>
      </w:tr>
      <w:tr>
        <w:trPr>
          <w:trHeight w:val="147"/>
        </w:trPr>
        <w:tc>
          <w:tcPr>
            <w:tcW w:w="2040" w:type="dxa"/>
            <w:vAlign w:val="bottom"/>
          </w:tcPr>
          <w:p>
            <w:pPr>
              <w:spacing w:after="0" w:line="147" w:lineRule="exact"/>
              <w:rPr>
                <w:sz w:val="20"/>
                <w:szCs w:val="20"/>
                <w:color w:val="auto"/>
              </w:rPr>
            </w:pPr>
            <w:r>
              <w:rPr>
                <w:rFonts w:ascii="Arial" w:cs="Arial" w:eastAsia="Arial" w:hAnsi="Arial"/>
                <w:sz w:val="13"/>
                <w:szCs w:val="13"/>
                <w:color w:val="auto"/>
              </w:rPr>
              <w:t>Deferred tax liabilities, net</w:t>
            </w: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auto"/>
              </w:rPr>
              <w:t>17(c)</w:t>
            </w: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107,517</w:t>
            </w:r>
          </w:p>
        </w:tc>
        <w:tc>
          <w:tcPr>
            <w:tcW w:w="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75,005</w:t>
            </w:r>
          </w:p>
        </w:tc>
        <w:tc>
          <w:tcPr>
            <w:tcW w:w="6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74,167</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Arial" w:cs="Arial" w:eastAsia="Arial" w:hAnsi="Arial"/>
                <w:sz w:val="13"/>
                <w:szCs w:val="13"/>
                <w:color w:val="auto"/>
              </w:rPr>
              <w:t>Other liabilities</w:t>
            </w:r>
          </w:p>
        </w:tc>
        <w:tc>
          <w:tcPr>
            <w:tcW w:w="480" w:type="dxa"/>
            <w:vAlign w:val="bottom"/>
          </w:tcPr>
          <w:p>
            <w:pPr>
              <w:jc w:val="center"/>
              <w:spacing w:after="0"/>
              <w:rPr>
                <w:sz w:val="20"/>
                <w:szCs w:val="20"/>
                <w:color w:val="auto"/>
              </w:rPr>
            </w:pPr>
            <w:r>
              <w:rPr>
                <w:rFonts w:ascii="Arial" w:cs="Arial" w:eastAsia="Arial" w:hAnsi="Arial"/>
                <w:sz w:val="13"/>
                <w:szCs w:val="13"/>
                <w:color w:val="auto"/>
                <w:w w:val="96"/>
              </w:rPr>
              <w:t>12</w:t>
            </w:r>
          </w:p>
        </w:tc>
        <w:tc>
          <w:tcPr>
            <w:tcW w:w="960" w:type="dxa"/>
            <w:vAlign w:val="bottom"/>
          </w:tcPr>
          <w:p>
            <w:pPr>
              <w:jc w:val="right"/>
              <w:spacing w:after="0"/>
              <w:rPr>
                <w:sz w:val="20"/>
                <w:szCs w:val="20"/>
                <w:color w:val="auto"/>
              </w:rPr>
            </w:pPr>
            <w:r>
              <w:rPr>
                <w:rFonts w:ascii="Arial" w:cs="Arial" w:eastAsia="Arial" w:hAnsi="Arial"/>
                <w:sz w:val="13"/>
                <w:szCs w:val="13"/>
                <w:color w:val="auto"/>
              </w:rPr>
              <w:t>6,993,691</w:t>
            </w:r>
          </w:p>
        </w:tc>
        <w:tc>
          <w:tcPr>
            <w:tcW w:w="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7,189,052</w:t>
            </w: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6,444,097</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2">
            <w:col w:w="5400" w:space="440"/>
            <w:col w:w="5420"/>
          </w:cols>
          <w:pgMar w:left="320" w:top="124" w:right="319" w:bottom="1440" w:gutter="0" w:footer="0" w:header="0"/>
          <w:type w:val="continuous"/>
        </w:sectPr>
      </w:pPr>
    </w:p>
    <w:tbl>
      <w:tblPr>
        <w:tblLayout w:type="fixed"/>
        <w:tblInd w:w="140" w:type="dxa"/>
        <w:tblCellMar>
          <w:top w:w="0" w:type="dxa"/>
          <w:left w:w="0" w:type="dxa"/>
          <w:bottom w:w="0" w:type="dxa"/>
          <w:right w:w="0" w:type="dxa"/>
        </w:tblCellMar>
      </w:tblPr>
      <w:tr>
        <w:trPr>
          <w:trHeight w:val="139"/>
        </w:trPr>
        <w:tc>
          <w:tcPr>
            <w:tcW w:w="2560" w:type="dxa"/>
            <w:vAlign w:val="bottom"/>
            <w:vMerge w:val="restart"/>
          </w:tcPr>
          <w:p>
            <w:pPr>
              <w:spacing w:after="0"/>
              <w:rPr>
                <w:sz w:val="20"/>
                <w:szCs w:val="20"/>
                <w:color w:val="auto"/>
              </w:rPr>
            </w:pPr>
            <w:r>
              <w:rPr>
                <w:rFonts w:ascii="Arial" w:cs="Arial" w:eastAsia="Arial" w:hAnsi="Arial"/>
                <w:sz w:val="13"/>
                <w:szCs w:val="13"/>
                <w:color w:val="auto"/>
              </w:rPr>
              <w:t>Amortized cost</w:t>
            </w:r>
          </w:p>
        </w:tc>
        <w:tc>
          <w:tcPr>
            <w:tcW w:w="8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3"/>
                <w:szCs w:val="13"/>
                <w:color w:val="auto"/>
              </w:rPr>
              <w:t>7,924,830</w:t>
            </w:r>
          </w:p>
        </w:tc>
        <w:tc>
          <w:tcPr>
            <w:tcW w:w="60" w:type="dxa"/>
            <w:vAlign w:val="bottom"/>
          </w:tcPr>
          <w:p>
            <w:pPr>
              <w:spacing w:after="0"/>
              <w:rPr>
                <w:sz w:val="12"/>
                <w:szCs w:val="12"/>
                <w:color w:val="auto"/>
              </w:rPr>
            </w:pPr>
          </w:p>
        </w:tc>
        <w:tc>
          <w:tcPr>
            <w:tcW w:w="86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3"/>
                <w:szCs w:val="13"/>
                <w:color w:val="auto"/>
              </w:rPr>
              <w:t>6,905,201</w:t>
            </w:r>
          </w:p>
        </w:tc>
        <w:tc>
          <w:tcPr>
            <w:tcW w:w="40" w:type="dxa"/>
            <w:vAlign w:val="bottom"/>
          </w:tcPr>
          <w:p>
            <w:pPr>
              <w:spacing w:after="0"/>
              <w:rPr>
                <w:sz w:val="12"/>
                <w:szCs w:val="12"/>
                <w:color w:val="auto"/>
              </w:rPr>
            </w:pPr>
          </w:p>
        </w:tc>
        <w:tc>
          <w:tcPr>
            <w:tcW w:w="86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3"/>
                <w:szCs w:val="13"/>
                <w:color w:val="auto"/>
              </w:rPr>
              <w:t>4,411,592</w:t>
            </w:r>
          </w:p>
        </w:tc>
        <w:tc>
          <w:tcPr>
            <w:tcW w:w="1960" w:type="dxa"/>
            <w:vAlign w:val="bottom"/>
          </w:tcPr>
          <w:p>
            <w:pPr>
              <w:ind w:left="440"/>
              <w:spacing w:after="0" w:line="139" w:lineRule="exact"/>
              <w:rPr>
                <w:sz w:val="20"/>
                <w:szCs w:val="20"/>
                <w:color w:val="auto"/>
              </w:rPr>
            </w:pPr>
            <w:r>
              <w:rPr>
                <w:rFonts w:ascii="Arial" w:cs="Arial" w:eastAsia="Arial" w:hAnsi="Arial"/>
                <w:sz w:val="13"/>
                <w:szCs w:val="13"/>
                <w:color w:val="auto"/>
              </w:rPr>
              <w:t>Total liabilities</w:t>
            </w:r>
          </w:p>
        </w:tc>
        <w:tc>
          <w:tcPr>
            <w:tcW w:w="10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205,733,123</w:t>
            </w:r>
          </w:p>
        </w:tc>
        <w:tc>
          <w:tcPr>
            <w:tcW w:w="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205,818,944</w:t>
            </w:r>
          </w:p>
        </w:tc>
        <w:tc>
          <w:tcPr>
            <w:tcW w:w="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216,611,348</w:t>
            </w:r>
          </w:p>
        </w:tc>
        <w:tc>
          <w:tcPr>
            <w:tcW w:w="0" w:type="dxa"/>
            <w:vAlign w:val="bottom"/>
          </w:tcPr>
          <w:p>
            <w:pPr>
              <w:spacing w:after="0"/>
              <w:rPr>
                <w:sz w:val="1"/>
                <w:szCs w:val="1"/>
                <w:color w:val="auto"/>
              </w:rPr>
            </w:pPr>
          </w:p>
        </w:tc>
      </w:tr>
      <w:tr>
        <w:trPr>
          <w:trHeight w:val="119"/>
        </w:trPr>
        <w:tc>
          <w:tcPr>
            <w:tcW w:w="25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60" w:type="dxa"/>
            <w:vAlign w:val="bottom"/>
          </w:tcPr>
          <w:p>
            <w:pPr>
              <w:spacing w:after="0" w:line="147" w:lineRule="exact"/>
              <w:rPr>
                <w:sz w:val="20"/>
                <w:szCs w:val="20"/>
                <w:color w:val="auto"/>
              </w:rPr>
            </w:pPr>
            <w:r>
              <w:rPr>
                <w:rFonts w:ascii="Arial" w:cs="Arial" w:eastAsia="Arial" w:hAnsi="Arial"/>
                <w:sz w:val="13"/>
                <w:szCs w:val="13"/>
                <w:color w:val="auto"/>
              </w:rPr>
              <w:t>Amortized cost pledged as</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2,264,097</w:t>
            </w:r>
          </w:p>
        </w:tc>
        <w:tc>
          <w:tcPr>
            <w:tcW w:w="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3,540,528</w:t>
            </w:r>
          </w:p>
        </w:tc>
        <w:tc>
          <w:tcPr>
            <w:tcW w:w="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3,853,967</w:t>
            </w:r>
          </w:p>
        </w:tc>
        <w:tc>
          <w:tcPr>
            <w:tcW w:w="1960" w:type="dxa"/>
            <w:vAlign w:val="bottom"/>
          </w:tcPr>
          <w:p>
            <w:pPr>
              <w:ind w:left="440"/>
              <w:spacing w:after="0" w:line="147" w:lineRule="exact"/>
              <w:rPr>
                <w:sz w:val="20"/>
                <w:szCs w:val="20"/>
                <w:color w:val="auto"/>
              </w:rPr>
            </w:pPr>
            <w:r>
              <w:rPr>
                <w:rFonts w:ascii="Arial" w:cs="Arial" w:eastAsia="Arial" w:hAnsi="Arial"/>
                <w:sz w:val="13"/>
                <w:szCs w:val="13"/>
                <w:b w:val="1"/>
                <w:bCs w:val="1"/>
                <w:color w:val="auto"/>
              </w:rPr>
              <w:t>Equity</w:t>
            </w:r>
          </w:p>
        </w:tc>
        <w:tc>
          <w:tcPr>
            <w:tcW w:w="1000" w:type="dxa"/>
            <w:vAlign w:val="bottom"/>
          </w:tcPr>
          <w:p>
            <w:pPr>
              <w:jc w:val="right"/>
              <w:ind w:right="95"/>
              <w:spacing w:after="0" w:line="147" w:lineRule="exact"/>
              <w:rPr>
                <w:sz w:val="20"/>
                <w:szCs w:val="20"/>
                <w:color w:val="auto"/>
              </w:rPr>
            </w:pPr>
            <w:r>
              <w:rPr>
                <w:rFonts w:ascii="Arial" w:cs="Arial" w:eastAsia="Arial" w:hAnsi="Arial"/>
                <w:sz w:val="13"/>
                <w:szCs w:val="13"/>
                <w:color w:val="auto"/>
              </w:rPr>
              <w:t>16</w:t>
            </w: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60" w:type="dxa"/>
            <w:vAlign w:val="bottom"/>
          </w:tcPr>
          <w:p>
            <w:pPr>
              <w:ind w:left="160"/>
              <w:spacing w:after="0"/>
              <w:rPr>
                <w:sz w:val="20"/>
                <w:szCs w:val="20"/>
                <w:color w:val="auto"/>
              </w:rPr>
            </w:pPr>
            <w:r>
              <w:rPr>
                <w:rFonts w:ascii="Arial" w:cs="Arial" w:eastAsia="Arial" w:hAnsi="Arial"/>
                <w:sz w:val="13"/>
                <w:szCs w:val="13"/>
                <w:color w:val="auto"/>
              </w:rPr>
              <w:t>collateral</w:t>
            </w: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124" w:right="31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240" w:type="dxa"/>
            <w:vAlign w:val="bottom"/>
          </w:tcPr>
          <w:p>
            <w:pPr>
              <w:spacing w:after="0"/>
              <w:rPr>
                <w:sz w:val="11"/>
                <w:szCs w:val="11"/>
                <w:color w:val="auto"/>
              </w:rPr>
            </w:pPr>
          </w:p>
        </w:tc>
        <w:tc>
          <w:tcPr>
            <w:tcW w:w="460" w:type="dxa"/>
            <w:vAlign w:val="bottom"/>
          </w:tcPr>
          <w:p>
            <w:pPr>
              <w:jc w:val="center"/>
              <w:spacing w:after="0" w:line="131" w:lineRule="exact"/>
              <w:rPr>
                <w:sz w:val="20"/>
                <w:szCs w:val="20"/>
                <w:color w:val="auto"/>
              </w:rPr>
            </w:pPr>
            <w:r>
              <w:rPr>
                <w:rFonts w:ascii="Arial" w:cs="Arial" w:eastAsia="Arial" w:hAnsi="Arial"/>
                <w:sz w:val="13"/>
                <w:szCs w:val="13"/>
                <w:color w:val="auto"/>
                <w:w w:val="98"/>
              </w:rPr>
              <w:t>6(c)</w:t>
            </w:r>
          </w:p>
        </w:tc>
        <w:tc>
          <w:tcPr>
            <w:tcW w:w="8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10,188,927</w:t>
            </w:r>
          </w:p>
        </w:tc>
        <w:tc>
          <w:tcPr>
            <w:tcW w:w="60" w:type="dxa"/>
            <w:vAlign w:val="bottom"/>
          </w:tcPr>
          <w:p>
            <w:pPr>
              <w:spacing w:after="0"/>
              <w:rPr>
                <w:sz w:val="11"/>
                <w:szCs w:val="11"/>
                <w:color w:val="auto"/>
              </w:rPr>
            </w:pP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10,445,729</w:t>
            </w:r>
          </w:p>
        </w:tc>
        <w:tc>
          <w:tcPr>
            <w:tcW w:w="40" w:type="dxa"/>
            <w:vAlign w:val="bottom"/>
          </w:tcPr>
          <w:p>
            <w:pPr>
              <w:spacing w:after="0"/>
              <w:rPr>
                <w:sz w:val="11"/>
                <w:szCs w:val="11"/>
                <w:color w:val="auto"/>
              </w:rPr>
            </w:pP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8,265,559</w:t>
            </w:r>
          </w:p>
        </w:tc>
      </w:tr>
      <w:tr>
        <w:trPr>
          <w:trHeight w:val="147"/>
        </w:trPr>
        <w:tc>
          <w:tcPr>
            <w:tcW w:w="2240" w:type="dxa"/>
            <w:vAlign w:val="bottom"/>
          </w:tcPr>
          <w:p>
            <w:pPr>
              <w:spacing w:after="0" w:line="147" w:lineRule="exact"/>
              <w:rPr>
                <w:sz w:val="20"/>
                <w:szCs w:val="20"/>
                <w:color w:val="auto"/>
              </w:rPr>
            </w:pPr>
            <w:r>
              <w:rPr>
                <w:rFonts w:ascii="Arial" w:cs="Arial" w:eastAsia="Arial" w:hAnsi="Arial"/>
                <w:sz w:val="13"/>
                <w:szCs w:val="13"/>
                <w:color w:val="auto"/>
              </w:rPr>
              <w:t>Loans:</w:t>
            </w:r>
          </w:p>
        </w:tc>
        <w:tc>
          <w:tcPr>
            <w:tcW w:w="460" w:type="dxa"/>
            <w:vAlign w:val="bottom"/>
          </w:tcPr>
          <w:p>
            <w:pPr>
              <w:jc w:val="center"/>
              <w:spacing w:after="0" w:line="147" w:lineRule="exact"/>
              <w:rPr>
                <w:sz w:val="20"/>
                <w:szCs w:val="20"/>
                <w:color w:val="auto"/>
              </w:rPr>
            </w:pPr>
            <w:r>
              <w:rPr>
                <w:rFonts w:ascii="Arial" w:cs="Arial" w:eastAsia="Arial" w:hAnsi="Arial"/>
                <w:sz w:val="13"/>
                <w:szCs w:val="13"/>
                <w:color w:val="auto"/>
              </w:rPr>
              <w:t>7</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7"/>
        </w:trPr>
        <w:tc>
          <w:tcPr>
            <w:tcW w:w="2240" w:type="dxa"/>
            <w:vAlign w:val="bottom"/>
          </w:tcPr>
          <w:p>
            <w:pPr>
              <w:ind w:left="140"/>
              <w:spacing w:after="0" w:line="147" w:lineRule="exact"/>
              <w:rPr>
                <w:sz w:val="20"/>
                <w:szCs w:val="20"/>
                <w:color w:val="auto"/>
              </w:rPr>
            </w:pPr>
            <w:r>
              <w:rPr>
                <w:rFonts w:ascii="Arial" w:cs="Arial" w:eastAsia="Arial" w:hAnsi="Arial"/>
                <w:sz w:val="13"/>
                <w:szCs w:val="13"/>
                <w:color w:val="auto"/>
              </w:rPr>
              <w:t>Loans</w:t>
            </w:r>
          </w:p>
        </w:tc>
        <w:tc>
          <w:tcPr>
            <w:tcW w:w="46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144,976,051</w:t>
            </w:r>
          </w:p>
        </w:tc>
        <w:tc>
          <w:tcPr>
            <w:tcW w:w="6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148,626,374</w:t>
            </w:r>
          </w:p>
        </w:tc>
        <w:tc>
          <w:tcPr>
            <w:tcW w:w="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147,597,412</w:t>
            </w:r>
          </w:p>
        </w:tc>
      </w:tr>
      <w:tr>
        <w:trPr>
          <w:trHeight w:val="154"/>
        </w:trPr>
        <w:tc>
          <w:tcPr>
            <w:tcW w:w="2240" w:type="dxa"/>
            <w:vAlign w:val="bottom"/>
          </w:tcPr>
          <w:p>
            <w:pPr>
              <w:ind w:left="140"/>
              <w:spacing w:after="0"/>
              <w:rPr>
                <w:sz w:val="20"/>
                <w:szCs w:val="20"/>
                <w:color w:val="auto"/>
              </w:rPr>
            </w:pPr>
            <w:r>
              <w:rPr>
                <w:rFonts w:ascii="Arial" w:cs="Arial" w:eastAsia="Arial" w:hAnsi="Arial"/>
                <w:sz w:val="13"/>
                <w:szCs w:val="13"/>
                <w:color w:val="auto"/>
              </w:rPr>
              <w:t>Allowance for loan losses</w:t>
            </w:r>
          </w:p>
        </w:tc>
        <w:tc>
          <w:tcPr>
            <w:tcW w:w="4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(8,277,916)</w:t>
            </w:r>
          </w:p>
        </w:tc>
        <w:tc>
          <w:tcPr>
            <w:tcW w:w="6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(7,872,402)</w:t>
            </w:r>
          </w:p>
        </w:tc>
        <w:tc>
          <w:tcPr>
            <w:tcW w:w="4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(8,477,308)</w:t>
            </w:r>
          </w:p>
        </w:tc>
      </w:tr>
      <w:tr>
        <w:trPr>
          <w:trHeight w:val="164"/>
        </w:trPr>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136,698,135</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140,753,972</w:t>
            </w:r>
          </w:p>
        </w:tc>
        <w:tc>
          <w:tcPr>
            <w:tcW w:w="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139,120,104</w:t>
            </w:r>
          </w:p>
        </w:tc>
      </w:tr>
      <w:tr>
        <w:trPr>
          <w:trHeight w:val="260"/>
        </w:trPr>
        <w:tc>
          <w:tcPr>
            <w:tcW w:w="2240" w:type="dxa"/>
            <w:vAlign w:val="bottom"/>
          </w:tcPr>
          <w:p>
            <w:pPr>
              <w:spacing w:after="0"/>
              <w:rPr>
                <w:sz w:val="20"/>
                <w:szCs w:val="20"/>
                <w:color w:val="auto"/>
              </w:rPr>
            </w:pPr>
            <w:r>
              <w:rPr>
                <w:rFonts w:ascii="Arial" w:cs="Arial" w:eastAsia="Arial" w:hAnsi="Arial"/>
                <w:sz w:val="13"/>
                <w:szCs w:val="13"/>
                <w:color w:val="auto"/>
              </w:rPr>
              <w:t>Financial assets designated at fair</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47"/>
        </w:trPr>
        <w:tc>
          <w:tcPr>
            <w:tcW w:w="2240" w:type="dxa"/>
            <w:vAlign w:val="bottom"/>
          </w:tcPr>
          <w:p>
            <w:pPr>
              <w:ind w:left="140"/>
              <w:spacing w:after="0" w:line="147" w:lineRule="exact"/>
              <w:rPr>
                <w:sz w:val="20"/>
                <w:szCs w:val="20"/>
                <w:color w:val="auto"/>
              </w:rPr>
            </w:pPr>
            <w:r>
              <w:rPr>
                <w:rFonts w:ascii="Arial" w:cs="Arial" w:eastAsia="Arial" w:hAnsi="Arial"/>
                <w:sz w:val="13"/>
                <w:szCs w:val="13"/>
                <w:color w:val="auto"/>
              </w:rPr>
              <w:t>value through profit or loss</w:t>
            </w:r>
          </w:p>
        </w:tc>
        <w:tc>
          <w:tcPr>
            <w:tcW w:w="46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810,932</w:t>
            </w:r>
          </w:p>
        </w:tc>
        <w:tc>
          <w:tcPr>
            <w:tcW w:w="6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768,801</w:t>
            </w:r>
          </w:p>
        </w:tc>
        <w:tc>
          <w:tcPr>
            <w:tcW w:w="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987,082</w:t>
            </w:r>
          </w:p>
        </w:tc>
      </w:tr>
      <w:tr>
        <w:trPr>
          <w:trHeight w:val="147"/>
        </w:trPr>
        <w:tc>
          <w:tcPr>
            <w:tcW w:w="2240" w:type="dxa"/>
            <w:vAlign w:val="bottom"/>
          </w:tcPr>
          <w:p>
            <w:pPr>
              <w:spacing w:after="0" w:line="147" w:lineRule="exact"/>
              <w:rPr>
                <w:sz w:val="20"/>
                <w:szCs w:val="20"/>
                <w:color w:val="auto"/>
              </w:rPr>
            </w:pPr>
            <w:r>
              <w:rPr>
                <w:rFonts w:ascii="Arial" w:cs="Arial" w:eastAsia="Arial" w:hAnsi="Arial"/>
                <w:sz w:val="13"/>
                <w:szCs w:val="13"/>
                <w:color w:val="auto"/>
              </w:rPr>
              <w:t>Reinsurance contract assets</w:t>
            </w:r>
          </w:p>
        </w:tc>
        <w:tc>
          <w:tcPr>
            <w:tcW w:w="460" w:type="dxa"/>
            <w:vAlign w:val="bottom"/>
          </w:tcPr>
          <w:p>
            <w:pPr>
              <w:jc w:val="center"/>
              <w:spacing w:after="0" w:line="147" w:lineRule="exact"/>
              <w:rPr>
                <w:sz w:val="20"/>
                <w:szCs w:val="20"/>
                <w:color w:val="auto"/>
              </w:rPr>
            </w:pPr>
            <w:r>
              <w:rPr>
                <w:rFonts w:ascii="Arial" w:cs="Arial" w:eastAsia="Arial" w:hAnsi="Arial"/>
                <w:sz w:val="13"/>
                <w:szCs w:val="13"/>
                <w:color w:val="auto"/>
                <w:w w:val="94"/>
              </w:rPr>
              <w:t>8(a)</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872,046</w:t>
            </w:r>
          </w:p>
        </w:tc>
        <w:tc>
          <w:tcPr>
            <w:tcW w:w="6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744,008</w:t>
            </w:r>
          </w:p>
        </w:tc>
        <w:tc>
          <w:tcPr>
            <w:tcW w:w="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812,466</w:t>
            </w:r>
          </w:p>
        </w:tc>
      </w:tr>
      <w:tr>
        <w:trPr>
          <w:trHeight w:val="147"/>
        </w:trPr>
        <w:tc>
          <w:tcPr>
            <w:tcW w:w="2240" w:type="dxa"/>
            <w:vAlign w:val="bottom"/>
          </w:tcPr>
          <w:p>
            <w:pPr>
              <w:spacing w:after="0" w:line="147" w:lineRule="exact"/>
              <w:rPr>
                <w:sz w:val="20"/>
                <w:szCs w:val="20"/>
                <w:color w:val="auto"/>
              </w:rPr>
            </w:pPr>
            <w:r>
              <w:rPr>
                <w:rFonts w:ascii="Arial" w:cs="Arial" w:eastAsia="Arial" w:hAnsi="Arial"/>
                <w:sz w:val="13"/>
                <w:szCs w:val="13"/>
                <w:color w:val="auto"/>
              </w:rPr>
              <w:t>Property, furniture and equipment, net</w:t>
            </w:r>
          </w:p>
        </w:tc>
        <w:tc>
          <w:tcPr>
            <w:tcW w:w="460" w:type="dxa"/>
            <w:vAlign w:val="bottom"/>
          </w:tcPr>
          <w:p>
            <w:pPr>
              <w:jc w:val="center"/>
              <w:spacing w:after="0" w:line="147" w:lineRule="exact"/>
              <w:rPr>
                <w:sz w:val="20"/>
                <w:szCs w:val="20"/>
                <w:color w:val="auto"/>
              </w:rPr>
            </w:pPr>
            <w:r>
              <w:rPr>
                <w:rFonts w:ascii="Arial" w:cs="Arial" w:eastAsia="Arial" w:hAnsi="Arial"/>
                <w:sz w:val="13"/>
                <w:szCs w:val="13"/>
                <w:color w:val="auto"/>
              </w:rPr>
              <w:t>9</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1,357,525</w:t>
            </w:r>
          </w:p>
        </w:tc>
        <w:tc>
          <w:tcPr>
            <w:tcW w:w="6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1,281,098</w:t>
            </w:r>
          </w:p>
        </w:tc>
        <w:tc>
          <w:tcPr>
            <w:tcW w:w="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1,308,779</w:t>
            </w:r>
          </w:p>
        </w:tc>
      </w:tr>
      <w:tr>
        <w:trPr>
          <w:trHeight w:val="147"/>
        </w:trPr>
        <w:tc>
          <w:tcPr>
            <w:tcW w:w="2240" w:type="dxa"/>
            <w:vAlign w:val="bottom"/>
          </w:tcPr>
          <w:p>
            <w:pPr>
              <w:spacing w:after="0" w:line="147" w:lineRule="exact"/>
              <w:rPr>
                <w:sz w:val="20"/>
                <w:szCs w:val="20"/>
                <w:color w:val="auto"/>
              </w:rPr>
            </w:pPr>
            <w:r>
              <w:rPr>
                <w:rFonts w:ascii="Arial" w:cs="Arial" w:eastAsia="Arial" w:hAnsi="Arial"/>
                <w:sz w:val="13"/>
                <w:szCs w:val="13"/>
                <w:color w:val="auto"/>
              </w:rPr>
              <w:t>Due from customers on banker’s</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7"/>
        </w:trPr>
        <w:tc>
          <w:tcPr>
            <w:tcW w:w="2240" w:type="dxa"/>
            <w:vAlign w:val="bottom"/>
          </w:tcPr>
          <w:p>
            <w:pPr>
              <w:ind w:left="140"/>
              <w:spacing w:after="0" w:line="147" w:lineRule="exact"/>
              <w:rPr>
                <w:sz w:val="20"/>
                <w:szCs w:val="20"/>
                <w:color w:val="auto"/>
              </w:rPr>
            </w:pPr>
            <w:r>
              <w:rPr>
                <w:rFonts w:ascii="Arial" w:cs="Arial" w:eastAsia="Arial" w:hAnsi="Arial"/>
                <w:sz w:val="13"/>
                <w:szCs w:val="13"/>
                <w:color w:val="auto"/>
              </w:rPr>
              <w:t>acceptances</w:t>
            </w:r>
          </w:p>
        </w:tc>
        <w:tc>
          <w:tcPr>
            <w:tcW w:w="460" w:type="dxa"/>
            <w:vAlign w:val="bottom"/>
          </w:tcPr>
          <w:p>
            <w:pPr>
              <w:jc w:val="center"/>
              <w:spacing w:after="0" w:line="147" w:lineRule="exact"/>
              <w:rPr>
                <w:sz w:val="20"/>
                <w:szCs w:val="20"/>
                <w:color w:val="auto"/>
              </w:rPr>
            </w:pPr>
            <w:r>
              <w:rPr>
                <w:rFonts w:ascii="Arial" w:cs="Arial" w:eastAsia="Arial" w:hAnsi="Arial"/>
                <w:sz w:val="13"/>
                <w:szCs w:val="13"/>
                <w:color w:val="auto"/>
                <w:w w:val="94"/>
              </w:rPr>
              <w:t>7(b)</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412,401</w:t>
            </w:r>
          </w:p>
        </w:tc>
        <w:tc>
          <w:tcPr>
            <w:tcW w:w="6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699,678</w:t>
            </w:r>
          </w:p>
        </w:tc>
        <w:tc>
          <w:tcPr>
            <w:tcW w:w="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532,404</w:t>
            </w:r>
          </w:p>
        </w:tc>
      </w:tr>
      <w:tr>
        <w:trPr>
          <w:trHeight w:val="147"/>
        </w:trPr>
        <w:tc>
          <w:tcPr>
            <w:tcW w:w="2240" w:type="dxa"/>
            <w:vAlign w:val="bottom"/>
          </w:tcPr>
          <w:p>
            <w:pPr>
              <w:spacing w:after="0" w:line="147" w:lineRule="exact"/>
              <w:rPr>
                <w:sz w:val="20"/>
                <w:szCs w:val="20"/>
                <w:color w:val="auto"/>
              </w:rPr>
            </w:pPr>
            <w:r>
              <w:rPr>
                <w:rFonts w:ascii="Arial" w:cs="Arial" w:eastAsia="Arial" w:hAnsi="Arial"/>
                <w:sz w:val="13"/>
                <w:szCs w:val="13"/>
                <w:color w:val="auto"/>
              </w:rPr>
              <w:t>Intangible assets and goodwill, net</w:t>
            </w:r>
          </w:p>
        </w:tc>
        <w:tc>
          <w:tcPr>
            <w:tcW w:w="460" w:type="dxa"/>
            <w:vAlign w:val="bottom"/>
          </w:tcPr>
          <w:p>
            <w:pPr>
              <w:jc w:val="center"/>
              <w:spacing w:after="0" w:line="147" w:lineRule="exact"/>
              <w:rPr>
                <w:sz w:val="20"/>
                <w:szCs w:val="20"/>
                <w:color w:val="auto"/>
              </w:rPr>
            </w:pPr>
            <w:r>
              <w:rPr>
                <w:rFonts w:ascii="Arial" w:cs="Arial" w:eastAsia="Arial" w:hAnsi="Arial"/>
                <w:sz w:val="13"/>
                <w:szCs w:val="13"/>
                <w:color w:val="auto"/>
                <w:w w:val="96"/>
              </w:rPr>
              <w:t>10</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3,225,499</w:t>
            </w:r>
          </w:p>
        </w:tc>
        <w:tc>
          <w:tcPr>
            <w:tcW w:w="6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2,899,429</w:t>
            </w:r>
          </w:p>
        </w:tc>
        <w:tc>
          <w:tcPr>
            <w:tcW w:w="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2,710,080</w:t>
            </w:r>
          </w:p>
        </w:tc>
      </w:tr>
      <w:tr>
        <w:trPr>
          <w:trHeight w:val="147"/>
        </w:trPr>
        <w:tc>
          <w:tcPr>
            <w:tcW w:w="2240" w:type="dxa"/>
            <w:vAlign w:val="bottom"/>
          </w:tcPr>
          <w:p>
            <w:pPr>
              <w:spacing w:after="0" w:line="147" w:lineRule="exact"/>
              <w:rPr>
                <w:sz w:val="20"/>
                <w:szCs w:val="20"/>
                <w:color w:val="auto"/>
              </w:rPr>
            </w:pPr>
            <w:r>
              <w:rPr>
                <w:rFonts w:ascii="Arial" w:cs="Arial" w:eastAsia="Arial" w:hAnsi="Arial"/>
                <w:sz w:val="13"/>
                <w:szCs w:val="13"/>
                <w:color w:val="auto"/>
              </w:rPr>
              <w:t>Right-of-use assets, net</w:t>
            </w:r>
          </w:p>
        </w:tc>
        <w:tc>
          <w:tcPr>
            <w:tcW w:w="460" w:type="dxa"/>
            <w:vAlign w:val="bottom"/>
          </w:tcPr>
          <w:p>
            <w:pPr>
              <w:jc w:val="center"/>
              <w:spacing w:after="0" w:line="147" w:lineRule="exact"/>
              <w:rPr>
                <w:sz w:val="20"/>
                <w:szCs w:val="20"/>
                <w:color w:val="auto"/>
              </w:rPr>
            </w:pPr>
            <w:r>
              <w:rPr>
                <w:rFonts w:ascii="Arial" w:cs="Arial" w:eastAsia="Arial" w:hAnsi="Arial"/>
                <w:sz w:val="13"/>
                <w:szCs w:val="13"/>
                <w:color w:val="auto"/>
                <w:w w:val="98"/>
              </w:rPr>
              <w:t>11(a)</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499,715</w:t>
            </w:r>
          </w:p>
        </w:tc>
        <w:tc>
          <w:tcPr>
            <w:tcW w:w="6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543,833</w:t>
            </w:r>
          </w:p>
        </w:tc>
        <w:tc>
          <w:tcPr>
            <w:tcW w:w="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586,417</w:t>
            </w:r>
          </w:p>
        </w:tc>
      </w:tr>
      <w:tr>
        <w:trPr>
          <w:trHeight w:val="147"/>
        </w:trPr>
        <w:tc>
          <w:tcPr>
            <w:tcW w:w="2240" w:type="dxa"/>
            <w:vAlign w:val="bottom"/>
          </w:tcPr>
          <w:p>
            <w:pPr>
              <w:spacing w:after="0" w:line="147" w:lineRule="exact"/>
              <w:rPr>
                <w:sz w:val="20"/>
                <w:szCs w:val="20"/>
                <w:color w:val="auto"/>
              </w:rPr>
            </w:pPr>
            <w:r>
              <w:rPr>
                <w:rFonts w:ascii="Arial" w:cs="Arial" w:eastAsia="Arial" w:hAnsi="Arial"/>
                <w:sz w:val="13"/>
                <w:szCs w:val="13"/>
                <w:color w:val="auto"/>
              </w:rPr>
              <w:t>Deferred tax assets, net</w:t>
            </w:r>
          </w:p>
        </w:tc>
        <w:tc>
          <w:tcPr>
            <w:tcW w:w="460" w:type="dxa"/>
            <w:vAlign w:val="bottom"/>
          </w:tcPr>
          <w:p>
            <w:pPr>
              <w:jc w:val="center"/>
              <w:spacing w:after="0" w:line="147" w:lineRule="exact"/>
              <w:rPr>
                <w:sz w:val="20"/>
                <w:szCs w:val="20"/>
                <w:color w:val="auto"/>
              </w:rPr>
            </w:pPr>
            <w:r>
              <w:rPr>
                <w:rFonts w:ascii="Arial" w:cs="Arial" w:eastAsia="Arial" w:hAnsi="Arial"/>
                <w:sz w:val="13"/>
                <w:szCs w:val="13"/>
                <w:color w:val="auto"/>
              </w:rPr>
              <w:t>17(c)</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1,182,195</w:t>
            </w:r>
          </w:p>
        </w:tc>
        <w:tc>
          <w:tcPr>
            <w:tcW w:w="6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1,134,747</w:t>
            </w:r>
          </w:p>
        </w:tc>
        <w:tc>
          <w:tcPr>
            <w:tcW w:w="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1,146,468</w:t>
            </w:r>
          </w:p>
        </w:tc>
      </w:tr>
      <w:tr>
        <w:trPr>
          <w:trHeight w:val="154"/>
        </w:trPr>
        <w:tc>
          <w:tcPr>
            <w:tcW w:w="2240" w:type="dxa"/>
            <w:vAlign w:val="bottom"/>
          </w:tcPr>
          <w:p>
            <w:pPr>
              <w:spacing w:after="0"/>
              <w:rPr>
                <w:sz w:val="20"/>
                <w:szCs w:val="20"/>
                <w:color w:val="auto"/>
              </w:rPr>
            </w:pPr>
            <w:r>
              <w:rPr>
                <w:rFonts w:ascii="Arial" w:cs="Arial" w:eastAsia="Arial" w:hAnsi="Arial"/>
                <w:sz w:val="13"/>
                <w:szCs w:val="13"/>
                <w:color w:val="auto"/>
              </w:rPr>
              <w:t>Other assets</w:t>
            </w:r>
          </w:p>
        </w:tc>
        <w:tc>
          <w:tcPr>
            <w:tcW w:w="460" w:type="dxa"/>
            <w:vAlign w:val="bottom"/>
          </w:tcPr>
          <w:p>
            <w:pPr>
              <w:jc w:val="center"/>
              <w:spacing w:after="0"/>
              <w:rPr>
                <w:sz w:val="20"/>
                <w:szCs w:val="20"/>
                <w:color w:val="auto"/>
              </w:rPr>
            </w:pPr>
            <w:r>
              <w:rPr>
                <w:rFonts w:ascii="Arial" w:cs="Arial" w:eastAsia="Arial" w:hAnsi="Arial"/>
                <w:sz w:val="13"/>
                <w:szCs w:val="13"/>
                <w:color w:val="auto"/>
                <w:w w:val="96"/>
              </w:rPr>
              <w:t>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6,224,617</w:t>
            </w:r>
          </w:p>
        </w:tc>
        <w:tc>
          <w:tcPr>
            <w:tcW w:w="6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5,871,671</w:t>
            </w:r>
          </w:p>
        </w:tc>
        <w:tc>
          <w:tcPr>
            <w:tcW w:w="4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6,199,844</w:t>
            </w:r>
          </w:p>
        </w:tc>
      </w:tr>
      <w:tr>
        <w:trPr>
          <w:trHeight w:val="143"/>
        </w:trPr>
        <w:tc>
          <w:tcPr>
            <w:tcW w:w="2240" w:type="dxa"/>
            <w:vAlign w:val="bottom"/>
          </w:tcPr>
          <w:p>
            <w:pPr>
              <w:spacing w:after="0" w:line="139" w:lineRule="exact"/>
              <w:rPr>
                <w:sz w:val="20"/>
                <w:szCs w:val="20"/>
                <w:color w:val="auto"/>
              </w:rPr>
            </w:pPr>
            <w:r>
              <w:rPr>
                <w:rFonts w:ascii="Arial" w:cs="Arial" w:eastAsia="Arial" w:hAnsi="Arial"/>
                <w:sz w:val="13"/>
                <w:szCs w:val="13"/>
                <w:b w:val="1"/>
                <w:bCs w:val="1"/>
                <w:color w:val="auto"/>
              </w:rPr>
              <w:t>Total assets</w:t>
            </w:r>
          </w:p>
        </w:tc>
        <w:tc>
          <w:tcPr>
            <w:tcW w:w="4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238,840,188</w:t>
            </w:r>
          </w:p>
        </w:tc>
        <w:tc>
          <w:tcPr>
            <w:tcW w:w="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235,414,157</w:t>
            </w:r>
          </w:p>
        </w:tc>
        <w:tc>
          <w:tcPr>
            <w:tcW w:w="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243,443,872</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Equity attributable to Credicorp’s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tcPr>
          <w:p>
            <w:pPr>
              <w:ind w:left="160"/>
              <w:spacing w:after="0"/>
              <w:rPr>
                <w:sz w:val="20"/>
                <w:szCs w:val="20"/>
                <w:color w:val="auto"/>
              </w:rPr>
            </w:pPr>
            <w:r>
              <w:rPr>
                <w:rFonts w:ascii="Arial" w:cs="Arial" w:eastAsia="Arial" w:hAnsi="Arial"/>
                <w:sz w:val="13"/>
                <w:szCs w:val="13"/>
                <w:color w:val="auto"/>
              </w:rPr>
              <w:t>equity holders:</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520" w:type="dxa"/>
            <w:vAlign w:val="bottom"/>
          </w:tcPr>
          <w:p>
            <w:pPr>
              <w:ind w:left="160"/>
              <w:spacing w:after="0"/>
              <w:rPr>
                <w:sz w:val="20"/>
                <w:szCs w:val="20"/>
                <w:color w:val="auto"/>
              </w:rPr>
            </w:pPr>
            <w:r>
              <w:rPr>
                <w:rFonts w:ascii="Arial" w:cs="Arial" w:eastAsia="Arial" w:hAnsi="Arial"/>
                <w:sz w:val="13"/>
                <w:szCs w:val="13"/>
                <w:color w:val="auto"/>
              </w:rPr>
              <w:t>Capital stock</w:t>
            </w:r>
          </w:p>
        </w:tc>
        <w:tc>
          <w:tcPr>
            <w:tcW w:w="960" w:type="dxa"/>
            <w:vAlign w:val="bottom"/>
          </w:tcPr>
          <w:p>
            <w:pPr>
              <w:jc w:val="right"/>
              <w:spacing w:after="0"/>
              <w:rPr>
                <w:sz w:val="20"/>
                <w:szCs w:val="20"/>
                <w:color w:val="auto"/>
              </w:rPr>
            </w:pPr>
            <w:r>
              <w:rPr>
                <w:rFonts w:ascii="Arial" w:cs="Arial" w:eastAsia="Arial" w:hAnsi="Arial"/>
                <w:sz w:val="13"/>
                <w:szCs w:val="13"/>
                <w:color w:val="auto"/>
              </w:rPr>
              <w:t>1,318,993</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1,318,993</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1,318,993</w:t>
            </w:r>
          </w:p>
        </w:tc>
        <w:tc>
          <w:tcPr>
            <w:tcW w:w="0" w:type="dxa"/>
            <w:vAlign w:val="bottom"/>
          </w:tcPr>
          <w:p>
            <w:pPr>
              <w:spacing w:after="0"/>
              <w:rPr>
                <w:sz w:val="1"/>
                <w:szCs w:val="1"/>
                <w:color w:val="auto"/>
              </w:rPr>
            </w:pPr>
          </w:p>
        </w:tc>
      </w:tr>
      <w:tr>
        <w:trPr>
          <w:trHeight w:val="147"/>
        </w:trPr>
        <w:tc>
          <w:tcPr>
            <w:tcW w:w="2520" w:type="dxa"/>
            <w:vAlign w:val="bottom"/>
          </w:tcPr>
          <w:p>
            <w:pPr>
              <w:ind w:left="160"/>
              <w:spacing w:after="0" w:line="147" w:lineRule="exact"/>
              <w:rPr>
                <w:sz w:val="20"/>
                <w:szCs w:val="20"/>
                <w:color w:val="auto"/>
              </w:rPr>
            </w:pPr>
            <w:r>
              <w:rPr>
                <w:rFonts w:ascii="Arial" w:cs="Arial" w:eastAsia="Arial" w:hAnsi="Arial"/>
                <w:sz w:val="13"/>
                <w:szCs w:val="13"/>
                <w:color w:val="auto"/>
              </w:rPr>
              <w:t>Treasury stock</w:t>
            </w: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(208,033)</w:t>
            </w:r>
          </w:p>
        </w:tc>
        <w:tc>
          <w:tcPr>
            <w:tcW w:w="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(207,518)</w:t>
            </w:r>
          </w:p>
        </w:tc>
        <w:tc>
          <w:tcPr>
            <w:tcW w:w="6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(207,534)</w:t>
            </w:r>
          </w:p>
        </w:tc>
        <w:tc>
          <w:tcPr>
            <w:tcW w:w="0" w:type="dxa"/>
            <w:vAlign w:val="bottom"/>
          </w:tcPr>
          <w:p>
            <w:pPr>
              <w:spacing w:after="0"/>
              <w:rPr>
                <w:sz w:val="1"/>
                <w:szCs w:val="1"/>
                <w:color w:val="auto"/>
              </w:rPr>
            </w:pPr>
          </w:p>
        </w:tc>
      </w:tr>
      <w:tr>
        <w:trPr>
          <w:trHeight w:val="147"/>
        </w:trPr>
        <w:tc>
          <w:tcPr>
            <w:tcW w:w="2520" w:type="dxa"/>
            <w:vAlign w:val="bottom"/>
          </w:tcPr>
          <w:p>
            <w:pPr>
              <w:ind w:left="160"/>
              <w:spacing w:after="0" w:line="147" w:lineRule="exact"/>
              <w:rPr>
                <w:sz w:val="20"/>
                <w:szCs w:val="20"/>
                <w:color w:val="auto"/>
              </w:rPr>
            </w:pPr>
            <w:r>
              <w:rPr>
                <w:rFonts w:ascii="Arial" w:cs="Arial" w:eastAsia="Arial" w:hAnsi="Arial"/>
                <w:sz w:val="13"/>
                <w:szCs w:val="13"/>
                <w:color w:val="auto"/>
              </w:rPr>
              <w:t>Capital surplus</w:t>
            </w: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228,239</w:t>
            </w:r>
          </w:p>
        </w:tc>
        <w:tc>
          <w:tcPr>
            <w:tcW w:w="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231,556</w:t>
            </w:r>
          </w:p>
        </w:tc>
        <w:tc>
          <w:tcPr>
            <w:tcW w:w="6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228,853</w:t>
            </w:r>
          </w:p>
        </w:tc>
        <w:tc>
          <w:tcPr>
            <w:tcW w:w="0" w:type="dxa"/>
            <w:vAlign w:val="bottom"/>
          </w:tcPr>
          <w:p>
            <w:pPr>
              <w:spacing w:after="0"/>
              <w:rPr>
                <w:sz w:val="1"/>
                <w:szCs w:val="1"/>
                <w:color w:val="auto"/>
              </w:rPr>
            </w:pPr>
          </w:p>
        </w:tc>
      </w:tr>
      <w:tr>
        <w:trPr>
          <w:trHeight w:val="147"/>
        </w:trPr>
        <w:tc>
          <w:tcPr>
            <w:tcW w:w="2520" w:type="dxa"/>
            <w:vAlign w:val="bottom"/>
          </w:tcPr>
          <w:p>
            <w:pPr>
              <w:ind w:left="160"/>
              <w:spacing w:after="0" w:line="147" w:lineRule="exact"/>
              <w:rPr>
                <w:sz w:val="20"/>
                <w:szCs w:val="20"/>
                <w:color w:val="auto"/>
              </w:rPr>
            </w:pPr>
            <w:r>
              <w:rPr>
                <w:rFonts w:ascii="Arial" w:cs="Arial" w:eastAsia="Arial" w:hAnsi="Arial"/>
                <w:sz w:val="13"/>
                <w:szCs w:val="13"/>
                <w:color w:val="auto"/>
              </w:rPr>
              <w:t>Reserves and others</w:t>
            </w: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26,548,361</w:t>
            </w:r>
          </w:p>
        </w:tc>
        <w:tc>
          <w:tcPr>
            <w:tcW w:w="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23,383,454</w:t>
            </w:r>
          </w:p>
        </w:tc>
        <w:tc>
          <w:tcPr>
            <w:tcW w:w="6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21,768,421</w:t>
            </w:r>
          </w:p>
        </w:tc>
        <w:tc>
          <w:tcPr>
            <w:tcW w:w="0" w:type="dxa"/>
            <w:vAlign w:val="bottom"/>
          </w:tcPr>
          <w:p>
            <w:pPr>
              <w:spacing w:after="0"/>
              <w:rPr>
                <w:sz w:val="1"/>
                <w:szCs w:val="1"/>
                <w:color w:val="auto"/>
              </w:rPr>
            </w:pPr>
          </w:p>
        </w:tc>
      </w:tr>
      <w:tr>
        <w:trPr>
          <w:trHeight w:val="154"/>
        </w:trPr>
        <w:tc>
          <w:tcPr>
            <w:tcW w:w="2520" w:type="dxa"/>
            <w:vAlign w:val="bottom"/>
          </w:tcPr>
          <w:p>
            <w:pPr>
              <w:ind w:left="160"/>
              <w:spacing w:after="0"/>
              <w:rPr>
                <w:sz w:val="20"/>
                <w:szCs w:val="20"/>
                <w:color w:val="auto"/>
              </w:rPr>
            </w:pPr>
            <w:r>
              <w:rPr>
                <w:rFonts w:ascii="Arial" w:cs="Arial" w:eastAsia="Arial" w:hAnsi="Arial"/>
                <w:sz w:val="13"/>
                <w:szCs w:val="13"/>
                <w:color w:val="auto"/>
              </w:rPr>
              <w:t>Retained earnings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4,572,444</w:t>
            </w:r>
          </w:p>
        </w:tc>
        <w:tc>
          <w:tcPr>
            <w:tcW w:w="4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4,277,159</w:t>
            </w:r>
          </w:p>
        </w:tc>
        <w:tc>
          <w:tcPr>
            <w:tcW w:w="6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3,183,119</w:t>
            </w:r>
          </w:p>
        </w:tc>
        <w:tc>
          <w:tcPr>
            <w:tcW w:w="0" w:type="dxa"/>
            <w:vAlign w:val="bottom"/>
          </w:tcPr>
          <w:p>
            <w:pPr>
              <w:spacing w:after="0"/>
              <w:rPr>
                <w:sz w:val="1"/>
                <w:szCs w:val="1"/>
                <w:color w:val="auto"/>
              </w:rPr>
            </w:pPr>
          </w:p>
        </w:tc>
      </w:tr>
      <w:tr>
        <w:trPr>
          <w:trHeight w:val="164"/>
        </w:trPr>
        <w:tc>
          <w:tcPr>
            <w:tcW w:w="2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32,460,004</w:t>
            </w:r>
          </w:p>
        </w:tc>
        <w:tc>
          <w:tcPr>
            <w:tcW w:w="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29,003,644</w:t>
            </w: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26,291,852</w:t>
            </w:r>
          </w:p>
        </w:tc>
        <w:tc>
          <w:tcPr>
            <w:tcW w:w="0" w:type="dxa"/>
            <w:vAlign w:val="bottom"/>
          </w:tcPr>
          <w:p>
            <w:pPr>
              <w:spacing w:after="0"/>
              <w:rPr>
                <w:sz w:val="1"/>
                <w:szCs w:val="1"/>
                <w:color w:val="auto"/>
              </w:rPr>
            </w:pPr>
          </w:p>
        </w:tc>
      </w:tr>
      <w:tr>
        <w:trPr>
          <w:trHeight w:val="286"/>
        </w:trPr>
        <w:tc>
          <w:tcPr>
            <w:tcW w:w="2520" w:type="dxa"/>
            <w:vAlign w:val="bottom"/>
          </w:tcPr>
          <w:p>
            <w:pPr>
              <w:spacing w:after="0"/>
              <w:rPr>
                <w:sz w:val="20"/>
                <w:szCs w:val="20"/>
                <w:color w:val="auto"/>
              </w:rPr>
            </w:pPr>
            <w:r>
              <w:rPr>
                <w:rFonts w:ascii="Arial" w:cs="Arial" w:eastAsia="Arial" w:hAnsi="Arial"/>
                <w:sz w:val="13"/>
                <w:szCs w:val="13"/>
                <w:color w:val="auto"/>
              </w:rPr>
              <w:t>Non-controlling interest</w:t>
            </w:r>
          </w:p>
        </w:tc>
        <w:tc>
          <w:tcPr>
            <w:tcW w:w="960" w:type="dxa"/>
            <w:vAlign w:val="bottom"/>
          </w:tcPr>
          <w:p>
            <w:pPr>
              <w:jc w:val="right"/>
              <w:spacing w:after="0"/>
              <w:rPr>
                <w:sz w:val="20"/>
                <w:szCs w:val="20"/>
                <w:color w:val="auto"/>
              </w:rPr>
            </w:pPr>
            <w:r>
              <w:rPr>
                <w:rFonts w:ascii="Arial" w:cs="Arial" w:eastAsia="Arial" w:hAnsi="Arial"/>
                <w:sz w:val="13"/>
                <w:szCs w:val="13"/>
                <w:color w:val="auto"/>
              </w:rPr>
              <w:t>647,061</w:t>
            </w:r>
          </w:p>
        </w:tc>
        <w:tc>
          <w:tcPr>
            <w:tcW w:w="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591,569</w:t>
            </w:r>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540,672</w:t>
            </w:r>
          </w:p>
        </w:tc>
        <w:tc>
          <w:tcPr>
            <w:tcW w:w="0" w:type="dxa"/>
            <w:vAlign w:val="bottom"/>
          </w:tcPr>
          <w:p>
            <w:pPr>
              <w:spacing w:after="0"/>
              <w:rPr>
                <w:sz w:val="1"/>
                <w:szCs w:val="1"/>
                <w:color w:val="auto"/>
              </w:rPr>
            </w:pPr>
          </w:p>
        </w:tc>
      </w:tr>
      <w:tr>
        <w:trPr>
          <w:trHeight w:val="129"/>
        </w:trPr>
        <w:tc>
          <w:tcPr>
            <w:tcW w:w="2520" w:type="dxa"/>
            <w:vAlign w:val="bottom"/>
            <w:vMerge w:val="restart"/>
          </w:tcPr>
          <w:p>
            <w:pPr>
              <w:spacing w:after="0"/>
              <w:rPr>
                <w:sz w:val="20"/>
                <w:szCs w:val="20"/>
                <w:color w:val="auto"/>
              </w:rPr>
            </w:pPr>
            <w:r>
              <w:rPr>
                <w:rFonts w:ascii="Arial" w:cs="Arial" w:eastAsia="Arial" w:hAnsi="Arial"/>
                <w:sz w:val="13"/>
                <w:szCs w:val="13"/>
                <w:color w:val="auto"/>
              </w:rPr>
              <w:t>Total equity</w:t>
            </w:r>
          </w:p>
        </w:tc>
        <w:tc>
          <w:tcPr>
            <w:tcW w:w="9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20" w:type="dxa"/>
            <w:vAlign w:val="bottom"/>
            <w:vMerge w:val="continue"/>
          </w:tcPr>
          <w:p>
            <w:pPr>
              <w:spacing w:after="0"/>
              <w:rPr>
                <w:sz w:val="12"/>
                <w:szCs w:val="12"/>
                <w:color w:val="auto"/>
              </w:rPr>
            </w:pPr>
          </w:p>
        </w:tc>
        <w:tc>
          <w:tcPr>
            <w:tcW w:w="9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33,107,065</w:t>
            </w:r>
          </w:p>
        </w:tc>
        <w:tc>
          <w:tcPr>
            <w:tcW w:w="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29,595,213</w:t>
            </w:r>
          </w:p>
        </w:tc>
        <w:tc>
          <w:tcPr>
            <w:tcW w:w="6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26,832,524</w:t>
            </w:r>
          </w:p>
        </w:tc>
        <w:tc>
          <w:tcPr>
            <w:tcW w:w="0" w:type="dxa"/>
            <w:vAlign w:val="bottom"/>
          </w:tcPr>
          <w:p>
            <w:pPr>
              <w:spacing w:after="0"/>
              <w:rPr>
                <w:sz w:val="1"/>
                <w:szCs w:val="1"/>
                <w:color w:val="auto"/>
              </w:rPr>
            </w:pPr>
          </w:p>
        </w:tc>
      </w:tr>
      <w:tr>
        <w:trPr>
          <w:trHeight w:val="139"/>
        </w:trPr>
        <w:tc>
          <w:tcPr>
            <w:tcW w:w="2520" w:type="dxa"/>
            <w:vAlign w:val="bottom"/>
            <w:vMerge w:val="restart"/>
          </w:tcPr>
          <w:p>
            <w:pPr>
              <w:spacing w:after="0"/>
              <w:rPr>
                <w:sz w:val="20"/>
                <w:szCs w:val="20"/>
                <w:color w:val="auto"/>
              </w:rPr>
            </w:pPr>
            <w:r>
              <w:rPr>
                <w:rFonts w:ascii="Arial" w:cs="Arial" w:eastAsia="Arial" w:hAnsi="Arial"/>
                <w:sz w:val="13"/>
                <w:szCs w:val="13"/>
                <w:b w:val="1"/>
                <w:bCs w:val="1"/>
                <w:color w:val="auto"/>
              </w:rPr>
              <w:t>Total liabilities and equity</w:t>
            </w:r>
          </w:p>
        </w:tc>
        <w:tc>
          <w:tcPr>
            <w:tcW w:w="9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20" w:type="dxa"/>
            <w:vAlign w:val="bottom"/>
            <w:vMerge w:val="continue"/>
          </w:tcPr>
          <w:p>
            <w:pPr>
              <w:spacing w:after="0"/>
              <w:rPr>
                <w:sz w:val="12"/>
                <w:szCs w:val="12"/>
                <w:color w:val="auto"/>
              </w:rPr>
            </w:pPr>
          </w:p>
        </w:tc>
        <w:tc>
          <w:tcPr>
            <w:tcW w:w="9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238,840,188</w:t>
            </w:r>
          </w:p>
        </w:tc>
        <w:tc>
          <w:tcPr>
            <w:tcW w:w="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235,414,157</w:t>
            </w:r>
          </w:p>
        </w:tc>
        <w:tc>
          <w:tcPr>
            <w:tcW w:w="6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243,443,872</w:t>
            </w:r>
          </w:p>
        </w:tc>
        <w:tc>
          <w:tcPr>
            <w:tcW w:w="0" w:type="dxa"/>
            <w:vAlign w:val="bottom"/>
          </w:tcPr>
          <w:p>
            <w:pPr>
              <w:spacing w:after="0"/>
              <w:rPr>
                <w:sz w:val="1"/>
                <w:szCs w:val="1"/>
                <w:color w:val="auto"/>
              </w:rPr>
            </w:pPr>
          </w:p>
        </w:tc>
      </w:tr>
    </w:tbl>
    <w:p>
      <w:pPr>
        <w:spacing w:after="0" w:line="444" w:lineRule="exact"/>
        <w:rPr>
          <w:sz w:val="20"/>
          <w:szCs w:val="20"/>
          <w:color w:val="auto"/>
        </w:rPr>
      </w:pPr>
    </w:p>
    <w:p>
      <w:pPr>
        <w:sectPr>
          <w:pgSz w:w="11900" w:h="16838" w:orient="portrait"/>
          <w:cols w:equalWidth="0" w:num="2">
            <w:col w:w="5400" w:space="440"/>
            <w:col w:w="5420"/>
          </w:cols>
          <w:pgMar w:left="320" w:top="124" w:right="319" w:bottom="1440" w:gutter="0" w:footer="0" w:header="0"/>
          <w:type w:val="continuous"/>
        </w:sectPr>
      </w:pPr>
    </w:p>
    <w:p>
      <w:pPr>
        <w:ind w:left="300"/>
        <w:spacing w:after="0"/>
        <w:rPr>
          <w:sz w:val="20"/>
          <w:szCs w:val="20"/>
          <w:color w:val="auto"/>
        </w:rPr>
      </w:pPr>
      <w:r>
        <w:rPr>
          <w:rFonts w:ascii="Arial" w:cs="Arial" w:eastAsia="Arial" w:hAnsi="Arial"/>
          <w:sz w:val="13"/>
          <w:szCs w:val="13"/>
          <w:color w:val="auto"/>
        </w:rPr>
        <w:t>(*) See note 3(b).</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48260</wp:posOffset>
            </wp:positionV>
            <wp:extent cx="714565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23"/>
        </w:trPr>
        <w:tc>
          <w:tcPr>
            <w:tcW w:w="5860" w:type="dxa"/>
            <w:vAlign w:val="bottom"/>
          </w:tcPr>
          <w:p>
            <w:pPr>
              <w:spacing w:after="0"/>
              <w:rPr>
                <w:sz w:val="20"/>
                <w:szCs w:val="20"/>
                <w:color w:val="auto"/>
              </w:rPr>
            </w:pPr>
            <w:r>
              <w:rPr>
                <w:rFonts w:ascii="Arial" w:cs="Arial" w:eastAsia="Arial" w:hAnsi="Arial"/>
                <w:sz w:val="16"/>
                <w:szCs w:val="16"/>
                <w:b w:val="1"/>
                <w:bCs w:val="1"/>
                <w:color w:val="auto"/>
              </w:rPr>
              <w:t>CREDICORP LTD. AND SUBSIDIARIES</w:t>
            </w:r>
          </w:p>
        </w:tc>
        <w:tc>
          <w:tcPr>
            <w:tcW w:w="1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26"/>
        </w:trPr>
        <w:tc>
          <w:tcPr>
            <w:tcW w:w="5860" w:type="dxa"/>
            <w:vAlign w:val="bottom"/>
          </w:tcPr>
          <w:p>
            <w:pPr>
              <w:spacing w:after="0"/>
              <w:rPr>
                <w:sz w:val="20"/>
                <w:szCs w:val="20"/>
                <w:color w:val="auto"/>
              </w:rPr>
            </w:pPr>
            <w:r>
              <w:rPr>
                <w:rFonts w:ascii="Arial" w:cs="Arial" w:eastAsia="Arial" w:hAnsi="Arial"/>
                <w:sz w:val="16"/>
                <w:szCs w:val="16"/>
                <w:color w:val="auto"/>
              </w:rPr>
              <w:t>CONSOLIDATED STATEMENT OF INCOME</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6"/>
                <w:szCs w:val="16"/>
                <w:color w:val="auto"/>
              </w:rPr>
              <w:t>FOR THE YEARS ENDED DECEMBER 31, 2023, 2022 (RESTATED) AND 2021</w:t>
            </w: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4"/>
        </w:trPr>
        <w:tc>
          <w:tcPr>
            <w:tcW w:w="5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0"/>
        </w:trPr>
        <w:tc>
          <w:tcPr>
            <w:tcW w:w="586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Note</w:t>
            </w:r>
          </w:p>
        </w:tc>
        <w:tc>
          <w:tcPr>
            <w:tcW w:w="1340" w:type="dxa"/>
            <w:vAlign w:val="bottom"/>
          </w:tcPr>
          <w:p>
            <w:pPr>
              <w:ind w:left="10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(Restated)</w:t>
            </w:r>
          </w:p>
        </w:tc>
        <w:tc>
          <w:tcPr>
            <w:tcW w:w="1360" w:type="dxa"/>
            <w:vAlign w:val="bottom"/>
          </w:tcPr>
          <w:p>
            <w:pPr>
              <w:ind w:left="120"/>
              <w:spacing w:after="0"/>
              <w:rPr>
                <w:sz w:val="20"/>
                <w:szCs w:val="20"/>
                <w:color w:val="auto"/>
              </w:rPr>
            </w:pPr>
            <w:r>
              <w:rPr>
                <w:rFonts w:ascii="Arial" w:cs="Arial" w:eastAsia="Arial" w:hAnsi="Arial"/>
                <w:sz w:val="16"/>
                <w:szCs w:val="16"/>
                <w:b w:val="1"/>
                <w:bCs w:val="1"/>
                <w:color w:val="auto"/>
              </w:rPr>
              <w:t>2021</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3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36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S/(000)</w:t>
            </w:r>
          </w:p>
        </w:tc>
      </w:tr>
      <w:tr>
        <w:trPr>
          <w:trHeight w:val="310"/>
        </w:trPr>
        <w:tc>
          <w:tcPr>
            <w:tcW w:w="5860" w:type="dxa"/>
            <w:vAlign w:val="bottom"/>
          </w:tcPr>
          <w:p>
            <w:pPr>
              <w:spacing w:after="0"/>
              <w:rPr>
                <w:sz w:val="20"/>
                <w:szCs w:val="20"/>
                <w:color w:val="auto"/>
              </w:rPr>
            </w:pPr>
            <w:r>
              <w:rPr>
                <w:rFonts w:ascii="Arial" w:cs="Arial" w:eastAsia="Arial" w:hAnsi="Arial"/>
                <w:sz w:val="16"/>
                <w:szCs w:val="16"/>
                <w:color w:val="auto"/>
              </w:rPr>
              <w:t>Interest and similar income</w:t>
            </w:r>
          </w:p>
        </w:tc>
        <w:tc>
          <w:tcPr>
            <w:tcW w:w="1140" w:type="dxa"/>
            <w:vAlign w:val="bottom"/>
          </w:tcPr>
          <w:p>
            <w:pPr>
              <w:jc w:val="center"/>
              <w:ind w:right="119"/>
              <w:spacing w:after="0"/>
              <w:rPr>
                <w:sz w:val="20"/>
                <w:szCs w:val="20"/>
                <w:color w:val="auto"/>
              </w:rPr>
            </w:pPr>
            <w:r>
              <w:rPr>
                <w:rFonts w:ascii="Arial" w:cs="Arial" w:eastAsia="Arial" w:hAnsi="Arial"/>
                <w:sz w:val="16"/>
                <w:szCs w:val="16"/>
                <w:color w:val="auto"/>
              </w:rPr>
              <w:t>19</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18,798,495</w:t>
            </w:r>
          </w:p>
        </w:tc>
        <w:tc>
          <w:tcPr>
            <w:tcW w:w="120" w:type="dxa"/>
            <w:vAlign w:val="bottom"/>
          </w:tcPr>
          <w:p>
            <w:pPr>
              <w:spacing w:after="0"/>
              <w:rPr>
                <w:sz w:val="24"/>
                <w:szCs w:val="24"/>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15,011,282</w:t>
            </w:r>
          </w:p>
        </w:tc>
        <w:tc>
          <w:tcPr>
            <w:tcW w:w="10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11,850,406</w:t>
            </w:r>
          </w:p>
        </w:tc>
      </w:tr>
      <w:tr>
        <w:trPr>
          <w:trHeight w:val="212"/>
        </w:trPr>
        <w:tc>
          <w:tcPr>
            <w:tcW w:w="5860" w:type="dxa"/>
            <w:vAlign w:val="bottom"/>
          </w:tcPr>
          <w:p>
            <w:pPr>
              <w:spacing w:after="0"/>
              <w:rPr>
                <w:sz w:val="20"/>
                <w:szCs w:val="20"/>
                <w:color w:val="auto"/>
              </w:rPr>
            </w:pPr>
            <w:r>
              <w:rPr>
                <w:rFonts w:ascii="Arial" w:cs="Arial" w:eastAsia="Arial" w:hAnsi="Arial"/>
                <w:sz w:val="16"/>
                <w:szCs w:val="16"/>
                <w:color w:val="auto"/>
              </w:rPr>
              <w:t>Interest and similar expenses</w:t>
            </w:r>
          </w:p>
        </w:tc>
        <w:tc>
          <w:tcPr>
            <w:tcW w:w="1140" w:type="dxa"/>
            <w:vAlign w:val="bottom"/>
          </w:tcPr>
          <w:p>
            <w:pPr>
              <w:jc w:val="center"/>
              <w:ind w:right="119"/>
              <w:spacing w:after="0"/>
              <w:rPr>
                <w:sz w:val="20"/>
                <w:szCs w:val="20"/>
                <w:color w:val="auto"/>
              </w:rPr>
            </w:pPr>
            <w:r>
              <w:rPr>
                <w:rFonts w:ascii="Arial" w:cs="Arial" w:eastAsia="Arial" w:hAnsi="Arial"/>
                <w:sz w:val="16"/>
                <w:szCs w:val="16"/>
                <w:color w:val="auto"/>
              </w:rPr>
              <w:t>19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(5,860,523)</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(3,919,664)</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(2,490,802)</w:t>
            </w:r>
          </w:p>
        </w:tc>
      </w:tr>
      <w:tr>
        <w:trPr>
          <w:trHeight w:val="208"/>
        </w:trPr>
        <w:tc>
          <w:tcPr>
            <w:tcW w:w="5860" w:type="dxa"/>
            <w:vAlign w:val="bottom"/>
          </w:tcPr>
          <w:p>
            <w:pPr>
              <w:spacing w:after="0"/>
              <w:rPr>
                <w:sz w:val="20"/>
                <w:szCs w:val="20"/>
                <w:color w:val="auto"/>
              </w:rPr>
            </w:pPr>
            <w:r>
              <w:rPr>
                <w:rFonts w:ascii="Arial" w:cs="Arial" w:eastAsia="Arial" w:hAnsi="Arial"/>
                <w:sz w:val="16"/>
                <w:szCs w:val="16"/>
                <w:b w:val="1"/>
                <w:bCs w:val="1"/>
                <w:color w:val="auto"/>
              </w:rPr>
              <w:t>Net interest, similar income and expenses</w:t>
            </w:r>
          </w:p>
        </w:tc>
        <w:tc>
          <w:tcPr>
            <w:tcW w:w="11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12,937,972</w:t>
            </w:r>
          </w:p>
        </w:tc>
        <w:tc>
          <w:tcPr>
            <w:tcW w:w="12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11,091,618</w:t>
            </w:r>
          </w:p>
        </w:tc>
        <w:tc>
          <w:tcPr>
            <w:tcW w:w="1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9,359,604</w:t>
            </w:r>
          </w:p>
        </w:tc>
      </w:tr>
      <w:tr>
        <w:trPr>
          <w:trHeight w:val="318"/>
        </w:trPr>
        <w:tc>
          <w:tcPr>
            <w:tcW w:w="5860" w:type="dxa"/>
            <w:vAlign w:val="bottom"/>
          </w:tcPr>
          <w:p>
            <w:pPr>
              <w:spacing w:after="0"/>
              <w:rPr>
                <w:sz w:val="20"/>
                <w:szCs w:val="20"/>
                <w:color w:val="auto"/>
              </w:rPr>
            </w:pPr>
            <w:r>
              <w:rPr>
                <w:rFonts w:ascii="Arial" w:cs="Arial" w:eastAsia="Arial" w:hAnsi="Arial"/>
                <w:sz w:val="16"/>
                <w:szCs w:val="16"/>
                <w:color w:val="auto"/>
              </w:rPr>
              <w:t>Provision for gross credit losses on loan portfolio</w:t>
            </w:r>
          </w:p>
        </w:tc>
        <w:tc>
          <w:tcPr>
            <w:tcW w:w="1140" w:type="dxa"/>
            <w:vAlign w:val="bottom"/>
          </w:tcPr>
          <w:p>
            <w:pPr>
              <w:jc w:val="center"/>
              <w:ind w:right="139"/>
              <w:spacing w:after="0"/>
              <w:rPr>
                <w:sz w:val="20"/>
                <w:szCs w:val="20"/>
                <w:color w:val="auto"/>
              </w:rPr>
            </w:pPr>
            <w:r>
              <w:rPr>
                <w:rFonts w:ascii="Arial" w:cs="Arial" w:eastAsia="Arial" w:hAnsi="Arial"/>
                <w:sz w:val="16"/>
                <w:szCs w:val="16"/>
                <w:color w:val="auto"/>
              </w:rPr>
              <w:t>7(c)</w:t>
            </w:r>
          </w:p>
        </w:tc>
        <w:tc>
          <w:tcPr>
            <w:tcW w:w="1340" w:type="dxa"/>
            <w:vAlign w:val="bottom"/>
          </w:tcPr>
          <w:p>
            <w:pPr>
              <w:jc w:val="right"/>
              <w:spacing w:after="0"/>
              <w:rPr>
                <w:sz w:val="20"/>
                <w:szCs w:val="20"/>
                <w:color w:val="auto"/>
              </w:rPr>
            </w:pPr>
            <w:r>
              <w:rPr>
                <w:rFonts w:ascii="Arial" w:cs="Arial" w:eastAsia="Arial" w:hAnsi="Arial"/>
                <w:sz w:val="16"/>
                <w:szCs w:val="16"/>
                <w:color w:val="auto"/>
              </w:rPr>
              <w:t>(3,957,143)</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(2,158,555)</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(1,558,951)</w:t>
            </w:r>
          </w:p>
        </w:tc>
      </w:tr>
      <w:tr>
        <w:trPr>
          <w:trHeight w:val="204"/>
        </w:trPr>
        <w:tc>
          <w:tcPr>
            <w:tcW w:w="5860" w:type="dxa"/>
            <w:vAlign w:val="bottom"/>
          </w:tcPr>
          <w:p>
            <w:pPr>
              <w:spacing w:after="0"/>
              <w:rPr>
                <w:sz w:val="20"/>
                <w:szCs w:val="20"/>
                <w:color w:val="auto"/>
              </w:rPr>
            </w:pPr>
            <w:r>
              <w:rPr>
                <w:rFonts w:ascii="Arial" w:cs="Arial" w:eastAsia="Arial" w:hAnsi="Arial"/>
                <w:sz w:val="16"/>
                <w:szCs w:val="16"/>
                <w:color w:val="auto"/>
              </w:rPr>
              <w:t>Recoveries of written-off loans</w:t>
            </w:r>
          </w:p>
        </w:tc>
        <w:tc>
          <w:tcPr>
            <w:tcW w:w="1140" w:type="dxa"/>
            <w:vAlign w:val="bottom"/>
          </w:tcPr>
          <w:p>
            <w:pPr>
              <w:spacing w:after="0"/>
              <w:rPr>
                <w:sz w:val="17"/>
                <w:szCs w:val="17"/>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334,798</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347,017</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346,728</w:t>
            </w:r>
          </w:p>
        </w:tc>
      </w:tr>
      <w:tr>
        <w:trPr>
          <w:trHeight w:val="183"/>
        </w:trPr>
        <w:tc>
          <w:tcPr>
            <w:tcW w:w="5860" w:type="dxa"/>
            <w:vAlign w:val="bottom"/>
          </w:tcPr>
          <w:p>
            <w:pPr>
              <w:spacing w:after="0"/>
              <w:rPr>
                <w:sz w:val="20"/>
                <w:szCs w:val="20"/>
                <w:color w:val="auto"/>
              </w:rPr>
            </w:pPr>
            <w:r>
              <w:rPr>
                <w:rFonts w:ascii="Arial" w:cs="Arial" w:eastAsia="Arial" w:hAnsi="Arial"/>
                <w:sz w:val="16"/>
                <w:szCs w:val="16"/>
                <w:b w:val="1"/>
                <w:bCs w:val="1"/>
                <w:color w:val="auto"/>
              </w:rPr>
              <w:t>Provision for credit losses on loan portfolio, net of recoveries</w:t>
            </w:r>
          </w:p>
        </w:tc>
        <w:tc>
          <w:tcPr>
            <w:tcW w:w="114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(3,622,345)</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(1,811,538)</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(1,212,223)</w:t>
            </w:r>
          </w:p>
        </w:tc>
      </w:tr>
      <w:tr>
        <w:trPr>
          <w:trHeight w:val="342"/>
        </w:trPr>
        <w:tc>
          <w:tcPr>
            <w:tcW w:w="5860" w:type="dxa"/>
            <w:vAlign w:val="bottom"/>
          </w:tcPr>
          <w:p>
            <w:pPr>
              <w:spacing w:after="0"/>
              <w:rPr>
                <w:sz w:val="20"/>
                <w:szCs w:val="20"/>
                <w:color w:val="auto"/>
              </w:rPr>
            </w:pPr>
            <w:r>
              <w:rPr>
                <w:rFonts w:ascii="Arial" w:cs="Arial" w:eastAsia="Arial" w:hAnsi="Arial"/>
                <w:sz w:val="16"/>
                <w:szCs w:val="16"/>
                <w:b w:val="1"/>
                <w:bCs w:val="1"/>
                <w:color w:val="auto"/>
              </w:rPr>
              <w:t>Net interest, similar income and expenses, after provision for credit</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2"/>
        </w:trPr>
        <w:tc>
          <w:tcPr>
            <w:tcW w:w="5860" w:type="dxa"/>
            <w:vAlign w:val="bottom"/>
          </w:tcPr>
          <w:p>
            <w:pPr>
              <w:ind w:left="140"/>
              <w:spacing w:after="0"/>
              <w:rPr>
                <w:sz w:val="20"/>
                <w:szCs w:val="20"/>
                <w:color w:val="auto"/>
              </w:rPr>
            </w:pPr>
            <w:r>
              <w:rPr>
                <w:rFonts w:ascii="Arial" w:cs="Arial" w:eastAsia="Arial" w:hAnsi="Arial"/>
                <w:sz w:val="16"/>
                <w:szCs w:val="16"/>
                <w:b w:val="1"/>
                <w:bCs w:val="1"/>
                <w:color w:val="auto"/>
              </w:rPr>
              <w:t>losses on loan portfolio</w:t>
            </w:r>
          </w:p>
        </w:tc>
        <w:tc>
          <w:tcPr>
            <w:tcW w:w="1140" w:type="dxa"/>
            <w:vAlign w:val="bottom"/>
          </w:tcPr>
          <w:p>
            <w:pPr>
              <w:spacing w:after="0"/>
              <w:rPr>
                <w:sz w:val="18"/>
                <w:szCs w:val="18"/>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9,315,627</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9,280,080</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8,147,381</w:t>
            </w:r>
          </w:p>
        </w:tc>
      </w:tr>
      <w:tr>
        <w:trPr>
          <w:trHeight w:val="342"/>
        </w:trPr>
        <w:tc>
          <w:tcPr>
            <w:tcW w:w="5860" w:type="dxa"/>
            <w:vAlign w:val="bottom"/>
          </w:tcPr>
          <w:p>
            <w:pPr>
              <w:spacing w:after="0"/>
              <w:rPr>
                <w:sz w:val="20"/>
                <w:szCs w:val="20"/>
                <w:color w:val="auto"/>
              </w:rPr>
            </w:pPr>
            <w:r>
              <w:rPr>
                <w:rFonts w:ascii="Arial" w:cs="Arial" w:eastAsia="Arial" w:hAnsi="Arial"/>
                <w:sz w:val="16"/>
                <w:szCs w:val="16"/>
                <w:b w:val="1"/>
                <w:bCs w:val="1"/>
                <w:color w:val="auto"/>
              </w:rPr>
              <w:t>Other income</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Commissions and fees</w:t>
            </w:r>
          </w:p>
        </w:tc>
        <w:tc>
          <w:tcPr>
            <w:tcW w:w="1140" w:type="dxa"/>
            <w:vAlign w:val="bottom"/>
          </w:tcPr>
          <w:p>
            <w:pPr>
              <w:jc w:val="center"/>
              <w:ind w:right="119"/>
              <w:spacing w:after="0"/>
              <w:rPr>
                <w:sz w:val="20"/>
                <w:szCs w:val="20"/>
                <w:color w:val="auto"/>
              </w:rPr>
            </w:pPr>
            <w:r>
              <w:rPr>
                <w:rFonts w:ascii="Arial" w:cs="Arial" w:eastAsia="Arial" w:hAnsi="Arial"/>
                <w:sz w:val="16"/>
                <w:szCs w:val="16"/>
                <w:color w:val="auto"/>
              </w:rPr>
              <w:t>20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3,804,459</w:t>
            </w:r>
          </w:p>
        </w:tc>
        <w:tc>
          <w:tcPr>
            <w:tcW w:w="120" w:type="dxa"/>
            <w:vAlign w:val="bottom"/>
          </w:tcPr>
          <w:p>
            <w:pPr>
              <w:spacing w:after="0"/>
              <w:rPr>
                <w:sz w:val="15"/>
                <w:szCs w:val="15"/>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3,642,857</w:t>
            </w:r>
          </w:p>
        </w:tc>
        <w:tc>
          <w:tcPr>
            <w:tcW w:w="100" w:type="dxa"/>
            <w:vAlign w:val="bottom"/>
          </w:tcPr>
          <w:p>
            <w:pPr>
              <w:spacing w:after="0"/>
              <w:rPr>
                <w:sz w:val="15"/>
                <w:szCs w:val="15"/>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3,493,734</w:t>
            </w: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Net gain on foreign exchange transactions</w:t>
            </w:r>
          </w:p>
        </w:tc>
        <w:tc>
          <w:tcPr>
            <w:tcW w:w="1140" w:type="dxa"/>
            <w:vAlign w:val="bottom"/>
          </w:tcPr>
          <w:p>
            <w:pPr>
              <w:spacing w:after="0"/>
              <w:rPr>
                <w:sz w:val="15"/>
                <w:szCs w:val="15"/>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886,126</w:t>
            </w:r>
          </w:p>
        </w:tc>
        <w:tc>
          <w:tcPr>
            <w:tcW w:w="120" w:type="dxa"/>
            <w:vAlign w:val="bottom"/>
          </w:tcPr>
          <w:p>
            <w:pPr>
              <w:spacing w:after="0"/>
              <w:rPr>
                <w:sz w:val="15"/>
                <w:szCs w:val="15"/>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1,084,151</w:t>
            </w:r>
          </w:p>
        </w:tc>
        <w:tc>
          <w:tcPr>
            <w:tcW w:w="100" w:type="dxa"/>
            <w:vAlign w:val="bottom"/>
          </w:tcPr>
          <w:p>
            <w:pPr>
              <w:spacing w:after="0"/>
              <w:rPr>
                <w:sz w:val="15"/>
                <w:szCs w:val="15"/>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922,917</w:t>
            </w: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Net gain on securities</w:t>
            </w:r>
          </w:p>
        </w:tc>
        <w:tc>
          <w:tcPr>
            <w:tcW w:w="1140" w:type="dxa"/>
            <w:vAlign w:val="bottom"/>
          </w:tcPr>
          <w:p>
            <w:pPr>
              <w:jc w:val="center"/>
              <w:ind w:right="119"/>
              <w:spacing w:after="0"/>
              <w:rPr>
                <w:sz w:val="20"/>
                <w:szCs w:val="20"/>
                <w:color w:val="auto"/>
              </w:rPr>
            </w:pPr>
            <w:r>
              <w:rPr>
                <w:rFonts w:ascii="Arial" w:cs="Arial" w:eastAsia="Arial" w:hAnsi="Arial"/>
                <w:sz w:val="16"/>
                <w:szCs w:val="16"/>
                <w:color w:val="auto"/>
              </w:rPr>
              <w:t>21</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425,144</w:t>
            </w:r>
          </w:p>
        </w:tc>
        <w:tc>
          <w:tcPr>
            <w:tcW w:w="120" w:type="dxa"/>
            <w:vAlign w:val="bottom"/>
          </w:tcPr>
          <w:p>
            <w:pPr>
              <w:spacing w:after="0"/>
              <w:rPr>
                <w:sz w:val="15"/>
                <w:szCs w:val="15"/>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5,468</w:t>
            </w:r>
          </w:p>
        </w:tc>
        <w:tc>
          <w:tcPr>
            <w:tcW w:w="100" w:type="dxa"/>
            <w:vAlign w:val="bottom"/>
          </w:tcPr>
          <w:p>
            <w:pPr>
              <w:spacing w:after="0"/>
              <w:rPr>
                <w:sz w:val="15"/>
                <w:szCs w:val="15"/>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28,650</w:t>
            </w: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Net gain on derivatives held for trading</w:t>
            </w:r>
          </w:p>
        </w:tc>
        <w:tc>
          <w:tcPr>
            <w:tcW w:w="1140" w:type="dxa"/>
            <w:vAlign w:val="bottom"/>
          </w:tcPr>
          <w:p>
            <w:pPr>
              <w:spacing w:after="0"/>
              <w:rPr>
                <w:sz w:val="15"/>
                <w:szCs w:val="15"/>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53,665</w:t>
            </w:r>
          </w:p>
        </w:tc>
        <w:tc>
          <w:tcPr>
            <w:tcW w:w="120" w:type="dxa"/>
            <w:vAlign w:val="bottom"/>
          </w:tcPr>
          <w:p>
            <w:pPr>
              <w:spacing w:after="0"/>
              <w:rPr>
                <w:sz w:val="15"/>
                <w:szCs w:val="15"/>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65,187</w:t>
            </w:r>
          </w:p>
        </w:tc>
        <w:tc>
          <w:tcPr>
            <w:tcW w:w="100" w:type="dxa"/>
            <w:vAlign w:val="bottom"/>
          </w:tcPr>
          <w:p>
            <w:pPr>
              <w:spacing w:after="0"/>
              <w:rPr>
                <w:sz w:val="15"/>
                <w:szCs w:val="15"/>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221,064</w:t>
            </w: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Exchange difference result</w:t>
            </w:r>
          </w:p>
        </w:tc>
        <w:tc>
          <w:tcPr>
            <w:tcW w:w="1140" w:type="dxa"/>
            <w:vAlign w:val="bottom"/>
          </w:tcPr>
          <w:p>
            <w:pPr>
              <w:spacing w:after="0"/>
              <w:rPr>
                <w:sz w:val="15"/>
                <w:szCs w:val="15"/>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45,778</w:t>
            </w:r>
          </w:p>
        </w:tc>
        <w:tc>
          <w:tcPr>
            <w:tcW w:w="120" w:type="dxa"/>
            <w:vAlign w:val="bottom"/>
          </w:tcPr>
          <w:p>
            <w:pPr>
              <w:spacing w:after="0"/>
              <w:rPr>
                <w:sz w:val="15"/>
                <w:szCs w:val="15"/>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(3,215)</w:t>
            </w:r>
          </w:p>
        </w:tc>
      </w:tr>
      <w:tr>
        <w:trPr>
          <w:trHeight w:val="204"/>
        </w:trPr>
        <w:tc>
          <w:tcPr>
            <w:tcW w:w="5860" w:type="dxa"/>
            <w:vAlign w:val="bottom"/>
          </w:tcPr>
          <w:p>
            <w:pPr>
              <w:spacing w:after="0"/>
              <w:rPr>
                <w:sz w:val="20"/>
                <w:szCs w:val="20"/>
                <w:color w:val="auto"/>
              </w:rPr>
            </w:pPr>
            <w:r>
              <w:rPr>
                <w:rFonts w:ascii="Arial" w:cs="Arial" w:eastAsia="Arial" w:hAnsi="Arial"/>
                <w:sz w:val="16"/>
                <w:szCs w:val="16"/>
                <w:color w:val="auto"/>
              </w:rPr>
              <w:t>Others</w:t>
            </w:r>
          </w:p>
        </w:tc>
        <w:tc>
          <w:tcPr>
            <w:tcW w:w="1140" w:type="dxa"/>
            <w:vAlign w:val="bottom"/>
          </w:tcPr>
          <w:p>
            <w:pPr>
              <w:jc w:val="center"/>
              <w:ind w:right="119"/>
              <w:spacing w:after="0"/>
              <w:rPr>
                <w:sz w:val="20"/>
                <w:szCs w:val="20"/>
                <w:color w:val="auto"/>
              </w:rPr>
            </w:pPr>
            <w:r>
              <w:rPr>
                <w:rFonts w:ascii="Arial" w:cs="Arial" w:eastAsia="Arial" w:hAnsi="Arial"/>
                <w:sz w:val="16"/>
                <w:szCs w:val="16"/>
                <w:color w:val="auto"/>
              </w:rPr>
              <w:t>25</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440,653</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268,046</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266,567</w:t>
            </w:r>
          </w:p>
        </w:tc>
      </w:tr>
      <w:tr>
        <w:trPr>
          <w:trHeight w:val="183"/>
        </w:trPr>
        <w:tc>
          <w:tcPr>
            <w:tcW w:w="5860" w:type="dxa"/>
            <w:vAlign w:val="bottom"/>
          </w:tcPr>
          <w:p>
            <w:pPr>
              <w:spacing w:after="0"/>
              <w:rPr>
                <w:sz w:val="20"/>
                <w:szCs w:val="20"/>
                <w:color w:val="auto"/>
              </w:rPr>
            </w:pPr>
            <w:r>
              <w:rPr>
                <w:rFonts w:ascii="Arial" w:cs="Arial" w:eastAsia="Arial" w:hAnsi="Arial"/>
                <w:sz w:val="16"/>
                <w:szCs w:val="16"/>
                <w:b w:val="1"/>
                <w:bCs w:val="1"/>
                <w:color w:val="auto"/>
              </w:rPr>
              <w:t>Total other income</w:t>
            </w:r>
          </w:p>
        </w:tc>
        <w:tc>
          <w:tcPr>
            <w:tcW w:w="1140" w:type="dxa"/>
            <w:vAlign w:val="bottom"/>
          </w:tcPr>
          <w:p>
            <w:pPr>
              <w:spacing w:after="0"/>
              <w:rPr>
                <w:sz w:val="15"/>
                <w:szCs w:val="15"/>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5,655,825</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5,066,096</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4,929,717</w:t>
            </w:r>
          </w:p>
        </w:tc>
      </w:tr>
      <w:tr>
        <w:trPr>
          <w:trHeight w:val="342"/>
        </w:trPr>
        <w:tc>
          <w:tcPr>
            <w:tcW w:w="5860" w:type="dxa"/>
            <w:vAlign w:val="bottom"/>
          </w:tcPr>
          <w:p>
            <w:pPr>
              <w:spacing w:after="0"/>
              <w:rPr>
                <w:sz w:val="20"/>
                <w:szCs w:val="20"/>
                <w:color w:val="auto"/>
              </w:rPr>
            </w:pPr>
            <w:r>
              <w:rPr>
                <w:rFonts w:ascii="Arial" w:cs="Arial" w:eastAsia="Arial" w:hAnsi="Arial"/>
                <w:sz w:val="16"/>
                <w:szCs w:val="16"/>
                <w:b w:val="1"/>
                <w:bCs w:val="1"/>
                <w:color w:val="auto"/>
              </w:rPr>
              <w:t>Technical result of insurance</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Insurance service result</w:t>
            </w:r>
          </w:p>
        </w:tc>
        <w:tc>
          <w:tcPr>
            <w:tcW w:w="1140" w:type="dxa"/>
            <w:vAlign w:val="bottom"/>
          </w:tcPr>
          <w:p>
            <w:pPr>
              <w:jc w:val="center"/>
              <w:ind w:right="139"/>
              <w:spacing w:after="0"/>
              <w:rPr>
                <w:sz w:val="20"/>
                <w:szCs w:val="20"/>
                <w:color w:val="auto"/>
              </w:rPr>
            </w:pPr>
            <w:r>
              <w:rPr>
                <w:rFonts w:ascii="Arial" w:cs="Arial" w:eastAsia="Arial" w:hAnsi="Arial"/>
                <w:sz w:val="16"/>
                <w:szCs w:val="16"/>
                <w:color w:val="auto"/>
              </w:rPr>
              <w:t>22 (a)</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1,602,421</w:t>
            </w:r>
          </w:p>
        </w:tc>
        <w:tc>
          <w:tcPr>
            <w:tcW w:w="120" w:type="dxa"/>
            <w:vAlign w:val="bottom"/>
          </w:tcPr>
          <w:p>
            <w:pPr>
              <w:spacing w:after="0"/>
              <w:rPr>
                <w:sz w:val="15"/>
                <w:szCs w:val="15"/>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1,302,347</w:t>
            </w:r>
          </w:p>
        </w:tc>
        <w:tc>
          <w:tcPr>
            <w:tcW w:w="100" w:type="dxa"/>
            <w:vAlign w:val="bottom"/>
          </w:tcPr>
          <w:p>
            <w:pPr>
              <w:spacing w:after="0"/>
              <w:rPr>
                <w:sz w:val="15"/>
                <w:szCs w:val="15"/>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Underwriting result</w:t>
            </w:r>
          </w:p>
        </w:tc>
        <w:tc>
          <w:tcPr>
            <w:tcW w:w="1140" w:type="dxa"/>
            <w:vAlign w:val="bottom"/>
          </w:tcPr>
          <w:p>
            <w:pPr>
              <w:jc w:val="center"/>
              <w:ind w:right="139"/>
              <w:spacing w:after="0"/>
              <w:rPr>
                <w:sz w:val="20"/>
                <w:szCs w:val="20"/>
                <w:color w:val="auto"/>
              </w:rPr>
            </w:pPr>
            <w:r>
              <w:rPr>
                <w:rFonts w:ascii="Arial" w:cs="Arial" w:eastAsia="Arial" w:hAnsi="Arial"/>
                <w:sz w:val="16"/>
                <w:szCs w:val="16"/>
                <w:color w:val="auto"/>
              </w:rPr>
              <w:t>22 (a)</w:t>
            </w:r>
          </w:p>
        </w:tc>
        <w:tc>
          <w:tcPr>
            <w:tcW w:w="1340" w:type="dxa"/>
            <w:vAlign w:val="bottom"/>
          </w:tcPr>
          <w:p>
            <w:pPr>
              <w:jc w:val="right"/>
              <w:spacing w:after="0"/>
              <w:rPr>
                <w:sz w:val="20"/>
                <w:szCs w:val="20"/>
                <w:color w:val="auto"/>
              </w:rPr>
            </w:pPr>
            <w:r>
              <w:rPr>
                <w:rFonts w:ascii="Arial" w:cs="Arial" w:eastAsia="Arial" w:hAnsi="Arial"/>
                <w:sz w:val="16"/>
                <w:szCs w:val="16"/>
                <w:color w:val="auto"/>
              </w:rPr>
              <w:t>(391,321)</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(460,899)</w:t>
            </w:r>
          </w:p>
        </w:tc>
        <w:tc>
          <w:tcPr>
            <w:tcW w:w="100" w:type="dxa"/>
            <w:vAlign w:val="bottom"/>
          </w:tcPr>
          <w:p>
            <w:pPr>
              <w:spacing w:after="0"/>
              <w:rPr>
                <w:sz w:val="15"/>
                <w:szCs w:val="15"/>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Net premiums earned</w:t>
            </w:r>
          </w:p>
        </w:tc>
        <w:tc>
          <w:tcPr>
            <w:tcW w:w="1140" w:type="dxa"/>
            <w:vAlign w:val="bottom"/>
          </w:tcPr>
          <w:p>
            <w:pPr>
              <w:jc w:val="center"/>
              <w:ind w:right="139"/>
              <w:spacing w:after="0"/>
              <w:rPr>
                <w:sz w:val="20"/>
                <w:szCs w:val="20"/>
                <w:color w:val="auto"/>
              </w:rPr>
            </w:pPr>
            <w:r>
              <w:rPr>
                <w:rFonts w:ascii="Arial" w:cs="Arial" w:eastAsia="Arial" w:hAnsi="Arial"/>
                <w:sz w:val="16"/>
                <w:szCs w:val="16"/>
                <w:color w:val="auto"/>
              </w:rPr>
              <w:t>22 (g)</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2,671,530</w:t>
            </w: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Net claims incurred for life, general and health insurance contracts</w:t>
            </w:r>
          </w:p>
        </w:tc>
        <w:tc>
          <w:tcPr>
            <w:tcW w:w="1140" w:type="dxa"/>
            <w:vAlign w:val="bottom"/>
          </w:tcPr>
          <w:p>
            <w:pPr>
              <w:jc w:val="center"/>
              <w:ind w:right="139"/>
              <w:spacing w:after="0"/>
              <w:rPr>
                <w:sz w:val="20"/>
                <w:szCs w:val="20"/>
                <w:color w:val="auto"/>
              </w:rPr>
            </w:pPr>
            <w:r>
              <w:rPr>
                <w:rFonts w:ascii="Arial" w:cs="Arial" w:eastAsia="Arial" w:hAnsi="Arial"/>
                <w:sz w:val="16"/>
                <w:szCs w:val="16"/>
                <w:color w:val="auto"/>
              </w:rPr>
              <w:t>22 (h)</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(2,341,917)</w:t>
            </w:r>
          </w:p>
        </w:tc>
      </w:tr>
      <w:tr>
        <w:trPr>
          <w:trHeight w:val="212"/>
        </w:trPr>
        <w:tc>
          <w:tcPr>
            <w:tcW w:w="5860" w:type="dxa"/>
            <w:vAlign w:val="bottom"/>
          </w:tcPr>
          <w:p>
            <w:pPr>
              <w:spacing w:after="0"/>
              <w:rPr>
                <w:sz w:val="20"/>
                <w:szCs w:val="20"/>
                <w:color w:val="auto"/>
              </w:rPr>
            </w:pPr>
            <w:r>
              <w:rPr>
                <w:rFonts w:ascii="Arial" w:cs="Arial" w:eastAsia="Arial" w:hAnsi="Arial"/>
                <w:sz w:val="16"/>
                <w:szCs w:val="16"/>
                <w:color w:val="auto"/>
              </w:rPr>
              <w:t>Acquisition cost</w:t>
            </w:r>
          </w:p>
        </w:tc>
        <w:tc>
          <w:tcPr>
            <w:tcW w:w="1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(333,334)</w:t>
            </w:r>
          </w:p>
        </w:tc>
      </w:tr>
      <w:tr>
        <w:trPr>
          <w:trHeight w:val="208"/>
        </w:trPr>
        <w:tc>
          <w:tcPr>
            <w:tcW w:w="5860" w:type="dxa"/>
            <w:vAlign w:val="bottom"/>
          </w:tcPr>
          <w:p>
            <w:pPr>
              <w:spacing w:after="0"/>
              <w:rPr>
                <w:sz w:val="20"/>
                <w:szCs w:val="20"/>
                <w:color w:val="auto"/>
              </w:rPr>
            </w:pPr>
            <w:r>
              <w:rPr>
                <w:rFonts w:ascii="Arial" w:cs="Arial" w:eastAsia="Arial" w:hAnsi="Arial"/>
                <w:sz w:val="16"/>
                <w:szCs w:val="16"/>
                <w:b w:val="1"/>
                <w:bCs w:val="1"/>
                <w:color w:val="auto"/>
              </w:rPr>
              <w:t>Total technical result of insurance</w:t>
            </w:r>
          </w:p>
        </w:tc>
        <w:tc>
          <w:tcPr>
            <w:tcW w:w="1140" w:type="dxa"/>
            <w:vAlign w:val="bottom"/>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1,211,100</w:t>
            </w:r>
          </w:p>
        </w:tc>
        <w:tc>
          <w:tcPr>
            <w:tcW w:w="120" w:type="dxa"/>
            <w:vAlign w:val="bottom"/>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841,448</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(3,721)</w:t>
            </w:r>
          </w:p>
        </w:tc>
      </w:tr>
      <w:tr>
        <w:trPr>
          <w:trHeight w:val="318"/>
        </w:trPr>
        <w:tc>
          <w:tcPr>
            <w:tcW w:w="5860" w:type="dxa"/>
            <w:vAlign w:val="bottom"/>
          </w:tcPr>
          <w:p>
            <w:pPr>
              <w:spacing w:after="0"/>
              <w:rPr>
                <w:sz w:val="20"/>
                <w:szCs w:val="20"/>
                <w:color w:val="auto"/>
              </w:rPr>
            </w:pPr>
            <w:r>
              <w:rPr>
                <w:rFonts w:ascii="Arial" w:cs="Arial" w:eastAsia="Arial" w:hAnsi="Arial"/>
                <w:sz w:val="16"/>
                <w:szCs w:val="16"/>
                <w:b w:val="1"/>
                <w:bCs w:val="1"/>
                <w:color w:val="auto"/>
              </w:rPr>
              <w:t>Other expenses</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Salaries and employee benefits</w:t>
            </w:r>
          </w:p>
        </w:tc>
        <w:tc>
          <w:tcPr>
            <w:tcW w:w="1140" w:type="dxa"/>
            <w:vAlign w:val="bottom"/>
          </w:tcPr>
          <w:p>
            <w:pPr>
              <w:jc w:val="center"/>
              <w:ind w:right="119"/>
              <w:spacing w:after="0"/>
              <w:rPr>
                <w:sz w:val="20"/>
                <w:szCs w:val="20"/>
                <w:color w:val="auto"/>
              </w:rPr>
            </w:pPr>
            <w:r>
              <w:rPr>
                <w:rFonts w:ascii="Arial" w:cs="Arial" w:eastAsia="Arial" w:hAnsi="Arial"/>
                <w:sz w:val="16"/>
                <w:szCs w:val="16"/>
                <w:color w:val="auto"/>
              </w:rPr>
              <w:t>23</w:t>
            </w:r>
          </w:p>
        </w:tc>
        <w:tc>
          <w:tcPr>
            <w:tcW w:w="1340" w:type="dxa"/>
            <w:vAlign w:val="bottom"/>
          </w:tcPr>
          <w:p>
            <w:pPr>
              <w:jc w:val="right"/>
              <w:spacing w:after="0"/>
              <w:rPr>
                <w:sz w:val="20"/>
                <w:szCs w:val="20"/>
                <w:color w:val="auto"/>
              </w:rPr>
            </w:pPr>
            <w:r>
              <w:rPr>
                <w:rFonts w:ascii="Arial" w:cs="Arial" w:eastAsia="Arial" w:hAnsi="Arial"/>
                <w:sz w:val="16"/>
                <w:szCs w:val="16"/>
                <w:color w:val="auto"/>
              </w:rPr>
              <w:t>(4,265,453)</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(3,902,161)</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(3,668,476)</w:t>
            </w: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1140" w:type="dxa"/>
            <w:vAlign w:val="bottom"/>
          </w:tcPr>
          <w:p>
            <w:pPr>
              <w:jc w:val="center"/>
              <w:ind w:right="119"/>
              <w:spacing w:after="0"/>
              <w:rPr>
                <w:sz w:val="20"/>
                <w:szCs w:val="20"/>
                <w:color w:val="auto"/>
              </w:rPr>
            </w:pPr>
            <w:r>
              <w:rPr>
                <w:rFonts w:ascii="Arial" w:cs="Arial" w:eastAsia="Arial" w:hAnsi="Arial"/>
                <w:sz w:val="16"/>
                <w:szCs w:val="16"/>
                <w:color w:val="auto"/>
              </w:rPr>
              <w:t>24</w:t>
            </w:r>
          </w:p>
        </w:tc>
        <w:tc>
          <w:tcPr>
            <w:tcW w:w="1340" w:type="dxa"/>
            <w:vAlign w:val="bottom"/>
          </w:tcPr>
          <w:p>
            <w:pPr>
              <w:jc w:val="right"/>
              <w:spacing w:after="0"/>
              <w:rPr>
                <w:sz w:val="20"/>
                <w:szCs w:val="20"/>
                <w:color w:val="auto"/>
              </w:rPr>
            </w:pPr>
            <w:r>
              <w:rPr>
                <w:rFonts w:ascii="Arial" w:cs="Arial" w:eastAsia="Arial" w:hAnsi="Arial"/>
                <w:sz w:val="16"/>
                <w:szCs w:val="16"/>
                <w:color w:val="auto"/>
              </w:rPr>
              <w:t>(3,803,203)</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(3,414,065)</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(2,953,717)</w:t>
            </w: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140" w:type="dxa"/>
            <w:vAlign w:val="bottom"/>
          </w:tcPr>
          <w:p>
            <w:pPr>
              <w:jc w:val="center"/>
              <w:ind w:right="139"/>
              <w:spacing w:after="0"/>
              <w:rPr>
                <w:sz w:val="20"/>
                <w:szCs w:val="20"/>
                <w:color w:val="auto"/>
              </w:rPr>
            </w:pPr>
            <w:r>
              <w:rPr>
                <w:rFonts w:ascii="Arial" w:cs="Arial" w:eastAsia="Arial" w:hAnsi="Arial"/>
                <w:sz w:val="16"/>
                <w:szCs w:val="16"/>
                <w:color w:val="auto"/>
              </w:rPr>
              <w:t>9 and 10(a)</w:t>
            </w:r>
          </w:p>
        </w:tc>
        <w:tc>
          <w:tcPr>
            <w:tcW w:w="1340" w:type="dxa"/>
            <w:vAlign w:val="bottom"/>
          </w:tcPr>
          <w:p>
            <w:pPr>
              <w:jc w:val="right"/>
              <w:spacing w:after="0"/>
              <w:rPr>
                <w:sz w:val="20"/>
                <w:szCs w:val="20"/>
                <w:color w:val="auto"/>
              </w:rPr>
            </w:pPr>
            <w:r>
              <w:rPr>
                <w:rFonts w:ascii="Arial" w:cs="Arial" w:eastAsia="Arial" w:hAnsi="Arial"/>
                <w:sz w:val="16"/>
                <w:szCs w:val="16"/>
                <w:color w:val="auto"/>
              </w:rPr>
              <w:t>(511,174)</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(485,207)</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(521,967)</w:t>
            </w: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Impairment loss on goodwill</w:t>
            </w:r>
          </w:p>
        </w:tc>
        <w:tc>
          <w:tcPr>
            <w:tcW w:w="1140" w:type="dxa"/>
            <w:vAlign w:val="bottom"/>
          </w:tcPr>
          <w:p>
            <w:pPr>
              <w:jc w:val="center"/>
              <w:ind w:right="119"/>
              <w:spacing w:after="0"/>
              <w:rPr>
                <w:sz w:val="20"/>
                <w:szCs w:val="20"/>
                <w:color w:val="auto"/>
              </w:rPr>
            </w:pPr>
            <w:r>
              <w:rPr>
                <w:rFonts w:ascii="Arial" w:cs="Arial" w:eastAsia="Arial" w:hAnsi="Arial"/>
                <w:sz w:val="16"/>
                <w:szCs w:val="16"/>
                <w:color w:val="auto"/>
              </w:rPr>
              <w:t>10(b)</w:t>
            </w:r>
          </w:p>
        </w:tc>
        <w:tc>
          <w:tcPr>
            <w:tcW w:w="1340" w:type="dxa"/>
            <w:vAlign w:val="bottom"/>
          </w:tcPr>
          <w:p>
            <w:pPr>
              <w:jc w:val="right"/>
              <w:spacing w:after="0"/>
              <w:rPr>
                <w:sz w:val="20"/>
                <w:szCs w:val="20"/>
                <w:color w:val="auto"/>
              </w:rPr>
            </w:pPr>
            <w:r>
              <w:rPr>
                <w:rFonts w:ascii="Arial" w:cs="Arial" w:eastAsia="Arial" w:hAnsi="Arial"/>
                <w:sz w:val="16"/>
                <w:szCs w:val="16"/>
                <w:color w:val="auto"/>
              </w:rPr>
              <w:t>(71,959)</w:t>
            </w:r>
          </w:p>
        </w:tc>
        <w:tc>
          <w:tcPr>
            <w:tcW w:w="12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5860" w:type="dxa"/>
            <w:vAlign w:val="bottom"/>
          </w:tcPr>
          <w:p>
            <w:pPr>
              <w:spacing w:after="0"/>
              <w:rPr>
                <w:sz w:val="20"/>
                <w:szCs w:val="20"/>
                <w:color w:val="auto"/>
              </w:rPr>
            </w:pPr>
            <w:r>
              <w:rPr>
                <w:rFonts w:ascii="Arial" w:cs="Arial" w:eastAsia="Arial" w:hAnsi="Arial"/>
                <w:sz w:val="16"/>
                <w:szCs w:val="16"/>
                <w:color w:val="auto"/>
              </w:rPr>
              <w:t>Depreciation for right-of-use assets</w:t>
            </w:r>
          </w:p>
        </w:tc>
        <w:tc>
          <w:tcPr>
            <w:tcW w:w="1140" w:type="dxa"/>
            <w:vAlign w:val="bottom"/>
          </w:tcPr>
          <w:p>
            <w:pPr>
              <w:jc w:val="center"/>
              <w:ind w:right="139"/>
              <w:spacing w:after="0"/>
              <w:rPr>
                <w:sz w:val="20"/>
                <w:szCs w:val="20"/>
                <w:color w:val="auto"/>
              </w:rPr>
            </w:pPr>
            <w:r>
              <w:rPr>
                <w:rFonts w:ascii="Arial" w:cs="Arial" w:eastAsia="Arial" w:hAnsi="Arial"/>
                <w:sz w:val="16"/>
                <w:szCs w:val="16"/>
                <w:color w:val="auto"/>
                <w:w w:val="96"/>
              </w:rPr>
              <w:t>11(a)</w:t>
            </w:r>
          </w:p>
        </w:tc>
        <w:tc>
          <w:tcPr>
            <w:tcW w:w="1340" w:type="dxa"/>
            <w:vAlign w:val="bottom"/>
          </w:tcPr>
          <w:p>
            <w:pPr>
              <w:jc w:val="right"/>
              <w:spacing w:after="0"/>
              <w:rPr>
                <w:sz w:val="20"/>
                <w:szCs w:val="20"/>
                <w:color w:val="auto"/>
              </w:rPr>
            </w:pPr>
            <w:r>
              <w:rPr>
                <w:rFonts w:ascii="Arial" w:cs="Arial" w:eastAsia="Arial" w:hAnsi="Arial"/>
                <w:sz w:val="16"/>
                <w:szCs w:val="16"/>
                <w:color w:val="auto"/>
              </w:rPr>
              <w:t>(147,833)</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(151,282)</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(161,287)</w:t>
            </w:r>
          </w:p>
        </w:tc>
      </w:tr>
      <w:tr>
        <w:trPr>
          <w:trHeight w:val="204"/>
        </w:trPr>
        <w:tc>
          <w:tcPr>
            <w:tcW w:w="5860" w:type="dxa"/>
            <w:vAlign w:val="bottom"/>
          </w:tcPr>
          <w:p>
            <w:pPr>
              <w:spacing w:after="0"/>
              <w:rPr>
                <w:sz w:val="20"/>
                <w:szCs w:val="20"/>
                <w:color w:val="auto"/>
              </w:rPr>
            </w:pPr>
            <w:r>
              <w:rPr>
                <w:rFonts w:ascii="Arial" w:cs="Arial" w:eastAsia="Arial" w:hAnsi="Arial"/>
                <w:sz w:val="16"/>
                <w:szCs w:val="16"/>
                <w:color w:val="auto"/>
              </w:rPr>
              <w:t>Others</w:t>
            </w:r>
          </w:p>
        </w:tc>
        <w:tc>
          <w:tcPr>
            <w:tcW w:w="1140" w:type="dxa"/>
            <w:vAlign w:val="bottom"/>
          </w:tcPr>
          <w:p>
            <w:pPr>
              <w:jc w:val="center"/>
              <w:ind w:right="119"/>
              <w:spacing w:after="0"/>
              <w:rPr>
                <w:sz w:val="20"/>
                <w:szCs w:val="20"/>
                <w:color w:val="auto"/>
              </w:rPr>
            </w:pPr>
            <w:r>
              <w:rPr>
                <w:rFonts w:ascii="Arial" w:cs="Arial" w:eastAsia="Arial" w:hAnsi="Arial"/>
                <w:sz w:val="16"/>
                <w:szCs w:val="16"/>
                <w:color w:val="auto"/>
              </w:rPr>
              <w:t>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(534,601)</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(364,298)</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(435,114)</w:t>
            </w:r>
          </w:p>
        </w:tc>
      </w:tr>
      <w:tr>
        <w:trPr>
          <w:trHeight w:val="183"/>
        </w:trPr>
        <w:tc>
          <w:tcPr>
            <w:tcW w:w="5860" w:type="dxa"/>
            <w:vAlign w:val="bottom"/>
          </w:tcPr>
          <w:p>
            <w:pPr>
              <w:spacing w:after="0"/>
              <w:rPr>
                <w:sz w:val="20"/>
                <w:szCs w:val="20"/>
                <w:color w:val="auto"/>
              </w:rPr>
            </w:pPr>
            <w:r>
              <w:rPr>
                <w:rFonts w:ascii="Arial" w:cs="Arial" w:eastAsia="Arial" w:hAnsi="Arial"/>
                <w:sz w:val="16"/>
                <w:szCs w:val="16"/>
                <w:b w:val="1"/>
                <w:bCs w:val="1"/>
                <w:color w:val="auto"/>
              </w:rPr>
              <w:t>Total other expenses</w:t>
            </w:r>
          </w:p>
        </w:tc>
        <w:tc>
          <w:tcPr>
            <w:tcW w:w="114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(9,334,223)</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(8,317,013)</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(7,740,561)</w:t>
            </w:r>
          </w:p>
        </w:tc>
      </w:tr>
      <w:tr>
        <w:trPr>
          <w:trHeight w:val="533"/>
        </w:trPr>
        <w:tc>
          <w:tcPr>
            <w:tcW w:w="5860" w:type="dxa"/>
            <w:vAlign w:val="bottom"/>
          </w:tcPr>
          <w:p>
            <w:pPr>
              <w:ind w:left="5540"/>
              <w:spacing w:after="0"/>
              <w:rPr>
                <w:sz w:val="20"/>
                <w:szCs w:val="20"/>
                <w:color w:val="auto"/>
              </w:rPr>
            </w:pPr>
            <w:r>
              <w:rPr>
                <w:rFonts w:ascii="Arial" w:cs="Arial" w:eastAsia="Arial" w:hAnsi="Arial"/>
                <w:sz w:val="16"/>
                <w:szCs w:val="16"/>
                <w:color w:val="auto"/>
              </w:rPr>
              <w:t>12</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8"/>
        </w:trPr>
        <w:tc>
          <w:tcPr>
            <w:tcW w:w="58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color w:val="auto"/>
              </w:rPr>
              <w:t>CONSOLIDATED STATEMENT OF INCOME (continued)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47"/>
        </w:trPr>
        <w:tc>
          <w:tcPr>
            <w:tcW w:w="7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0"/>
        </w:trPr>
        <w:tc>
          <w:tcPr>
            <w:tcW w:w="7000" w:type="dxa"/>
            <w:vAlign w:val="bottom"/>
          </w:tcPr>
          <w:p>
            <w:pPr>
              <w:ind w:left="6040"/>
              <w:spacing w:after="0"/>
              <w:rPr>
                <w:sz w:val="20"/>
                <w:szCs w:val="20"/>
                <w:color w:val="auto"/>
              </w:rPr>
            </w:pPr>
            <w:r>
              <w:rPr>
                <w:rFonts w:ascii="Arial" w:cs="Arial" w:eastAsia="Arial" w:hAnsi="Arial"/>
                <w:sz w:val="16"/>
                <w:szCs w:val="16"/>
                <w:b w:val="1"/>
                <w:bCs w:val="1"/>
                <w:color w:val="auto"/>
              </w:rPr>
              <w:t>Note</w:t>
            </w:r>
          </w:p>
        </w:tc>
        <w:tc>
          <w:tcPr>
            <w:tcW w:w="1240" w:type="dxa"/>
            <w:vAlign w:val="bottom"/>
          </w:tcPr>
          <w:p>
            <w:pPr>
              <w:ind w:left="10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(Restated)</w:t>
            </w:r>
          </w:p>
        </w:tc>
        <w:tc>
          <w:tcPr>
            <w:tcW w:w="1240" w:type="dxa"/>
            <w:vAlign w:val="bottom"/>
          </w:tcPr>
          <w:p>
            <w:pPr>
              <w:ind w:left="120"/>
              <w:spacing w:after="0"/>
              <w:rPr>
                <w:sz w:val="20"/>
                <w:szCs w:val="20"/>
                <w:color w:val="auto"/>
              </w:rPr>
            </w:pPr>
            <w:r>
              <w:rPr>
                <w:rFonts w:ascii="Arial" w:cs="Arial" w:eastAsia="Arial" w:hAnsi="Arial"/>
                <w:sz w:val="16"/>
                <w:szCs w:val="16"/>
                <w:b w:val="1"/>
                <w:bCs w:val="1"/>
                <w:color w:val="auto"/>
              </w:rPr>
              <w:t>2021</w:t>
            </w:r>
          </w:p>
        </w:tc>
      </w:tr>
      <w:tr>
        <w:trPr>
          <w:trHeight w:val="216"/>
        </w:trPr>
        <w:tc>
          <w:tcPr>
            <w:tcW w:w="7000" w:type="dxa"/>
            <w:vAlign w:val="bottom"/>
          </w:tcPr>
          <w:p>
            <w:pPr>
              <w:spacing w:after="0"/>
              <w:rPr>
                <w:sz w:val="18"/>
                <w:szCs w:val="18"/>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4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S/(000)</w:t>
            </w: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20"/>
                <w:szCs w:val="20"/>
                <w:color w:val="auto"/>
              </w:rPr>
            </w:pPr>
            <w:r>
              <w:rPr>
                <w:rFonts w:ascii="Arial" w:cs="Arial" w:eastAsia="Arial" w:hAnsi="Arial"/>
                <w:sz w:val="16"/>
                <w:szCs w:val="16"/>
                <w:b w:val="1"/>
                <w:bCs w:val="1"/>
                <w:color w:val="auto"/>
              </w:rPr>
              <w:t>Net result before income tax</w:t>
            </w:r>
          </w:p>
        </w:tc>
        <w:tc>
          <w:tcPr>
            <w:tcW w:w="258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6,848,329</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6,870,611</w:t>
            </w:r>
          </w:p>
        </w:tc>
        <w:tc>
          <w:tcPr>
            <w:tcW w:w="1240" w:type="dxa"/>
            <w:vAlign w:val="bottom"/>
          </w:tcPr>
          <w:p>
            <w:pPr>
              <w:jc w:val="right"/>
              <w:spacing w:after="0"/>
              <w:rPr>
                <w:sz w:val="20"/>
                <w:szCs w:val="20"/>
                <w:color w:val="auto"/>
              </w:rPr>
            </w:pPr>
            <w:r>
              <w:rPr>
                <w:rFonts w:ascii="Arial" w:cs="Arial" w:eastAsia="Arial" w:hAnsi="Arial"/>
                <w:sz w:val="16"/>
                <w:szCs w:val="16"/>
                <w:color w:val="auto"/>
              </w:rPr>
              <w:t>5,332,816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20" w:type="dxa"/>
            <w:vAlign w:val="bottom"/>
          </w:tcPr>
          <w:p>
            <w:pPr>
              <w:spacing w:after="0"/>
              <w:rPr>
                <w:sz w:val="20"/>
                <w:szCs w:val="20"/>
                <w:color w:val="auto"/>
              </w:rPr>
            </w:pPr>
            <w:r>
              <w:rPr>
                <w:rFonts w:ascii="Arial" w:cs="Arial" w:eastAsia="Arial" w:hAnsi="Arial"/>
                <w:sz w:val="16"/>
                <w:szCs w:val="16"/>
                <w:color w:val="auto"/>
              </w:rPr>
              <w:t>Income tax</w:t>
            </w:r>
          </w:p>
        </w:tc>
        <w:tc>
          <w:tcPr>
            <w:tcW w:w="2580" w:type="dxa"/>
            <w:vAlign w:val="bottom"/>
          </w:tcPr>
          <w:p>
            <w:pPr>
              <w:jc w:val="center"/>
              <w:ind w:left="919"/>
              <w:spacing w:after="0"/>
              <w:rPr>
                <w:sz w:val="20"/>
                <w:szCs w:val="20"/>
                <w:color w:val="auto"/>
              </w:rPr>
            </w:pPr>
            <w:r>
              <w:rPr>
                <w:rFonts w:ascii="Arial" w:cs="Arial" w:eastAsia="Arial" w:hAnsi="Arial"/>
                <w:sz w:val="16"/>
                <w:szCs w:val="16"/>
                <w:color w:val="auto"/>
              </w:rPr>
              <w:t>17(b)</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(1,888,451)</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(2,110,501)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(1,660,987)</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6"/>
                <w:szCs w:val="16"/>
                <w:b w:val="1"/>
                <w:bCs w:val="1"/>
                <w:color w:val="auto"/>
              </w:rPr>
              <w:t>Net result after income tax</w:t>
            </w:r>
          </w:p>
        </w:tc>
        <w:tc>
          <w:tcPr>
            <w:tcW w:w="2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2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4,959,878</w:t>
            </w:r>
          </w:p>
        </w:tc>
        <w:tc>
          <w:tcPr>
            <w:tcW w:w="2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4,760,110</w:t>
            </w:r>
          </w:p>
        </w:tc>
        <w:tc>
          <w:tcPr>
            <w:tcW w:w="1240" w:type="dxa"/>
            <w:vAlign w:val="bottom"/>
          </w:tcPr>
          <w:p>
            <w:pPr>
              <w:jc w:val="right"/>
              <w:spacing w:after="0"/>
              <w:rPr>
                <w:sz w:val="20"/>
                <w:szCs w:val="20"/>
                <w:color w:val="auto"/>
              </w:rPr>
            </w:pPr>
            <w:r>
              <w:rPr>
                <w:rFonts w:ascii="Arial" w:cs="Arial" w:eastAsia="Arial" w:hAnsi="Arial"/>
                <w:sz w:val="16"/>
                <w:szCs w:val="16"/>
                <w:color w:val="auto"/>
              </w:rPr>
              <w:t>3,671,829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4420" w:type="dxa"/>
            <w:vAlign w:val="bottom"/>
          </w:tcPr>
          <w:p>
            <w:pPr>
              <w:spacing w:after="0"/>
              <w:rPr>
                <w:sz w:val="20"/>
                <w:szCs w:val="20"/>
                <w:color w:val="auto"/>
              </w:rPr>
            </w:pPr>
            <w:r>
              <w:rPr>
                <w:rFonts w:ascii="Arial" w:cs="Arial" w:eastAsia="Arial" w:hAnsi="Arial"/>
                <w:sz w:val="16"/>
                <w:szCs w:val="16"/>
                <w:b w:val="1"/>
                <w:bCs w:val="1"/>
                <w:color w:val="auto"/>
              </w:rPr>
              <w:t>Attributable to:</w:t>
            </w:r>
          </w:p>
        </w:tc>
        <w:tc>
          <w:tcPr>
            <w:tcW w:w="25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20" w:type="dxa"/>
            <w:vAlign w:val="bottom"/>
          </w:tcPr>
          <w:p>
            <w:pPr>
              <w:spacing w:after="0"/>
              <w:rPr>
                <w:sz w:val="20"/>
                <w:szCs w:val="20"/>
                <w:color w:val="auto"/>
              </w:rPr>
            </w:pPr>
            <w:r>
              <w:rPr>
                <w:rFonts w:ascii="Arial" w:cs="Arial" w:eastAsia="Arial" w:hAnsi="Arial"/>
                <w:sz w:val="16"/>
                <w:szCs w:val="16"/>
                <w:color w:val="auto"/>
              </w:rPr>
              <w:t>Credicorp’s equity holders</w:t>
            </w:r>
          </w:p>
        </w:tc>
        <w:tc>
          <w:tcPr>
            <w:tcW w:w="258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4,865,540</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4,647,818</w:t>
            </w:r>
          </w:p>
        </w:tc>
        <w:tc>
          <w:tcPr>
            <w:tcW w:w="1240" w:type="dxa"/>
            <w:vAlign w:val="bottom"/>
          </w:tcPr>
          <w:p>
            <w:pPr>
              <w:jc w:val="right"/>
              <w:spacing w:after="0"/>
              <w:rPr>
                <w:sz w:val="20"/>
                <w:szCs w:val="20"/>
                <w:color w:val="auto"/>
              </w:rPr>
            </w:pPr>
            <w:r>
              <w:rPr>
                <w:rFonts w:ascii="Arial" w:cs="Arial" w:eastAsia="Arial" w:hAnsi="Arial"/>
                <w:sz w:val="16"/>
                <w:szCs w:val="16"/>
                <w:color w:val="auto"/>
              </w:rPr>
              <w:t>3,584,582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2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94,338</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112,292</w:t>
            </w:r>
          </w:p>
        </w:tc>
        <w:tc>
          <w:tcPr>
            <w:tcW w:w="1240" w:type="dxa"/>
            <w:vAlign w:val="bottom"/>
          </w:tcPr>
          <w:p>
            <w:pPr>
              <w:jc w:val="right"/>
              <w:spacing w:after="0"/>
              <w:rPr>
                <w:sz w:val="20"/>
                <w:szCs w:val="20"/>
                <w:color w:val="auto"/>
              </w:rPr>
            </w:pPr>
            <w:r>
              <w:rPr>
                <w:rFonts w:ascii="Arial" w:cs="Arial" w:eastAsia="Arial" w:hAnsi="Arial"/>
                <w:sz w:val="16"/>
                <w:szCs w:val="16"/>
                <w:color w:val="auto"/>
              </w:rPr>
              <w:t>87,247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4,959,878</w:t>
            </w:r>
          </w:p>
        </w:tc>
        <w:tc>
          <w:tcPr>
            <w:tcW w:w="2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4,760,110</w:t>
            </w:r>
          </w:p>
        </w:tc>
        <w:tc>
          <w:tcPr>
            <w:tcW w:w="1240" w:type="dxa"/>
            <w:vAlign w:val="bottom"/>
          </w:tcPr>
          <w:p>
            <w:pPr>
              <w:jc w:val="right"/>
              <w:spacing w:after="0"/>
              <w:rPr>
                <w:sz w:val="20"/>
                <w:szCs w:val="20"/>
                <w:color w:val="auto"/>
              </w:rPr>
            </w:pPr>
            <w:r>
              <w:rPr>
                <w:rFonts w:ascii="Arial" w:cs="Arial" w:eastAsia="Arial" w:hAnsi="Arial"/>
                <w:sz w:val="16"/>
                <w:szCs w:val="16"/>
                <w:color w:val="auto"/>
              </w:rPr>
              <w:t>3,671,829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4420" w:type="dxa"/>
            <w:vAlign w:val="bottom"/>
          </w:tcPr>
          <w:p>
            <w:pPr>
              <w:spacing w:after="0"/>
              <w:rPr>
                <w:sz w:val="20"/>
                <w:szCs w:val="20"/>
                <w:color w:val="auto"/>
              </w:rPr>
            </w:pPr>
            <w:r>
              <w:rPr>
                <w:rFonts w:ascii="Arial" w:cs="Arial" w:eastAsia="Arial" w:hAnsi="Arial"/>
                <w:sz w:val="16"/>
                <w:szCs w:val="16"/>
                <w:b w:val="1"/>
                <w:bCs w:val="1"/>
                <w:color w:val="auto"/>
              </w:rPr>
              <w:t>Net basic and dilutive earnings</w:t>
            </w:r>
          </w:p>
        </w:tc>
        <w:tc>
          <w:tcPr>
            <w:tcW w:w="25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20" w:type="dxa"/>
            <w:vAlign w:val="bottom"/>
          </w:tcPr>
          <w:p>
            <w:pPr>
              <w:spacing w:after="0"/>
              <w:rPr>
                <w:sz w:val="20"/>
                <w:szCs w:val="20"/>
                <w:color w:val="auto"/>
              </w:rPr>
            </w:pPr>
            <w:r>
              <w:rPr>
                <w:rFonts w:ascii="Arial" w:cs="Arial" w:eastAsia="Arial" w:hAnsi="Arial"/>
                <w:sz w:val="16"/>
                <w:szCs w:val="16"/>
                <w:b w:val="1"/>
                <w:bCs w:val="1"/>
                <w:color w:val="auto"/>
              </w:rPr>
              <w:t>per share attributable to Credicorp’s</w:t>
            </w:r>
          </w:p>
        </w:tc>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6"/>
                <w:szCs w:val="16"/>
                <w:b w:val="1"/>
                <w:bCs w:val="1"/>
                <w:color w:val="auto"/>
              </w:rPr>
              <w:t>equity holders (in soles):</w:t>
            </w:r>
          </w:p>
        </w:tc>
        <w:tc>
          <w:tcPr>
            <w:tcW w:w="2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4420" w:type="dxa"/>
            <w:vAlign w:val="bottom"/>
          </w:tcPr>
          <w:p>
            <w:pPr>
              <w:spacing w:after="0"/>
              <w:rPr>
                <w:sz w:val="20"/>
                <w:szCs w:val="20"/>
                <w:color w:val="auto"/>
              </w:rPr>
            </w:pPr>
            <w:r>
              <w:rPr>
                <w:rFonts w:ascii="Arial" w:cs="Arial" w:eastAsia="Arial" w:hAnsi="Arial"/>
                <w:sz w:val="16"/>
                <w:szCs w:val="16"/>
                <w:color w:val="auto"/>
              </w:rPr>
              <w:t>Basic</w:t>
            </w:r>
          </w:p>
        </w:tc>
        <w:tc>
          <w:tcPr>
            <w:tcW w:w="2580" w:type="dxa"/>
            <w:vAlign w:val="bottom"/>
          </w:tcPr>
          <w:p>
            <w:pPr>
              <w:jc w:val="center"/>
              <w:ind w:left="919"/>
              <w:spacing w:after="0"/>
              <w:rPr>
                <w:sz w:val="20"/>
                <w:szCs w:val="20"/>
                <w:color w:val="auto"/>
              </w:rPr>
            </w:pPr>
            <w:r>
              <w:rPr>
                <w:rFonts w:ascii="Arial" w:cs="Arial" w:eastAsia="Arial" w:hAnsi="Arial"/>
                <w:sz w:val="16"/>
                <w:szCs w:val="16"/>
                <w:color w:val="auto"/>
              </w:rPr>
              <w:t>26</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61.22</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58.44</w:t>
            </w:r>
          </w:p>
        </w:tc>
        <w:tc>
          <w:tcPr>
            <w:tcW w:w="1240" w:type="dxa"/>
            <w:vAlign w:val="bottom"/>
          </w:tcPr>
          <w:p>
            <w:pPr>
              <w:jc w:val="right"/>
              <w:spacing w:after="0"/>
              <w:rPr>
                <w:sz w:val="20"/>
                <w:szCs w:val="20"/>
                <w:color w:val="auto"/>
              </w:rPr>
            </w:pPr>
            <w:r>
              <w:rPr>
                <w:rFonts w:ascii="Arial" w:cs="Arial" w:eastAsia="Arial" w:hAnsi="Arial"/>
                <w:sz w:val="16"/>
                <w:szCs w:val="16"/>
                <w:color w:val="auto"/>
              </w:rPr>
              <w:t>45.09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6"/>
                <w:szCs w:val="16"/>
                <w:color w:val="auto"/>
              </w:rPr>
              <w:t>Diluted</w:t>
            </w:r>
          </w:p>
        </w:tc>
        <w:tc>
          <w:tcPr>
            <w:tcW w:w="2580" w:type="dxa"/>
            <w:vAlign w:val="bottom"/>
          </w:tcPr>
          <w:p>
            <w:pPr>
              <w:jc w:val="center"/>
              <w:ind w:left="919"/>
              <w:spacing w:after="0"/>
              <w:rPr>
                <w:sz w:val="20"/>
                <w:szCs w:val="20"/>
                <w:color w:val="auto"/>
              </w:rPr>
            </w:pPr>
            <w:r>
              <w:rPr>
                <w:rFonts w:ascii="Arial" w:cs="Arial" w:eastAsia="Arial" w:hAnsi="Arial"/>
                <w:sz w:val="16"/>
                <w:szCs w:val="16"/>
                <w:color w:val="auto"/>
              </w:rPr>
              <w:t>26</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61.08</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58.32</w:t>
            </w:r>
          </w:p>
        </w:tc>
        <w:tc>
          <w:tcPr>
            <w:tcW w:w="1240" w:type="dxa"/>
            <w:vAlign w:val="bottom"/>
          </w:tcPr>
          <w:p>
            <w:pPr>
              <w:jc w:val="right"/>
              <w:spacing w:after="0"/>
              <w:rPr>
                <w:sz w:val="20"/>
                <w:szCs w:val="20"/>
                <w:color w:val="auto"/>
              </w:rPr>
            </w:pPr>
            <w:r>
              <w:rPr>
                <w:rFonts w:ascii="Arial" w:cs="Arial" w:eastAsia="Arial" w:hAnsi="Arial"/>
                <w:sz w:val="16"/>
                <w:szCs w:val="16"/>
                <w:color w:val="auto"/>
              </w:rPr>
              <w:t>44.99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306" w:right="3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3"/>
        </w:trPr>
        <w:tc>
          <w:tcPr>
            <w:tcW w:w="8460" w:type="dxa"/>
            <w:vAlign w:val="bottom"/>
            <w:gridSpan w:val="3"/>
          </w:tcPr>
          <w:p>
            <w:pPr>
              <w:spacing w:after="0"/>
              <w:rPr>
                <w:sz w:val="20"/>
                <w:szCs w:val="20"/>
                <w:color w:val="auto"/>
              </w:rPr>
            </w:pPr>
            <w:r>
              <w:rPr>
                <w:rFonts w:ascii="Arial" w:cs="Arial" w:eastAsia="Arial" w:hAnsi="Arial"/>
                <w:sz w:val="16"/>
                <w:szCs w:val="16"/>
                <w:b w:val="1"/>
                <w:bCs w:val="1"/>
                <w:color w:val="auto"/>
              </w:rPr>
              <w:t>CREDICORP LTD. AND SUBSIDIARIES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6"/>
        </w:trPr>
        <w:tc>
          <w:tcPr>
            <w:tcW w:w="8460" w:type="dxa"/>
            <w:vAlign w:val="bottom"/>
            <w:gridSpan w:val="3"/>
          </w:tcPr>
          <w:p>
            <w:pPr>
              <w:spacing w:after="0"/>
              <w:rPr>
                <w:sz w:val="20"/>
                <w:szCs w:val="20"/>
                <w:color w:val="auto"/>
              </w:rPr>
            </w:pPr>
            <w:r>
              <w:rPr>
                <w:rFonts w:ascii="Arial" w:cs="Arial" w:eastAsia="Arial" w:hAnsi="Arial"/>
                <w:sz w:val="16"/>
                <w:szCs w:val="16"/>
                <w:color w:val="auto"/>
              </w:rPr>
              <w:t>CONSOLIDATED STATEMENT OF COMPREHENSIVE INCOME</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5"/>
        </w:trPr>
        <w:tc>
          <w:tcPr>
            <w:tcW w:w="8460" w:type="dxa"/>
            <w:vAlign w:val="bottom"/>
            <w:gridSpan w:val="3"/>
          </w:tcPr>
          <w:p>
            <w:pPr>
              <w:spacing w:after="0"/>
              <w:rPr>
                <w:sz w:val="20"/>
                <w:szCs w:val="20"/>
                <w:color w:val="auto"/>
              </w:rPr>
            </w:pPr>
            <w:r>
              <w:rPr>
                <w:rFonts w:ascii="Arial" w:cs="Arial" w:eastAsia="Arial" w:hAnsi="Arial"/>
                <w:sz w:val="16"/>
                <w:szCs w:val="16"/>
                <w:color w:val="auto"/>
              </w:rPr>
              <w:t>FOR THE YEARS ENDED DECEMBER 31, 2023, 2022 (RESTATED) AND 2021</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47"/>
        </w:trPr>
        <w:tc>
          <w:tcPr>
            <w:tcW w:w="8240" w:type="dxa"/>
            <w:vAlign w:val="bottom"/>
            <w:gridSpan w:val="2"/>
          </w:tcPr>
          <w:p>
            <w:pPr>
              <w:ind w:left="710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Arial" w:cs="Arial" w:eastAsia="Arial" w:hAnsi="Arial"/>
                <w:sz w:val="16"/>
                <w:szCs w:val="16"/>
                <w:b w:val="1"/>
                <w:bCs w:val="1"/>
                <w:color w:val="auto"/>
              </w:rPr>
              <w:t>2021</w:t>
            </w:r>
          </w:p>
        </w:tc>
      </w:tr>
      <w:tr>
        <w:trPr>
          <w:trHeight w:val="200"/>
        </w:trPr>
        <w:tc>
          <w:tcPr>
            <w:tcW w:w="7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(Restated)</w:t>
            </w:r>
          </w:p>
        </w:tc>
        <w:tc>
          <w:tcPr>
            <w:tcW w:w="1240" w:type="dxa"/>
            <w:vAlign w:val="bottom"/>
          </w:tcPr>
          <w:p>
            <w:pPr>
              <w:spacing w:after="0"/>
              <w:rPr>
                <w:sz w:val="17"/>
                <w:szCs w:val="17"/>
                <w:color w:val="auto"/>
              </w:rPr>
            </w:pPr>
          </w:p>
        </w:tc>
      </w:tr>
      <w:tr>
        <w:trPr>
          <w:trHeight w:val="216"/>
        </w:trPr>
        <w:tc>
          <w:tcPr>
            <w:tcW w:w="7000" w:type="dxa"/>
            <w:vAlign w:val="bottom"/>
          </w:tcPr>
          <w:p>
            <w:pPr>
              <w:spacing w:after="0"/>
              <w:rPr>
                <w:sz w:val="18"/>
                <w:szCs w:val="18"/>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4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S/(000)</w:t>
            </w: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20"/>
                <w:szCs w:val="20"/>
                <w:color w:val="auto"/>
              </w:rPr>
            </w:pPr>
            <w:r>
              <w:rPr>
                <w:rFonts w:ascii="Arial" w:cs="Arial" w:eastAsia="Arial" w:hAnsi="Arial"/>
                <w:sz w:val="16"/>
                <w:szCs w:val="16"/>
                <w:b w:val="1"/>
                <w:bCs w:val="1"/>
                <w:color w:val="auto"/>
              </w:rPr>
              <w:t>Net profit for the year</w:t>
            </w:r>
          </w:p>
        </w:tc>
        <w:tc>
          <w:tcPr>
            <w:tcW w:w="146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4,959,878</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4,760,110</w:t>
            </w:r>
          </w:p>
        </w:tc>
        <w:tc>
          <w:tcPr>
            <w:tcW w:w="1260" w:type="dxa"/>
            <w:vAlign w:val="bottom"/>
          </w:tcPr>
          <w:p>
            <w:pPr>
              <w:jc w:val="right"/>
              <w:spacing w:after="0"/>
              <w:rPr>
                <w:sz w:val="20"/>
                <w:szCs w:val="20"/>
                <w:color w:val="auto"/>
              </w:rPr>
            </w:pPr>
            <w:r>
              <w:rPr>
                <w:rFonts w:ascii="Arial" w:cs="Arial" w:eastAsia="Arial" w:hAnsi="Arial"/>
                <w:sz w:val="16"/>
                <w:szCs w:val="16"/>
                <w:color w:val="auto"/>
              </w:rPr>
              <w:t>3,671,829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40" w:type="dxa"/>
            <w:vAlign w:val="bottom"/>
          </w:tcPr>
          <w:p>
            <w:pPr>
              <w:ind w:left="140"/>
              <w:spacing w:after="0"/>
              <w:rPr>
                <w:sz w:val="20"/>
                <w:szCs w:val="20"/>
                <w:color w:val="auto"/>
              </w:rPr>
            </w:pPr>
            <w:r>
              <w:rPr>
                <w:rFonts w:ascii="Arial" w:cs="Arial" w:eastAsia="Arial" w:hAnsi="Arial"/>
                <w:sz w:val="16"/>
                <w:szCs w:val="16"/>
                <w:b w:val="1"/>
                <w:bCs w:val="1"/>
                <w:color w:val="auto"/>
              </w:rPr>
              <w:t>To be reclassified to profit or loss in subsequent periods:</w:t>
            </w: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40" w:type="dxa"/>
            <w:vAlign w:val="bottom"/>
          </w:tcPr>
          <w:p>
            <w:pPr>
              <w:ind w:left="140"/>
              <w:spacing w:after="0"/>
              <w:rPr>
                <w:sz w:val="20"/>
                <w:szCs w:val="20"/>
                <w:color w:val="auto"/>
              </w:rPr>
            </w:pPr>
            <w:r>
              <w:rPr>
                <w:rFonts w:ascii="Arial" w:cs="Arial" w:eastAsia="Arial" w:hAnsi="Arial"/>
                <w:sz w:val="16"/>
                <w:szCs w:val="16"/>
                <w:color w:val="auto"/>
              </w:rPr>
              <w:t>Net Gain (loss) on investments at fair value through other</w:t>
            </w: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4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460" w:type="dxa"/>
            <w:vAlign w:val="bottom"/>
          </w:tcPr>
          <w:p>
            <w:pPr>
              <w:ind w:left="480"/>
              <w:spacing w:after="0"/>
              <w:rPr>
                <w:sz w:val="20"/>
                <w:szCs w:val="20"/>
                <w:color w:val="auto"/>
              </w:rPr>
            </w:pPr>
            <w:r>
              <w:rPr>
                <w:rFonts w:ascii="Arial" w:cs="Arial" w:eastAsia="Arial" w:hAnsi="Arial"/>
                <w:sz w:val="16"/>
                <w:szCs w:val="16"/>
                <w:color w:val="auto"/>
              </w:rPr>
              <w:t>16(d)</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1,334,943</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(1,614,053)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(2,491,907)</w:t>
            </w:r>
          </w:p>
        </w:tc>
        <w:tc>
          <w:tcPr>
            <w:tcW w:w="0" w:type="dxa"/>
            <w:vAlign w:val="bottom"/>
          </w:tcPr>
          <w:p>
            <w:pPr>
              <w:spacing w:after="0"/>
              <w:rPr>
                <w:sz w:val="1"/>
                <w:szCs w:val="1"/>
                <w:color w:val="auto"/>
              </w:rPr>
            </w:pPr>
          </w:p>
        </w:tc>
      </w:tr>
      <w:tr>
        <w:trPr>
          <w:trHeight w:val="212"/>
        </w:trPr>
        <w:tc>
          <w:tcPr>
            <w:tcW w:w="5540" w:type="dxa"/>
            <w:vAlign w:val="bottom"/>
          </w:tcPr>
          <w:p>
            <w:pPr>
              <w:ind w:left="140"/>
              <w:spacing w:after="0"/>
              <w:rPr>
                <w:sz w:val="20"/>
                <w:szCs w:val="20"/>
                <w:color w:val="auto"/>
              </w:rPr>
            </w:pPr>
            <w:r>
              <w:rPr>
                <w:rFonts w:ascii="Arial" w:cs="Arial" w:eastAsia="Arial" w:hAnsi="Arial"/>
                <w:sz w:val="16"/>
                <w:szCs w:val="16"/>
                <w:color w:val="auto"/>
              </w:rPr>
              <w:t>Income tax</w:t>
            </w:r>
          </w:p>
        </w:tc>
        <w:tc>
          <w:tcPr>
            <w:tcW w:w="1460" w:type="dxa"/>
            <w:vAlign w:val="bottom"/>
          </w:tcPr>
          <w:p>
            <w:pPr>
              <w:ind w:left="480"/>
              <w:spacing w:after="0"/>
              <w:rPr>
                <w:sz w:val="20"/>
                <w:szCs w:val="20"/>
                <w:color w:val="auto"/>
              </w:rPr>
            </w:pPr>
            <w:r>
              <w:rPr>
                <w:rFonts w:ascii="Arial" w:cs="Arial" w:eastAsia="Arial" w:hAnsi="Arial"/>
                <w:sz w:val="16"/>
                <w:szCs w:val="16"/>
                <w:color w:val="auto"/>
              </w:rPr>
              <w:t>16(d)</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(58,489)</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82,459</w:t>
            </w:r>
          </w:p>
        </w:tc>
        <w:tc>
          <w:tcPr>
            <w:tcW w:w="1260" w:type="dxa"/>
            <w:vAlign w:val="bottom"/>
          </w:tcPr>
          <w:p>
            <w:pPr>
              <w:jc w:val="right"/>
              <w:spacing w:after="0"/>
              <w:rPr>
                <w:sz w:val="20"/>
                <w:szCs w:val="20"/>
                <w:color w:val="auto"/>
              </w:rPr>
            </w:pPr>
            <w:r>
              <w:rPr>
                <w:rFonts w:ascii="Arial" w:cs="Arial" w:eastAsia="Arial" w:hAnsi="Arial"/>
                <w:sz w:val="16"/>
                <w:szCs w:val="16"/>
                <w:color w:val="auto"/>
              </w:rPr>
              <w:t>52,086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1,276,454</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(1,531,594)</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(2,439,821)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5540" w:type="dxa"/>
            <w:vAlign w:val="bottom"/>
          </w:tcPr>
          <w:p>
            <w:pPr>
              <w:ind w:left="140"/>
              <w:spacing w:after="0"/>
              <w:rPr>
                <w:sz w:val="20"/>
                <w:szCs w:val="20"/>
                <w:color w:val="auto"/>
              </w:rPr>
            </w:pPr>
            <w:r>
              <w:rPr>
                <w:rFonts w:ascii="Arial" w:cs="Arial" w:eastAsia="Arial" w:hAnsi="Arial"/>
                <w:sz w:val="16"/>
                <w:szCs w:val="16"/>
                <w:color w:val="auto"/>
              </w:rPr>
              <w:t>Net movement of cash flow hedge reserves</w:t>
            </w:r>
          </w:p>
        </w:tc>
        <w:tc>
          <w:tcPr>
            <w:tcW w:w="1460" w:type="dxa"/>
            <w:vAlign w:val="bottom"/>
          </w:tcPr>
          <w:p>
            <w:pPr>
              <w:ind w:left="480"/>
              <w:spacing w:after="0"/>
              <w:rPr>
                <w:sz w:val="20"/>
                <w:szCs w:val="20"/>
                <w:color w:val="auto"/>
              </w:rPr>
            </w:pPr>
            <w:r>
              <w:rPr>
                <w:rFonts w:ascii="Arial" w:cs="Arial" w:eastAsia="Arial" w:hAnsi="Arial"/>
                <w:sz w:val="16"/>
                <w:szCs w:val="16"/>
                <w:color w:val="auto"/>
              </w:rPr>
              <w:t>16(d)</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(17,443)</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1,246</w:t>
            </w:r>
          </w:p>
        </w:tc>
        <w:tc>
          <w:tcPr>
            <w:tcW w:w="1260" w:type="dxa"/>
            <w:vAlign w:val="bottom"/>
          </w:tcPr>
          <w:p>
            <w:pPr>
              <w:jc w:val="right"/>
              <w:spacing w:after="0"/>
              <w:rPr>
                <w:sz w:val="20"/>
                <w:szCs w:val="20"/>
                <w:color w:val="auto"/>
              </w:rPr>
            </w:pPr>
            <w:r>
              <w:rPr>
                <w:rFonts w:ascii="Arial" w:cs="Arial" w:eastAsia="Arial" w:hAnsi="Arial"/>
                <w:sz w:val="16"/>
                <w:szCs w:val="16"/>
                <w:color w:val="auto"/>
              </w:rPr>
              <w:t>58,586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140"/>
              <w:spacing w:after="0"/>
              <w:rPr>
                <w:sz w:val="20"/>
                <w:szCs w:val="20"/>
                <w:color w:val="auto"/>
              </w:rPr>
            </w:pPr>
            <w:r>
              <w:rPr>
                <w:rFonts w:ascii="Arial" w:cs="Arial" w:eastAsia="Arial" w:hAnsi="Arial"/>
                <w:sz w:val="16"/>
                <w:szCs w:val="16"/>
                <w:color w:val="auto"/>
              </w:rPr>
              <w:t>Income tax</w:t>
            </w:r>
          </w:p>
        </w:tc>
        <w:tc>
          <w:tcPr>
            <w:tcW w:w="1460" w:type="dxa"/>
            <w:vAlign w:val="bottom"/>
          </w:tcPr>
          <w:p>
            <w:pPr>
              <w:ind w:left="480"/>
              <w:spacing w:after="0"/>
              <w:rPr>
                <w:sz w:val="20"/>
                <w:szCs w:val="20"/>
                <w:color w:val="auto"/>
              </w:rPr>
            </w:pPr>
            <w:r>
              <w:rPr>
                <w:rFonts w:ascii="Arial" w:cs="Arial" w:eastAsia="Arial" w:hAnsi="Arial"/>
                <w:sz w:val="16"/>
                <w:szCs w:val="16"/>
                <w:color w:val="auto"/>
              </w:rPr>
              <w:t>16(d)</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5,104</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(158)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(16,834)</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(12,339)</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5540" w:type="dxa"/>
            <w:vAlign w:val="bottom"/>
          </w:tcPr>
          <w:p>
            <w:pPr>
              <w:ind w:left="140"/>
              <w:spacing w:after="0"/>
              <w:rPr>
                <w:sz w:val="20"/>
                <w:szCs w:val="20"/>
                <w:color w:val="auto"/>
              </w:rPr>
            </w:pPr>
            <w:r>
              <w:rPr>
                <w:rFonts w:ascii="Arial" w:cs="Arial" w:eastAsia="Arial" w:hAnsi="Arial"/>
                <w:sz w:val="16"/>
                <w:szCs w:val="16"/>
                <w:color w:val="auto"/>
              </w:rPr>
              <w:t>Other reserves</w:t>
            </w:r>
          </w:p>
        </w:tc>
        <w:tc>
          <w:tcPr>
            <w:tcW w:w="1460" w:type="dxa"/>
            <w:vAlign w:val="bottom"/>
          </w:tcPr>
          <w:p>
            <w:pPr>
              <w:ind w:left="480"/>
              <w:spacing w:after="0"/>
              <w:rPr>
                <w:sz w:val="20"/>
                <w:szCs w:val="20"/>
                <w:color w:val="auto"/>
              </w:rPr>
            </w:pPr>
            <w:r>
              <w:rPr>
                <w:rFonts w:ascii="Arial" w:cs="Arial" w:eastAsia="Arial" w:hAnsi="Arial"/>
                <w:sz w:val="16"/>
                <w:szCs w:val="16"/>
                <w:color w:val="auto"/>
              </w:rPr>
              <w:t>16(d)</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(762,811)</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1,144,140</w:t>
            </w:r>
          </w:p>
        </w:tc>
        <w:tc>
          <w:tcPr>
            <w:tcW w:w="1260" w:type="dxa"/>
            <w:vAlign w:val="bottom"/>
          </w:tcPr>
          <w:p>
            <w:pPr>
              <w:jc w:val="right"/>
              <w:spacing w:after="0"/>
              <w:rPr>
                <w:sz w:val="20"/>
                <w:szCs w:val="20"/>
                <w:color w:val="auto"/>
              </w:rPr>
            </w:pPr>
            <w:r>
              <w:rPr>
                <w:rFonts w:ascii="Arial" w:cs="Arial" w:eastAsia="Arial" w:hAnsi="Arial"/>
                <w:sz w:val="16"/>
                <w:szCs w:val="16"/>
                <w:color w:val="auto"/>
              </w:rPr>
              <w:t>769,291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140"/>
              <w:spacing w:after="0"/>
              <w:rPr>
                <w:sz w:val="20"/>
                <w:szCs w:val="20"/>
                <w:color w:val="auto"/>
              </w:rPr>
            </w:pPr>
            <w:r>
              <w:rPr>
                <w:rFonts w:ascii="Arial" w:cs="Arial" w:eastAsia="Arial" w:hAnsi="Arial"/>
                <w:sz w:val="16"/>
                <w:szCs w:val="16"/>
                <w:color w:val="auto"/>
              </w:rPr>
              <w:t>Income tax</w:t>
            </w:r>
          </w:p>
        </w:tc>
        <w:tc>
          <w:tcPr>
            <w:tcW w:w="1460" w:type="dxa"/>
            <w:vAlign w:val="bottom"/>
          </w:tcPr>
          <w:p>
            <w:pPr>
              <w:ind w:left="480"/>
              <w:spacing w:after="0"/>
              <w:rPr>
                <w:sz w:val="20"/>
                <w:szCs w:val="20"/>
                <w:color w:val="auto"/>
              </w:rPr>
            </w:pPr>
            <w:r>
              <w:rPr>
                <w:rFonts w:ascii="Arial" w:cs="Arial" w:eastAsia="Arial" w:hAnsi="Arial"/>
                <w:sz w:val="16"/>
                <w:szCs w:val="16"/>
                <w:color w:val="auto"/>
              </w:rPr>
              <w:t>16(d)</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(26,846)</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(762,811)</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1,144,140</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5540" w:type="dxa"/>
            <w:vAlign w:val="bottom"/>
          </w:tcPr>
          <w:p>
            <w:pPr>
              <w:ind w:left="140"/>
              <w:spacing w:after="0"/>
              <w:rPr>
                <w:sz w:val="20"/>
                <w:szCs w:val="20"/>
                <w:color w:val="auto"/>
              </w:rPr>
            </w:pPr>
            <w:r>
              <w:rPr>
                <w:rFonts w:ascii="Arial" w:cs="Arial" w:eastAsia="Arial" w:hAnsi="Arial"/>
                <w:sz w:val="16"/>
                <w:szCs w:val="16"/>
                <w:color w:val="auto"/>
              </w:rPr>
              <w:t>Exchange differences on translation of foreign operations</w:t>
            </w:r>
          </w:p>
        </w:tc>
        <w:tc>
          <w:tcPr>
            <w:tcW w:w="1460" w:type="dxa"/>
            <w:vAlign w:val="bottom"/>
          </w:tcPr>
          <w:p>
            <w:pPr>
              <w:ind w:left="480"/>
              <w:spacing w:after="0"/>
              <w:rPr>
                <w:sz w:val="20"/>
                <w:szCs w:val="20"/>
                <w:color w:val="auto"/>
              </w:rPr>
            </w:pPr>
            <w:r>
              <w:rPr>
                <w:rFonts w:ascii="Arial" w:cs="Arial" w:eastAsia="Arial" w:hAnsi="Arial"/>
                <w:sz w:val="16"/>
                <w:szCs w:val="16"/>
                <w:color w:val="auto"/>
              </w:rPr>
              <w:t>16(d)</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73,464</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(302,083)</w:t>
            </w:r>
          </w:p>
        </w:tc>
        <w:tc>
          <w:tcPr>
            <w:tcW w:w="1260" w:type="dxa"/>
            <w:vAlign w:val="bottom"/>
          </w:tcPr>
          <w:p>
            <w:pPr>
              <w:jc w:val="right"/>
              <w:spacing w:after="0"/>
              <w:rPr>
                <w:sz w:val="20"/>
                <w:szCs w:val="20"/>
                <w:color w:val="auto"/>
              </w:rPr>
            </w:pPr>
            <w:r>
              <w:rPr>
                <w:rFonts w:ascii="Arial" w:cs="Arial" w:eastAsia="Arial" w:hAnsi="Arial"/>
                <w:sz w:val="16"/>
                <w:szCs w:val="16"/>
                <w:color w:val="auto"/>
              </w:rPr>
              <w:t>161,168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140"/>
              <w:spacing w:after="0"/>
              <w:rPr>
                <w:sz w:val="20"/>
                <w:szCs w:val="20"/>
                <w:color w:val="auto"/>
              </w:rPr>
            </w:pPr>
            <w:r>
              <w:rPr>
                <w:rFonts w:ascii="Arial" w:cs="Arial" w:eastAsia="Arial" w:hAnsi="Arial"/>
                <w:sz w:val="16"/>
                <w:szCs w:val="16"/>
                <w:color w:val="auto"/>
              </w:rPr>
              <w:t>Net movement in hedges of net investments in foreign businesses</w:t>
            </w:r>
          </w:p>
        </w:tc>
        <w:tc>
          <w:tcPr>
            <w:tcW w:w="1460" w:type="dxa"/>
            <w:vAlign w:val="bottom"/>
          </w:tcPr>
          <w:p>
            <w:pPr>
              <w:ind w:left="480"/>
              <w:spacing w:after="0"/>
              <w:rPr>
                <w:sz w:val="20"/>
                <w:szCs w:val="20"/>
                <w:color w:val="auto"/>
              </w:rPr>
            </w:pPr>
            <w:r>
              <w:rPr>
                <w:rFonts w:ascii="Arial" w:cs="Arial" w:eastAsia="Arial" w:hAnsi="Arial"/>
                <w:sz w:val="16"/>
                <w:szCs w:val="16"/>
                <w:color w:val="auto"/>
              </w:rPr>
              <w:t>16(d)</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18,950</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39,587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(57,319)</w:t>
            </w:r>
          </w:p>
        </w:tc>
        <w:tc>
          <w:tcPr>
            <w:tcW w:w="0" w:type="dxa"/>
            <w:vAlign w:val="bottom"/>
          </w:tcPr>
          <w:p>
            <w:pPr>
              <w:spacing w:after="0"/>
              <w:rPr>
                <w:sz w:val="1"/>
                <w:szCs w:val="1"/>
                <w:color w:val="auto"/>
              </w:rPr>
            </w:pPr>
          </w:p>
        </w:tc>
      </w:tr>
      <w:tr>
        <w:trPr>
          <w:trHeight w:val="208"/>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92,414</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(262,496)</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5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14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20" w:type="dxa"/>
            <w:vAlign w:val="bottom"/>
            <w:vMerge w:val="restart"/>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tcPr>
          <w:p>
            <w:pPr>
              <w:spacing w:after="0"/>
              <w:rPr>
                <w:sz w:val="14"/>
                <w:szCs w:val="14"/>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593,718</w:t>
            </w:r>
          </w:p>
        </w:tc>
        <w:tc>
          <w:tcPr>
            <w:tcW w:w="220" w:type="dxa"/>
            <w:vAlign w:val="bottom"/>
            <w:vMerge w:val="continue"/>
          </w:tcPr>
          <w:p>
            <w:pPr>
              <w:spacing w:after="0"/>
              <w:rPr>
                <w:sz w:val="15"/>
                <w:szCs w:val="15"/>
                <w:color w:val="auto"/>
              </w:rPr>
            </w:pPr>
          </w:p>
        </w:tc>
        <w:tc>
          <w:tcPr>
            <w:tcW w:w="12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(648,862</w:t>
            </w:r>
          </w:p>
        </w:tc>
        <w:tc>
          <w:tcPr>
            <w:tcW w:w="220" w:type="dxa"/>
            <w:vAlign w:val="bottom"/>
            <w:vMerge w:val="continue"/>
          </w:tcPr>
          <w:p>
            <w:pPr>
              <w:spacing w:after="0"/>
              <w:rPr>
                <w:sz w:val="15"/>
                <w:szCs w:val="15"/>
                <w:color w:val="auto"/>
              </w:rPr>
            </w:pPr>
          </w:p>
        </w:tc>
        <w:tc>
          <w:tcPr>
            <w:tcW w:w="12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(1,551,775</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540" w:type="dxa"/>
            <w:vAlign w:val="bottom"/>
          </w:tcPr>
          <w:p>
            <w:pPr>
              <w:ind w:left="140"/>
              <w:spacing w:after="0"/>
              <w:rPr>
                <w:sz w:val="20"/>
                <w:szCs w:val="20"/>
                <w:color w:val="auto"/>
              </w:rPr>
            </w:pPr>
            <w:r>
              <w:rPr>
                <w:rFonts w:ascii="Arial" w:cs="Arial" w:eastAsia="Arial" w:hAnsi="Arial"/>
                <w:sz w:val="16"/>
                <w:szCs w:val="16"/>
                <w:b w:val="1"/>
                <w:bCs w:val="1"/>
                <w:color w:val="auto"/>
              </w:rPr>
              <w:t>Not to be reclassified to profit or loss in subsequent periods:</w:t>
            </w: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540" w:type="dxa"/>
            <w:vAlign w:val="bottom"/>
          </w:tcPr>
          <w:p>
            <w:pPr>
              <w:ind w:left="140"/>
              <w:spacing w:after="0"/>
              <w:rPr>
                <w:sz w:val="20"/>
                <w:szCs w:val="20"/>
                <w:color w:val="auto"/>
              </w:rPr>
            </w:pPr>
            <w:r>
              <w:rPr>
                <w:rFonts w:ascii="Arial" w:cs="Arial" w:eastAsia="Arial" w:hAnsi="Arial"/>
                <w:sz w:val="16"/>
                <w:szCs w:val="16"/>
                <w:color w:val="auto"/>
              </w:rPr>
              <w:t>Net loss on equity instruments designated at fair value through other</w:t>
            </w: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54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460" w:type="dxa"/>
            <w:vAlign w:val="bottom"/>
          </w:tcPr>
          <w:p>
            <w:pPr>
              <w:ind w:left="480"/>
              <w:spacing w:after="0"/>
              <w:rPr>
                <w:sz w:val="20"/>
                <w:szCs w:val="20"/>
                <w:color w:val="auto"/>
              </w:rPr>
            </w:pPr>
            <w:r>
              <w:rPr>
                <w:rFonts w:ascii="Arial" w:cs="Arial" w:eastAsia="Arial" w:hAnsi="Arial"/>
                <w:sz w:val="16"/>
                <w:szCs w:val="16"/>
                <w:color w:val="auto"/>
              </w:rPr>
              <w:t>16(d)</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(8,329)</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(38,563)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(113,686)</w:t>
            </w:r>
          </w:p>
        </w:tc>
        <w:tc>
          <w:tcPr>
            <w:tcW w:w="0" w:type="dxa"/>
            <w:vAlign w:val="bottom"/>
          </w:tcPr>
          <w:p>
            <w:pPr>
              <w:spacing w:after="0"/>
              <w:rPr>
                <w:sz w:val="1"/>
                <w:szCs w:val="1"/>
                <w:color w:val="auto"/>
              </w:rPr>
            </w:pPr>
          </w:p>
        </w:tc>
      </w:tr>
      <w:tr>
        <w:trPr>
          <w:trHeight w:val="212"/>
        </w:trPr>
        <w:tc>
          <w:tcPr>
            <w:tcW w:w="5540" w:type="dxa"/>
            <w:vAlign w:val="bottom"/>
          </w:tcPr>
          <w:p>
            <w:pPr>
              <w:ind w:left="140"/>
              <w:spacing w:after="0"/>
              <w:rPr>
                <w:sz w:val="20"/>
                <w:szCs w:val="20"/>
                <w:color w:val="auto"/>
              </w:rPr>
            </w:pPr>
            <w:r>
              <w:rPr>
                <w:rFonts w:ascii="Arial" w:cs="Arial" w:eastAsia="Arial" w:hAnsi="Arial"/>
                <w:sz w:val="16"/>
                <w:szCs w:val="16"/>
                <w:color w:val="auto"/>
              </w:rPr>
              <w:t>Income tax</w:t>
            </w:r>
          </w:p>
        </w:tc>
        <w:tc>
          <w:tcPr>
            <w:tcW w:w="1460" w:type="dxa"/>
            <w:vAlign w:val="bottom"/>
          </w:tcPr>
          <w:p>
            <w:pPr>
              <w:ind w:left="480"/>
              <w:spacing w:after="0"/>
              <w:rPr>
                <w:sz w:val="20"/>
                <w:szCs w:val="20"/>
                <w:color w:val="auto"/>
              </w:rPr>
            </w:pPr>
            <w:r>
              <w:rPr>
                <w:rFonts w:ascii="Arial" w:cs="Arial" w:eastAsia="Arial" w:hAnsi="Arial"/>
                <w:sz w:val="16"/>
                <w:szCs w:val="16"/>
                <w:color w:val="auto"/>
              </w:rPr>
              <w:t>16(d)</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(3,791)</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2,109</w:t>
            </w:r>
          </w:p>
        </w:tc>
        <w:tc>
          <w:tcPr>
            <w:tcW w:w="1260" w:type="dxa"/>
            <w:vAlign w:val="bottom"/>
          </w:tcPr>
          <w:p>
            <w:pPr>
              <w:jc w:val="right"/>
              <w:spacing w:after="0"/>
              <w:rPr>
                <w:sz w:val="20"/>
                <w:szCs w:val="20"/>
                <w:color w:val="auto"/>
              </w:rPr>
            </w:pPr>
            <w:r>
              <w:rPr>
                <w:rFonts w:ascii="Arial" w:cs="Arial" w:eastAsia="Arial" w:hAnsi="Arial"/>
                <w:sz w:val="16"/>
                <w:szCs w:val="16"/>
                <w:color w:val="auto"/>
              </w:rPr>
              <w:t>5,402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4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14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(12,120)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(36,454)</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540" w:type="dxa"/>
            <w:vAlign w:val="bottom"/>
            <w:vMerge w:val="restart"/>
          </w:tcPr>
          <w:p>
            <w:pPr>
              <w:spacing w:after="0"/>
              <w:rPr>
                <w:sz w:val="20"/>
                <w:szCs w:val="20"/>
                <w:color w:val="auto"/>
              </w:rPr>
            </w:pPr>
            <w:r>
              <w:rPr>
                <w:rFonts w:ascii="Arial" w:cs="Arial" w:eastAsia="Arial" w:hAnsi="Arial"/>
                <w:sz w:val="16"/>
                <w:szCs w:val="16"/>
                <w:b w:val="1"/>
                <w:bCs w:val="1"/>
                <w:color w:val="auto"/>
              </w:rPr>
              <w:t>Total other comprehensive income</w:t>
            </w:r>
          </w:p>
        </w:tc>
        <w:tc>
          <w:tcPr>
            <w:tcW w:w="14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40" w:type="dxa"/>
            <w:vAlign w:val="bottom"/>
            <w:vMerge w:val="continue"/>
          </w:tcPr>
          <w:p>
            <w:pPr>
              <w:spacing w:after="0"/>
              <w:rPr>
                <w:sz w:val="17"/>
                <w:szCs w:val="17"/>
                <w:color w:val="auto"/>
              </w:rPr>
            </w:pPr>
          </w:p>
        </w:tc>
        <w:tc>
          <w:tcPr>
            <w:tcW w:w="1460" w:type="dxa"/>
            <w:vAlign w:val="bottom"/>
          </w:tcPr>
          <w:p>
            <w:pPr>
              <w:ind w:left="480"/>
              <w:spacing w:after="0"/>
              <w:rPr>
                <w:sz w:val="20"/>
                <w:szCs w:val="20"/>
                <w:color w:val="auto"/>
              </w:rPr>
            </w:pPr>
            <w:r>
              <w:rPr>
                <w:rFonts w:ascii="Arial" w:cs="Arial" w:eastAsia="Arial" w:hAnsi="Arial"/>
                <w:sz w:val="16"/>
                <w:szCs w:val="16"/>
                <w:color w:val="auto"/>
              </w:rPr>
              <w:t>16(d)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581,598</w:t>
            </w: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(685,316</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(1,660,059</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90"/>
        </w:trPr>
        <w:tc>
          <w:tcPr>
            <w:tcW w:w="5540" w:type="dxa"/>
            <w:vAlign w:val="bottom"/>
          </w:tcPr>
          <w:p>
            <w:pPr>
              <w:spacing w:after="0"/>
              <w:rPr>
                <w:sz w:val="20"/>
                <w:szCs w:val="20"/>
                <w:color w:val="auto"/>
              </w:rPr>
            </w:pPr>
            <w:r>
              <w:rPr>
                <w:rFonts w:ascii="Arial" w:cs="Arial" w:eastAsia="Arial" w:hAnsi="Arial"/>
                <w:sz w:val="16"/>
                <w:szCs w:val="16"/>
                <w:b w:val="1"/>
                <w:bCs w:val="1"/>
                <w:color w:val="auto"/>
              </w:rPr>
              <w:t>Total comprehensive income for the year, net of income tax</w:t>
            </w:r>
          </w:p>
        </w:tc>
        <w:tc>
          <w:tcPr>
            <w:tcW w:w="146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5,541,476</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4,074,794</w:t>
            </w:r>
          </w:p>
        </w:tc>
        <w:tc>
          <w:tcPr>
            <w:tcW w:w="1260" w:type="dxa"/>
            <w:vAlign w:val="bottom"/>
          </w:tcPr>
          <w:p>
            <w:pPr>
              <w:jc w:val="right"/>
              <w:spacing w:after="0"/>
              <w:rPr>
                <w:sz w:val="20"/>
                <w:szCs w:val="20"/>
                <w:color w:val="auto"/>
              </w:rPr>
            </w:pPr>
            <w:r>
              <w:rPr>
                <w:rFonts w:ascii="Arial" w:cs="Arial" w:eastAsia="Arial" w:hAnsi="Arial"/>
                <w:sz w:val="16"/>
                <w:szCs w:val="16"/>
                <w:color w:val="auto"/>
              </w:rPr>
              <w:t>2,011,770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540" w:type="dxa"/>
            <w:vAlign w:val="bottom"/>
          </w:tcPr>
          <w:p>
            <w:pPr>
              <w:spacing w:after="0"/>
              <w:rPr>
                <w:sz w:val="20"/>
                <w:szCs w:val="20"/>
                <w:color w:val="auto"/>
              </w:rPr>
            </w:pPr>
            <w:r>
              <w:rPr>
                <w:rFonts w:ascii="Arial" w:cs="Arial" w:eastAsia="Arial" w:hAnsi="Arial"/>
                <w:sz w:val="16"/>
                <w:szCs w:val="16"/>
                <w:b w:val="1"/>
                <w:bCs w:val="1"/>
                <w:color w:val="auto"/>
              </w:rPr>
              <w:t>Attributable to:</w:t>
            </w: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rPr>
                <w:sz w:val="20"/>
                <w:szCs w:val="20"/>
                <w:color w:val="auto"/>
              </w:rPr>
            </w:pPr>
            <w:r>
              <w:rPr>
                <w:rFonts w:ascii="Arial" w:cs="Arial" w:eastAsia="Arial" w:hAnsi="Arial"/>
                <w:sz w:val="16"/>
                <w:szCs w:val="16"/>
                <w:color w:val="auto"/>
              </w:rPr>
              <w:t>Credicorp’s equity holders</w:t>
            </w:r>
          </w:p>
        </w:tc>
        <w:tc>
          <w:tcPr>
            <w:tcW w:w="146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5,437,495</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3,967,497</w:t>
            </w:r>
          </w:p>
        </w:tc>
        <w:tc>
          <w:tcPr>
            <w:tcW w:w="1260" w:type="dxa"/>
            <w:vAlign w:val="bottom"/>
          </w:tcPr>
          <w:p>
            <w:pPr>
              <w:jc w:val="right"/>
              <w:spacing w:after="0"/>
              <w:rPr>
                <w:sz w:val="20"/>
                <w:szCs w:val="20"/>
                <w:color w:val="auto"/>
              </w:rPr>
            </w:pPr>
            <w:r>
              <w:rPr>
                <w:rFonts w:ascii="Arial" w:cs="Arial" w:eastAsia="Arial" w:hAnsi="Arial"/>
                <w:sz w:val="16"/>
                <w:szCs w:val="16"/>
                <w:color w:val="auto"/>
              </w:rPr>
              <w:t>1,954,586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103,981</w:t>
            </w:r>
          </w:p>
        </w:tc>
        <w:tc>
          <w:tcPr>
            <w:tcW w:w="220" w:type="dxa"/>
            <w:vAlign w:val="bottom"/>
          </w:tcPr>
          <w:p>
            <w:pPr>
              <w:spacing w:after="0"/>
              <w:rPr>
                <w:sz w:val="18"/>
                <w:szCs w:val="18"/>
                <w:color w:val="auto"/>
              </w:rPr>
            </w:pP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107,297</w:t>
            </w:r>
          </w:p>
        </w:tc>
        <w:tc>
          <w:tcPr>
            <w:tcW w:w="1260" w:type="dxa"/>
            <w:vAlign w:val="bottom"/>
          </w:tcPr>
          <w:p>
            <w:pPr>
              <w:jc w:val="right"/>
              <w:spacing w:after="0"/>
              <w:rPr>
                <w:sz w:val="20"/>
                <w:szCs w:val="20"/>
                <w:color w:val="auto"/>
              </w:rPr>
            </w:pPr>
            <w:r>
              <w:rPr>
                <w:rFonts w:ascii="Arial" w:cs="Arial" w:eastAsia="Arial" w:hAnsi="Arial"/>
                <w:sz w:val="16"/>
                <w:szCs w:val="16"/>
                <w:color w:val="auto"/>
              </w:rPr>
              <w:t>57,184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5,541,476</w:t>
            </w:r>
          </w:p>
        </w:tc>
        <w:tc>
          <w:tcPr>
            <w:tcW w:w="220" w:type="dxa"/>
            <w:vAlign w:val="bottom"/>
          </w:tcPr>
          <w:p>
            <w:pPr>
              <w:spacing w:after="0"/>
              <w:rPr>
                <w:sz w:val="17"/>
                <w:szCs w:val="17"/>
                <w:color w:val="auto"/>
              </w:rPr>
            </w:pP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4,074,794</w:t>
            </w:r>
          </w:p>
        </w:tc>
        <w:tc>
          <w:tcPr>
            <w:tcW w:w="1260" w:type="dxa"/>
            <w:vAlign w:val="bottom"/>
          </w:tcPr>
          <w:p>
            <w:pPr>
              <w:jc w:val="right"/>
              <w:spacing w:after="0"/>
              <w:rPr>
                <w:sz w:val="20"/>
                <w:szCs w:val="20"/>
                <w:color w:val="auto"/>
              </w:rPr>
            </w:pPr>
            <w:r>
              <w:rPr>
                <w:rFonts w:ascii="Arial" w:cs="Arial" w:eastAsia="Arial" w:hAnsi="Arial"/>
                <w:sz w:val="16"/>
                <w:szCs w:val="16"/>
                <w:color w:val="auto"/>
              </w:rPr>
              <w:t>2,011,770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306" w:right="37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CHANGES IN EQUITY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2023, 2022 (RESTATED) AND 2021</w:t>
      </w:r>
    </w:p>
    <w:p>
      <w:pPr>
        <w:spacing w:after="0" w:line="188"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auto"/>
        </w:rPr>
        <w:t>Attributable to Credicorp’s equity holders.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Other reserves</w:t>
            </w:r>
          </w:p>
        </w:tc>
        <w:tc>
          <w:tcPr>
            <w:tcW w:w="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3"/>
        </w:trPr>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Instruments that</w:t>
            </w: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47"/>
        </w:trPr>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will not be</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reclassified to</w:t>
            </w:r>
          </w:p>
        </w:tc>
        <w:tc>
          <w:tcPr>
            <w:tcW w:w="2800" w:type="dxa"/>
            <w:vAlign w:val="bottom"/>
            <w:gridSpan w:val="12"/>
          </w:tcPr>
          <w:p>
            <w:pPr>
              <w:ind w:left="20"/>
              <w:spacing w:after="0" w:line="147" w:lineRule="exact"/>
              <w:rPr>
                <w:sz w:val="20"/>
                <w:szCs w:val="20"/>
                <w:color w:val="auto"/>
              </w:rPr>
            </w:pPr>
            <w:r>
              <w:rPr>
                <w:rFonts w:ascii="Arial" w:cs="Arial" w:eastAsia="Arial" w:hAnsi="Arial"/>
                <w:sz w:val="13"/>
                <w:szCs w:val="13"/>
                <w:b w:val="1"/>
                <w:bCs w:val="1"/>
                <w:color w:val="auto"/>
              </w:rPr>
              <w:t>Instruments that will be reclassified to the</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Treasury stock</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2800" w:type="dxa"/>
            <w:vAlign w:val="bottom"/>
            <w:gridSpan w:val="12"/>
          </w:tcPr>
          <w:p>
            <w:pPr>
              <w:ind w:left="20"/>
              <w:spacing w:after="0"/>
              <w:rPr>
                <w:sz w:val="20"/>
                <w:szCs w:val="20"/>
                <w:color w:val="auto"/>
              </w:rPr>
            </w:pPr>
            <w:r>
              <w:rPr>
                <w:rFonts w:ascii="Arial" w:cs="Arial" w:eastAsia="Arial" w:hAnsi="Arial"/>
                <w:sz w:val="13"/>
                <w:szCs w:val="13"/>
                <w:b w:val="1"/>
                <w:bCs w:val="1"/>
                <w:color w:val="auto"/>
              </w:rPr>
              <w:t>consolidated statement of income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3"/>
        </w:trPr>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Cash</w:t>
            </w:r>
          </w:p>
        </w:tc>
        <w:tc>
          <w:tcPr>
            <w:tcW w:w="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Foreign</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47"/>
        </w:trPr>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Share-</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Reserves</w:t>
            </w:r>
          </w:p>
        </w:tc>
        <w:tc>
          <w:tcPr>
            <w:tcW w:w="106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Investments in</w:t>
            </w:r>
          </w:p>
        </w:tc>
        <w:tc>
          <w:tcPr>
            <w:tcW w:w="82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Investments</w:t>
            </w:r>
          </w:p>
        </w:tc>
        <w:tc>
          <w:tcPr>
            <w:tcW w:w="56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flow</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currency</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Non-</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Capital</w:t>
            </w:r>
          </w:p>
        </w:tc>
        <w:tc>
          <w:tcPr>
            <w:tcW w:w="66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of the</w:t>
            </w:r>
          </w:p>
        </w:tc>
        <w:tc>
          <w:tcPr>
            <w:tcW w:w="56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based</w:t>
            </w:r>
          </w:p>
        </w:tc>
        <w:tc>
          <w:tcPr>
            <w:tcW w:w="58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Capital</w:t>
            </w:r>
          </w:p>
        </w:tc>
        <w:tc>
          <w:tcPr>
            <w:tcW w:w="72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and</w:t>
            </w:r>
          </w:p>
        </w:tc>
        <w:tc>
          <w:tcPr>
            <w:tcW w:w="106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equity</w:t>
            </w:r>
          </w:p>
        </w:tc>
        <w:tc>
          <w:tcPr>
            <w:tcW w:w="82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in debt</w:t>
            </w:r>
          </w:p>
        </w:tc>
        <w:tc>
          <w:tcPr>
            <w:tcW w:w="56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hedge</w:t>
            </w:r>
          </w:p>
        </w:tc>
        <w:tc>
          <w:tcPr>
            <w:tcW w:w="68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Insurance</w:t>
            </w:r>
          </w:p>
        </w:tc>
        <w:tc>
          <w:tcPr>
            <w:tcW w:w="74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translation</w:t>
            </w:r>
          </w:p>
        </w:tc>
        <w:tc>
          <w:tcPr>
            <w:tcW w:w="76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Retained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controlling</w:t>
            </w:r>
          </w:p>
        </w:tc>
        <w:tc>
          <w:tcPr>
            <w:tcW w:w="70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Total</w:t>
            </w:r>
          </w:p>
        </w:tc>
      </w:tr>
      <w:tr>
        <w:trPr>
          <w:trHeight w:val="154"/>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w:t>
            </w: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Group</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payment</w:t>
            </w:r>
          </w:p>
        </w:tc>
        <w:tc>
          <w:tcPr>
            <w:tcW w:w="580" w:type="dxa"/>
            <w:vAlign w:val="bottom"/>
            <w:gridSpan w:val="3"/>
          </w:tcPr>
          <w:p>
            <w:pPr>
              <w:ind w:left="40"/>
              <w:spacing w:after="0"/>
              <w:rPr>
                <w:sz w:val="20"/>
                <w:szCs w:val="20"/>
                <w:color w:val="auto"/>
              </w:rPr>
            </w:pPr>
            <w:r>
              <w:rPr>
                <w:rFonts w:ascii="Arial" w:cs="Arial" w:eastAsia="Arial" w:hAnsi="Arial"/>
                <w:sz w:val="13"/>
                <w:szCs w:val="13"/>
                <w:b w:val="1"/>
                <w:bCs w:val="1"/>
                <w:color w:val="auto"/>
              </w:rPr>
              <w:t>surplus</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others</w:t>
            </w: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instruments</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instruments</w:t>
            </w:r>
          </w:p>
        </w:tc>
        <w:tc>
          <w:tcPr>
            <w:tcW w:w="560" w:type="dxa"/>
            <w:vAlign w:val="bottom"/>
            <w:gridSpan w:val="3"/>
          </w:tcPr>
          <w:p>
            <w:pPr>
              <w:ind w:left="40"/>
              <w:spacing w:after="0"/>
              <w:rPr>
                <w:sz w:val="20"/>
                <w:szCs w:val="20"/>
                <w:color w:val="auto"/>
              </w:rPr>
            </w:pPr>
            <w:r>
              <w:rPr>
                <w:rFonts w:ascii="Arial" w:cs="Arial" w:eastAsia="Arial" w:hAnsi="Arial"/>
                <w:sz w:val="13"/>
                <w:szCs w:val="13"/>
                <w:b w:val="1"/>
                <w:bCs w:val="1"/>
                <w:color w:val="auto"/>
              </w:rPr>
              <w:t>reserve</w:t>
            </w: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reserves</w:t>
            </w:r>
          </w:p>
        </w:tc>
        <w:tc>
          <w:tcPr>
            <w:tcW w:w="740" w:type="dxa"/>
            <w:vAlign w:val="bottom"/>
            <w:gridSpan w:val="3"/>
          </w:tcPr>
          <w:p>
            <w:pPr>
              <w:ind w:left="40"/>
              <w:spacing w:after="0"/>
              <w:rPr>
                <w:sz w:val="20"/>
                <w:szCs w:val="20"/>
                <w:color w:val="auto"/>
              </w:rPr>
            </w:pPr>
            <w:r>
              <w:rPr>
                <w:rFonts w:ascii="Arial" w:cs="Arial" w:eastAsia="Arial" w:hAnsi="Arial"/>
                <w:sz w:val="13"/>
                <w:szCs w:val="13"/>
                <w:b w:val="1"/>
                <w:bCs w:val="1"/>
                <w:color w:val="auto"/>
              </w:rPr>
              <w:t>reserve</w:t>
            </w: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earnings</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3"/>
          </w:tcPr>
          <w:p>
            <w:pPr>
              <w:ind w:left="40"/>
              <w:spacing w:after="0"/>
              <w:rPr>
                <w:sz w:val="20"/>
                <w:szCs w:val="20"/>
                <w:color w:val="auto"/>
              </w:rPr>
            </w:pPr>
            <w:r>
              <w:rPr>
                <w:rFonts w:ascii="Arial" w:cs="Arial" w:eastAsia="Arial" w:hAnsi="Arial"/>
                <w:sz w:val="13"/>
                <w:szCs w:val="13"/>
                <w:b w:val="1"/>
                <w:bCs w:val="1"/>
                <w:color w:val="auto"/>
              </w:rPr>
              <w:t>interest</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equity</w:t>
            </w:r>
          </w:p>
        </w:tc>
      </w:tr>
      <w:tr>
        <w:trPr>
          <w:trHeight w:val="170"/>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r>
      <w:tr>
        <w:trPr>
          <w:trHeight w:val="254"/>
        </w:trPr>
        <w:tc>
          <w:tcPr>
            <w:tcW w:w="1320" w:type="dxa"/>
            <w:vAlign w:val="bottom"/>
            <w:gridSpan w:val="2"/>
          </w:tcPr>
          <w:p>
            <w:pPr>
              <w:spacing w:after="0"/>
              <w:rPr>
                <w:sz w:val="20"/>
                <w:szCs w:val="20"/>
                <w:color w:val="auto"/>
              </w:rPr>
            </w:pPr>
            <w:r>
              <w:rPr>
                <w:rFonts w:ascii="Arial" w:cs="Arial" w:eastAsia="Arial" w:hAnsi="Arial"/>
                <w:sz w:val="13"/>
                <w:szCs w:val="13"/>
                <w:b w:val="1"/>
                <w:bCs w:val="1"/>
                <w:color w:val="auto"/>
              </w:rPr>
              <w:t>Balances as of</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January 1, 2021</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1,318,993</w:t>
            </w:r>
          </w:p>
        </w:tc>
        <w:tc>
          <w:tcPr>
            <w:tcW w:w="6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(204,326)</w:t>
            </w: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(4,107)</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192,625</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w w:val="98"/>
              </w:rPr>
              <w:t>21,429,635</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315,202</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2,256,531</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(41,102)</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(892,598)</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227,865</w:t>
            </w:r>
          </w:p>
        </w:tc>
        <w:tc>
          <w:tcPr>
            <w:tcW w:w="7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347,152</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24,945,870</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499,777</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25,445,647</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Changes in equity in</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rPr>
              <w:t>2021 -</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Net profit for the year</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3,584,582</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3,584,582</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87,247</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3,671,829</w:t>
            </w: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Other comprehensive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1320" w:type="dxa"/>
            <w:vAlign w:val="bottom"/>
            <w:gridSpan w:val="2"/>
          </w:tcPr>
          <w:p>
            <w:pPr>
              <w:spacing w:after="0"/>
              <w:rPr>
                <w:sz w:val="20"/>
                <w:szCs w:val="20"/>
                <w:color w:val="auto"/>
              </w:rPr>
            </w:pPr>
            <w:r>
              <w:rPr>
                <w:rFonts w:ascii="Arial" w:cs="Arial" w:eastAsia="Arial" w:hAnsi="Arial"/>
                <w:sz w:val="13"/>
                <w:szCs w:val="13"/>
                <w:color w:val="auto"/>
              </w:rPr>
              <w:t>income, Note 16(d)</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(108,317)</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(2,399,931)</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40,829</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733,932</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103,491</w:t>
            </w:r>
          </w:p>
        </w:tc>
        <w:tc>
          <w:tcPr>
            <w:tcW w:w="1460" w:type="dxa"/>
            <w:vAlign w:val="bottom"/>
            <w:gridSpan w:val="5"/>
          </w:tcPr>
          <w:p>
            <w:pPr>
              <w:jc w:val="right"/>
              <w:ind w:right="20"/>
              <w:spacing w:after="0"/>
              <w:rPr>
                <w:sz w:val="20"/>
                <w:szCs w:val="20"/>
                <w:color w:val="auto"/>
              </w:rPr>
            </w:pPr>
            <w:r>
              <w:rPr>
                <w:rFonts w:ascii="Arial" w:cs="Arial" w:eastAsia="Arial" w:hAnsi="Arial"/>
                <w:sz w:val="13"/>
                <w:szCs w:val="13"/>
                <w:color w:val="auto"/>
              </w:rPr>
              <w:t>- (1,629,996)</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(30,063)</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(1,660,059)</w:t>
            </w:r>
          </w:p>
        </w:tc>
      </w:tr>
      <w:tr>
        <w:trPr>
          <w:trHeight w:val="119"/>
        </w:trPr>
        <w:tc>
          <w:tcPr>
            <w:tcW w:w="1320" w:type="dxa"/>
            <w:vAlign w:val="bottom"/>
            <w:gridSpan w:val="2"/>
          </w:tcPr>
          <w:p>
            <w:pPr>
              <w:spacing w:after="0" w:line="119" w:lineRule="exact"/>
              <w:rPr>
                <w:sz w:val="20"/>
                <w:szCs w:val="20"/>
                <w:color w:val="auto"/>
              </w:rPr>
            </w:pPr>
            <w:r>
              <w:rPr>
                <w:rFonts w:ascii="Arial" w:cs="Arial" w:eastAsia="Arial" w:hAnsi="Arial"/>
                <w:sz w:val="13"/>
                <w:szCs w:val="13"/>
                <w:color w:val="auto"/>
              </w:rPr>
              <w:t>Total comprehensive</w:t>
            </w: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rPr>
              <w:t>income</w:t>
            </w:r>
          </w:p>
        </w:tc>
        <w:tc>
          <w:tcPr>
            <w:tcW w:w="62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(108,317)</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(2,399,931)</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40,829</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733,932</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103,491</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3,584,582</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1,954,586</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57,184</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2,011,770</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Transfer of retained</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earnings to reserves,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rPr>
              <w:t>Note 16(c)</w:t>
            </w:r>
          </w:p>
        </w:tc>
        <w:tc>
          <w:tcPr>
            <w:tcW w:w="62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346,994</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(346,994)</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Dividend distribution,</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rPr>
              <w:t>Note 16(e)</w:t>
            </w:r>
          </w:p>
        </w:tc>
        <w:tc>
          <w:tcPr>
            <w:tcW w:w="62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(398,808)</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(398,808)</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(398,808)</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Dividends paid to</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interest non-</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rPr>
              <w:t>controlling</w:t>
            </w:r>
          </w:p>
        </w:tc>
        <w:tc>
          <w:tcPr>
            <w:tcW w:w="620" w:type="dxa"/>
            <w:vAlign w:val="bottom"/>
          </w:tcPr>
          <w:p>
            <w:pPr>
              <w:spacing w:after="0" w:line="147" w:lineRule="exact"/>
              <w:rPr>
                <w:sz w:val="20"/>
                <w:szCs w:val="20"/>
                <w:color w:val="auto"/>
              </w:rPr>
            </w:pPr>
            <w:r>
              <w:rPr>
                <w:rFonts w:ascii="Arial" w:cs="Arial" w:eastAsia="Arial" w:hAnsi="Arial"/>
                <w:sz w:val="13"/>
                <w:szCs w:val="13"/>
                <w:color w:val="auto"/>
              </w:rPr>
              <w:t>of</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w w:val="99"/>
              </w:rPr>
              <w:t>subsidiaries</w:t>
            </w:r>
          </w:p>
        </w:tc>
        <w:tc>
          <w:tcPr>
            <w:tcW w:w="62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(4,156)</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(4,156)</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Additional dividends</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(7,822)</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(7,822)</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Purchase of treasury</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stock, Note 16(b)</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(1,369)</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(57,538)</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(58,907)</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(58,907)</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Sale of treasury</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rPr>
              <w:t>stocks</w:t>
            </w:r>
          </w:p>
        </w:tc>
        <w:tc>
          <w:tcPr>
            <w:tcW w:w="62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84</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3,668</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3,752</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3,752</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Share-based payment</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w w:val="96"/>
              </w:rPr>
              <w:t>transactions</w:t>
            </w:r>
          </w:p>
        </w:tc>
        <w:tc>
          <w:tcPr>
            <w:tcW w:w="62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2,184</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90,098</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(13,549)</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78,733</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78,733</w:t>
            </w:r>
          </w:p>
        </w:tc>
      </w:tr>
      <w:tr>
        <w:trPr>
          <w:trHeight w:val="167"/>
        </w:trPr>
        <w:tc>
          <w:tcPr>
            <w:tcW w:w="700" w:type="dxa"/>
            <w:vAlign w:val="bottom"/>
          </w:tcPr>
          <w:p>
            <w:pPr>
              <w:spacing w:after="0"/>
              <w:rPr>
                <w:sz w:val="20"/>
                <w:szCs w:val="20"/>
                <w:color w:val="auto"/>
              </w:rPr>
            </w:pPr>
            <w:r>
              <w:rPr>
                <w:rFonts w:ascii="Arial" w:cs="Arial" w:eastAsia="Arial" w:hAnsi="Arial"/>
                <w:sz w:val="13"/>
                <w:szCs w:val="13"/>
                <w:color w:val="auto"/>
              </w:rPr>
              <w:t>Others</w:t>
            </w:r>
          </w:p>
        </w:tc>
        <w:tc>
          <w:tcPr>
            <w:tcW w:w="62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(28,459)</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(28,459)</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(4,311)</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(32,770)</w:t>
            </w:r>
          </w:p>
        </w:tc>
      </w:tr>
      <w:tr>
        <w:trPr>
          <w:trHeight w:val="119"/>
        </w:trPr>
        <w:tc>
          <w:tcPr>
            <w:tcW w:w="13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Balances as of</w:t>
            </w: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78"/>
        </w:trPr>
        <w:tc>
          <w:tcPr>
            <w:tcW w:w="1320" w:type="dxa"/>
            <w:vAlign w:val="bottom"/>
            <w:gridSpan w:val="2"/>
          </w:tcPr>
          <w:p>
            <w:pPr>
              <w:spacing w:after="0"/>
              <w:rPr>
                <w:sz w:val="20"/>
                <w:szCs w:val="20"/>
                <w:color w:val="auto"/>
              </w:rPr>
            </w:pPr>
            <w:r>
              <w:rPr>
                <w:rFonts w:ascii="Arial" w:cs="Arial" w:eastAsia="Arial" w:hAnsi="Arial"/>
                <w:sz w:val="13"/>
                <w:szCs w:val="13"/>
                <w:b w:val="1"/>
                <w:bCs w:val="1"/>
                <w:color w:val="auto"/>
              </w:rPr>
              <w:t>December 31, 2021</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1,318,993</w:t>
            </w: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(204,326)</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(3,208)</w:t>
            </w: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228,853</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21,364,272</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206,885</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(143,400)</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(273)</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(158,666)</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331,356</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3,556,281</w:t>
            </w:r>
          </w:p>
        </w:tc>
        <w:tc>
          <w:tcPr>
            <w:tcW w:w="6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26,496,767</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540,672</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27,037,439</w:t>
            </w:r>
          </w:p>
        </w:tc>
      </w:tr>
      <w:tr>
        <w:trPr>
          <w:trHeight w:val="262"/>
        </w:trPr>
        <w:tc>
          <w:tcPr>
            <w:tcW w:w="1320" w:type="dxa"/>
            <w:vAlign w:val="bottom"/>
            <w:gridSpan w:val="2"/>
          </w:tcPr>
          <w:p>
            <w:pPr>
              <w:spacing w:after="0"/>
              <w:rPr>
                <w:sz w:val="20"/>
                <w:szCs w:val="20"/>
                <w:color w:val="auto"/>
              </w:rPr>
            </w:pPr>
            <w:r>
              <w:rPr>
                <w:rFonts w:ascii="Arial" w:cs="Arial" w:eastAsia="Arial" w:hAnsi="Arial"/>
                <w:sz w:val="13"/>
                <w:szCs w:val="13"/>
                <w:color w:val="auto"/>
              </w:rPr>
              <w:t>Impact of initial</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application of IRFS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17, Note 3(b)</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158,666</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(369,494)</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(210,828)</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(210,828)</w:t>
            </w:r>
          </w:p>
        </w:tc>
      </w:tr>
      <w:tr>
        <w:trPr>
          <w:trHeight w:val="167"/>
        </w:trPr>
        <w:tc>
          <w:tcPr>
            <w:tcW w:w="700" w:type="dxa"/>
            <w:vAlign w:val="bottom"/>
          </w:tcPr>
          <w:p>
            <w:pPr>
              <w:spacing w:after="0"/>
              <w:rPr>
                <w:sz w:val="20"/>
                <w:szCs w:val="20"/>
                <w:color w:val="auto"/>
              </w:rPr>
            </w:pPr>
            <w:r>
              <w:rPr>
                <w:rFonts w:ascii="Arial" w:cs="Arial" w:eastAsia="Arial" w:hAnsi="Arial"/>
                <w:sz w:val="13"/>
                <w:szCs w:val="13"/>
                <w:color w:val="auto"/>
              </w:rPr>
              <w:t>Others</w:t>
            </w:r>
          </w:p>
        </w:tc>
        <w:tc>
          <w:tcPr>
            <w:tcW w:w="62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3,900</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5,681</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(3,668)</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5,913</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5,913</w:t>
            </w:r>
          </w:p>
        </w:tc>
      </w:tr>
      <w:tr>
        <w:trPr>
          <w:trHeight w:val="119"/>
        </w:trPr>
        <w:tc>
          <w:tcPr>
            <w:tcW w:w="13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Balances as of</w:t>
            </w: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January 1, 2022</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700" w:type="dxa"/>
            <w:vAlign w:val="bottom"/>
          </w:tcPr>
          <w:p>
            <w:pPr>
              <w:spacing w:after="0"/>
              <w:rPr>
                <w:sz w:val="20"/>
                <w:szCs w:val="20"/>
                <w:color w:val="auto"/>
              </w:rPr>
            </w:pPr>
            <w:r>
              <w:rPr>
                <w:rFonts w:ascii="Arial" w:cs="Arial" w:eastAsia="Arial" w:hAnsi="Arial"/>
                <w:sz w:val="13"/>
                <w:szCs w:val="13"/>
                <w:b w:val="1"/>
                <w:bCs w:val="1"/>
                <w:color w:val="auto"/>
              </w:rPr>
              <w:t>(restated)</w:t>
            </w:r>
          </w:p>
        </w:tc>
        <w:tc>
          <w:tcPr>
            <w:tcW w:w="620" w:type="dxa"/>
            <w:vAlign w:val="bottom"/>
          </w:tcPr>
          <w:p>
            <w:pPr>
              <w:spacing w:after="0"/>
              <w:rPr>
                <w:sz w:val="14"/>
                <w:szCs w:val="14"/>
                <w:color w:val="auto"/>
              </w:rPr>
            </w:pPr>
          </w:p>
        </w:tc>
        <w:tc>
          <w:tcPr>
            <w:tcW w:w="1300" w:type="dxa"/>
            <w:vAlign w:val="bottom"/>
            <w:gridSpan w:val="6"/>
          </w:tcPr>
          <w:p>
            <w:pPr>
              <w:jc w:val="right"/>
              <w:ind w:right="60"/>
              <w:spacing w:after="0"/>
              <w:rPr>
                <w:sz w:val="20"/>
                <w:szCs w:val="20"/>
                <w:color w:val="auto"/>
              </w:rPr>
            </w:pPr>
            <w:r>
              <w:rPr>
                <w:rFonts w:ascii="Arial" w:cs="Arial" w:eastAsia="Arial" w:hAnsi="Arial"/>
                <w:sz w:val="13"/>
                <w:szCs w:val="13"/>
                <w:color w:val="auto"/>
              </w:rPr>
              <w:t>1,318,993 (204,326)</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(3,208)</w:t>
            </w: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228,853</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21,364,272</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206,885</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(139,500)</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(273)</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337,037</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3,183,119</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26,291,852</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540,672</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26,832,524</w:t>
            </w:r>
          </w:p>
        </w:tc>
      </w:tr>
      <w:tr>
        <w:trPr>
          <w:trHeight w:val="119"/>
        </w:trPr>
        <w:tc>
          <w:tcPr>
            <w:tcW w:w="1320" w:type="dxa"/>
            <w:vAlign w:val="bottom"/>
            <w:gridSpan w:val="2"/>
          </w:tcPr>
          <w:p>
            <w:pPr>
              <w:spacing w:after="0" w:line="119" w:lineRule="exact"/>
              <w:rPr>
                <w:sz w:val="20"/>
                <w:szCs w:val="20"/>
                <w:color w:val="auto"/>
              </w:rPr>
            </w:pPr>
            <w:r>
              <w:rPr>
                <w:rFonts w:ascii="Arial" w:cs="Arial" w:eastAsia="Arial" w:hAnsi="Arial"/>
                <w:sz w:val="13"/>
                <w:szCs w:val="13"/>
                <w:color w:val="auto"/>
              </w:rPr>
              <w:t>Changes in equity in</w:t>
            </w: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rPr>
              <w:t>2022 -</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Net profit for the year</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4,647,818</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4,647,818</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112,292</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4,760,110</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Other comprehensive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1320" w:type="dxa"/>
            <w:vAlign w:val="bottom"/>
            <w:gridSpan w:val="2"/>
          </w:tcPr>
          <w:p>
            <w:pPr>
              <w:spacing w:after="0"/>
              <w:rPr>
                <w:sz w:val="20"/>
                <w:szCs w:val="20"/>
                <w:color w:val="auto"/>
              </w:rPr>
            </w:pPr>
            <w:r>
              <w:rPr>
                <w:rFonts w:ascii="Arial" w:cs="Arial" w:eastAsia="Arial" w:hAnsi="Arial"/>
                <w:sz w:val="13"/>
                <w:szCs w:val="13"/>
                <w:color w:val="auto"/>
              </w:rPr>
              <w:t>income, Note 16(d)</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(36,477)</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(1,516,059)</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1,061</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1,133,536</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(262,382)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(680,321)</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(4,995)</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(685,316)</w:t>
            </w:r>
          </w:p>
        </w:tc>
      </w:tr>
      <w:tr>
        <w:trPr>
          <w:trHeight w:val="119"/>
        </w:trPr>
        <w:tc>
          <w:tcPr>
            <w:tcW w:w="1320" w:type="dxa"/>
            <w:vAlign w:val="bottom"/>
            <w:gridSpan w:val="2"/>
          </w:tcPr>
          <w:p>
            <w:pPr>
              <w:spacing w:after="0" w:line="119" w:lineRule="exact"/>
              <w:rPr>
                <w:sz w:val="20"/>
                <w:szCs w:val="20"/>
                <w:color w:val="auto"/>
              </w:rPr>
            </w:pPr>
            <w:r>
              <w:rPr>
                <w:rFonts w:ascii="Arial" w:cs="Arial" w:eastAsia="Arial" w:hAnsi="Arial"/>
                <w:sz w:val="13"/>
                <w:szCs w:val="13"/>
                <w:color w:val="auto"/>
              </w:rPr>
              <w:t>Total comprehensive</w:t>
            </w: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rPr>
              <w:t>income</w:t>
            </w:r>
          </w:p>
        </w:tc>
        <w:tc>
          <w:tcPr>
            <w:tcW w:w="62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(36,477)</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(1,516,059)</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1,061</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1,133,536</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(262,382)</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4,647,818</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3,967,497</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107,297</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4,074,794</w:t>
            </w: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Transfer of retained</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rPr>
              <w:t>earnings to</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reserves, Note 16(c)</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2,354,859</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(2,354,859)</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Dividend distribution,</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rPr>
              <w:t>Note 16(e)</w:t>
            </w:r>
          </w:p>
        </w:tc>
        <w:tc>
          <w:tcPr>
            <w:tcW w:w="62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(1,196,422)</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w w:val="99"/>
              </w:rPr>
              <w:t>(1,196,422)</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w w:val="99"/>
              </w:rPr>
              <w:t>(1,196,422)</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Dividends paid to</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interest non-</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rPr>
              <w:t>controlling</w:t>
            </w:r>
          </w:p>
        </w:tc>
        <w:tc>
          <w:tcPr>
            <w:tcW w:w="620" w:type="dxa"/>
            <w:vAlign w:val="bottom"/>
          </w:tcPr>
          <w:p>
            <w:pPr>
              <w:spacing w:after="0" w:line="147" w:lineRule="exact"/>
              <w:rPr>
                <w:sz w:val="20"/>
                <w:szCs w:val="20"/>
                <w:color w:val="auto"/>
              </w:rPr>
            </w:pPr>
            <w:r>
              <w:rPr>
                <w:rFonts w:ascii="Arial" w:cs="Arial" w:eastAsia="Arial" w:hAnsi="Arial"/>
                <w:sz w:val="13"/>
                <w:szCs w:val="13"/>
                <w:color w:val="auto"/>
              </w:rPr>
              <w:t>of</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w w:val="99"/>
              </w:rPr>
              <w:t>subsidiaries</w:t>
            </w:r>
          </w:p>
        </w:tc>
        <w:tc>
          <w:tcPr>
            <w:tcW w:w="62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(48,577)</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(48,577)</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Non-controlling</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interest stock put</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option, Note 3(k)</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(42,964)</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(42,964)</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(42,964)</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Minority purchase</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(5,877)</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(5,877)</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Purchase of treasury</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stock, Note 16(b)</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(1,923)</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(81,682)</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(83,605)</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(83,605)</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Sale of treasury</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rPr>
              <w:t>stocks</w:t>
            </w:r>
          </w:p>
        </w:tc>
        <w:tc>
          <w:tcPr>
            <w:tcW w:w="62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231</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9,718</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9,949</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9,949</w:t>
            </w: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color w:val="auto"/>
              </w:rPr>
              <w:t>Share-based payment</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700" w:type="dxa"/>
            <w:vAlign w:val="bottom"/>
          </w:tcPr>
          <w:p>
            <w:pPr>
              <w:spacing w:after="0" w:line="147" w:lineRule="exact"/>
              <w:rPr>
                <w:sz w:val="20"/>
                <w:szCs w:val="20"/>
                <w:color w:val="auto"/>
              </w:rPr>
            </w:pPr>
            <w:r>
              <w:rPr>
                <w:rFonts w:ascii="Arial" w:cs="Arial" w:eastAsia="Arial" w:hAnsi="Arial"/>
                <w:sz w:val="13"/>
                <w:szCs w:val="13"/>
                <w:color w:val="auto"/>
                <w:w w:val="96"/>
              </w:rPr>
              <w:t>transactions</w:t>
            </w:r>
          </w:p>
        </w:tc>
        <w:tc>
          <w:tcPr>
            <w:tcW w:w="620" w:type="dxa"/>
            <w:vAlign w:val="bottom"/>
          </w:tcPr>
          <w:p>
            <w:pPr>
              <w:spacing w:after="0"/>
              <w:rPr>
                <w:sz w:val="12"/>
                <w:szCs w:val="12"/>
                <w:color w:val="auto"/>
              </w:rPr>
            </w:pP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1,708</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74,667</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(16,541)</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59,834</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59,834</w:t>
            </w:r>
          </w:p>
        </w:tc>
      </w:tr>
      <w:tr>
        <w:trPr>
          <w:trHeight w:val="167"/>
        </w:trPr>
        <w:tc>
          <w:tcPr>
            <w:tcW w:w="700" w:type="dxa"/>
            <w:vAlign w:val="bottom"/>
          </w:tcPr>
          <w:p>
            <w:pPr>
              <w:spacing w:after="0"/>
              <w:rPr>
                <w:sz w:val="20"/>
                <w:szCs w:val="20"/>
                <w:color w:val="auto"/>
              </w:rPr>
            </w:pPr>
            <w:r>
              <w:rPr>
                <w:rFonts w:ascii="Arial" w:cs="Arial" w:eastAsia="Arial" w:hAnsi="Arial"/>
                <w:sz w:val="13"/>
                <w:szCs w:val="13"/>
                <w:color w:val="auto"/>
              </w:rPr>
              <w:t>Others</w:t>
            </w:r>
          </w:p>
        </w:tc>
        <w:tc>
          <w:tcPr>
            <w:tcW w:w="62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(2,497)</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(2,497)</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(1,946)</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(4,443)</w:t>
            </w:r>
          </w:p>
        </w:tc>
      </w:tr>
      <w:tr>
        <w:trPr>
          <w:trHeight w:val="119"/>
        </w:trPr>
        <w:tc>
          <w:tcPr>
            <w:tcW w:w="13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Balances as of</w:t>
            </w: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7"/>
        </w:trPr>
        <w:tc>
          <w:tcPr>
            <w:tcW w:w="132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700" w:type="dxa"/>
            <w:vAlign w:val="bottom"/>
          </w:tcPr>
          <w:p>
            <w:pPr>
              <w:spacing w:after="0"/>
              <w:rPr>
                <w:sz w:val="20"/>
                <w:szCs w:val="20"/>
                <w:color w:val="auto"/>
              </w:rPr>
            </w:pPr>
            <w:r>
              <w:rPr>
                <w:rFonts w:ascii="Arial" w:cs="Arial" w:eastAsia="Arial" w:hAnsi="Arial"/>
                <w:sz w:val="13"/>
                <w:szCs w:val="13"/>
                <w:b w:val="1"/>
                <w:bCs w:val="1"/>
                <w:color w:val="auto"/>
              </w:rPr>
              <w:t>(restated)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1,318,993</w:t>
            </w: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(204,326)</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(3,192)</w:t>
            </w: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231,556</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23,659,626</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170,408</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(1,655,559)</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788</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1,133,536</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74,655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4,277,159</w:t>
            </w: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29,003,644</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591,569</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29,595,213</w:t>
            </w:r>
          </w:p>
        </w:tc>
      </w:tr>
      <w:tr>
        <w:trPr>
          <w:trHeight w:val="24"/>
        </w:trPr>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CONSOLIDATED STATEMENT OF CHANGES IN EQUITY (continued)</w:t>
      </w:r>
    </w:p>
    <w:p>
      <w:pPr>
        <w:spacing w:after="0" w:line="203"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auto"/>
        </w:rPr>
        <w:t>Attributable to Credicorp’s equity holders.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Other reserves</w:t>
            </w:r>
          </w:p>
        </w:tc>
        <w:tc>
          <w:tcPr>
            <w:tcW w:w="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Instruments that</w:t>
            </w: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will not be</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reclassified to</w:t>
            </w:r>
          </w:p>
        </w:tc>
        <w:tc>
          <w:tcPr>
            <w:tcW w:w="2800" w:type="dxa"/>
            <w:vAlign w:val="bottom"/>
            <w:gridSpan w:val="12"/>
          </w:tcPr>
          <w:p>
            <w:pPr>
              <w:ind w:left="20"/>
              <w:spacing w:after="0" w:line="147" w:lineRule="exact"/>
              <w:rPr>
                <w:sz w:val="20"/>
                <w:szCs w:val="20"/>
                <w:color w:val="auto"/>
              </w:rPr>
            </w:pPr>
            <w:r>
              <w:rPr>
                <w:rFonts w:ascii="Arial" w:cs="Arial" w:eastAsia="Arial" w:hAnsi="Arial"/>
                <w:sz w:val="13"/>
                <w:szCs w:val="13"/>
                <w:b w:val="1"/>
                <w:bCs w:val="1"/>
                <w:color w:val="auto"/>
              </w:rPr>
              <w:t>Instruments that will be reclassified to the</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Treasury stock</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2800" w:type="dxa"/>
            <w:vAlign w:val="bottom"/>
            <w:gridSpan w:val="12"/>
          </w:tcPr>
          <w:p>
            <w:pPr>
              <w:ind w:left="20"/>
              <w:spacing w:after="0"/>
              <w:rPr>
                <w:sz w:val="20"/>
                <w:szCs w:val="20"/>
                <w:color w:val="auto"/>
              </w:rPr>
            </w:pPr>
            <w:r>
              <w:rPr>
                <w:rFonts w:ascii="Arial" w:cs="Arial" w:eastAsia="Arial" w:hAnsi="Arial"/>
                <w:sz w:val="13"/>
                <w:szCs w:val="13"/>
                <w:b w:val="1"/>
                <w:bCs w:val="1"/>
                <w:color w:val="auto"/>
              </w:rPr>
              <w:t>consolidated statement of income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Cash</w:t>
            </w:r>
          </w:p>
        </w:tc>
        <w:tc>
          <w:tcPr>
            <w:tcW w:w="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Foreign</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Share-</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Reserves</w:t>
            </w:r>
          </w:p>
        </w:tc>
        <w:tc>
          <w:tcPr>
            <w:tcW w:w="106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Investments in</w:t>
            </w:r>
          </w:p>
        </w:tc>
        <w:tc>
          <w:tcPr>
            <w:tcW w:w="82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Investments</w:t>
            </w:r>
          </w:p>
        </w:tc>
        <w:tc>
          <w:tcPr>
            <w:tcW w:w="56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flow</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currency</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Non-</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64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Capital</w:t>
            </w:r>
          </w:p>
        </w:tc>
        <w:tc>
          <w:tcPr>
            <w:tcW w:w="66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of the</w:t>
            </w:r>
          </w:p>
        </w:tc>
        <w:tc>
          <w:tcPr>
            <w:tcW w:w="56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based</w:t>
            </w:r>
          </w:p>
        </w:tc>
        <w:tc>
          <w:tcPr>
            <w:tcW w:w="58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Capital</w:t>
            </w:r>
          </w:p>
        </w:tc>
        <w:tc>
          <w:tcPr>
            <w:tcW w:w="72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and</w:t>
            </w:r>
          </w:p>
        </w:tc>
        <w:tc>
          <w:tcPr>
            <w:tcW w:w="106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equity</w:t>
            </w:r>
          </w:p>
        </w:tc>
        <w:tc>
          <w:tcPr>
            <w:tcW w:w="82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in debt</w:t>
            </w:r>
          </w:p>
        </w:tc>
        <w:tc>
          <w:tcPr>
            <w:tcW w:w="56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hedge</w:t>
            </w:r>
          </w:p>
        </w:tc>
        <w:tc>
          <w:tcPr>
            <w:tcW w:w="68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Insurance</w:t>
            </w:r>
          </w:p>
        </w:tc>
        <w:tc>
          <w:tcPr>
            <w:tcW w:w="74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translation</w:t>
            </w:r>
          </w:p>
        </w:tc>
        <w:tc>
          <w:tcPr>
            <w:tcW w:w="760" w:type="dxa"/>
            <w:vAlign w:val="bottom"/>
            <w:gridSpan w:val="3"/>
          </w:tcPr>
          <w:p>
            <w:pPr>
              <w:ind w:left="20"/>
              <w:spacing w:after="0" w:line="147" w:lineRule="exact"/>
              <w:rPr>
                <w:sz w:val="20"/>
                <w:szCs w:val="20"/>
                <w:color w:val="auto"/>
              </w:rPr>
            </w:pPr>
            <w:r>
              <w:rPr>
                <w:rFonts w:ascii="Arial" w:cs="Arial" w:eastAsia="Arial" w:hAnsi="Arial"/>
                <w:sz w:val="13"/>
                <w:szCs w:val="13"/>
                <w:b w:val="1"/>
                <w:bCs w:val="1"/>
                <w:color w:val="auto"/>
              </w:rPr>
              <w:t>Retained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ind w:left="40"/>
              <w:spacing w:after="0" w:line="147" w:lineRule="exact"/>
              <w:rPr>
                <w:sz w:val="20"/>
                <w:szCs w:val="20"/>
                <w:color w:val="auto"/>
              </w:rPr>
            </w:pPr>
            <w:r>
              <w:rPr>
                <w:rFonts w:ascii="Arial" w:cs="Arial" w:eastAsia="Arial" w:hAnsi="Arial"/>
                <w:sz w:val="13"/>
                <w:szCs w:val="13"/>
                <w:b w:val="1"/>
                <w:bCs w:val="1"/>
                <w:color w:val="auto"/>
              </w:rPr>
              <w:t>controlling</w:t>
            </w:r>
          </w:p>
        </w:tc>
        <w:tc>
          <w:tcPr>
            <w:tcW w:w="70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w:t>
            </w: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Group</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payment</w:t>
            </w:r>
          </w:p>
        </w:tc>
        <w:tc>
          <w:tcPr>
            <w:tcW w:w="580" w:type="dxa"/>
            <w:vAlign w:val="bottom"/>
            <w:gridSpan w:val="3"/>
          </w:tcPr>
          <w:p>
            <w:pPr>
              <w:ind w:left="40"/>
              <w:spacing w:after="0"/>
              <w:rPr>
                <w:sz w:val="20"/>
                <w:szCs w:val="20"/>
                <w:color w:val="auto"/>
              </w:rPr>
            </w:pPr>
            <w:r>
              <w:rPr>
                <w:rFonts w:ascii="Arial" w:cs="Arial" w:eastAsia="Arial" w:hAnsi="Arial"/>
                <w:sz w:val="13"/>
                <w:szCs w:val="13"/>
                <w:b w:val="1"/>
                <w:bCs w:val="1"/>
                <w:color w:val="auto"/>
              </w:rPr>
              <w:t>surplus</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others</w:t>
            </w: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instruments</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instruments</w:t>
            </w:r>
          </w:p>
        </w:tc>
        <w:tc>
          <w:tcPr>
            <w:tcW w:w="560" w:type="dxa"/>
            <w:vAlign w:val="bottom"/>
            <w:gridSpan w:val="3"/>
          </w:tcPr>
          <w:p>
            <w:pPr>
              <w:ind w:left="40"/>
              <w:spacing w:after="0"/>
              <w:rPr>
                <w:sz w:val="20"/>
                <w:szCs w:val="20"/>
                <w:color w:val="auto"/>
              </w:rPr>
            </w:pPr>
            <w:r>
              <w:rPr>
                <w:rFonts w:ascii="Arial" w:cs="Arial" w:eastAsia="Arial" w:hAnsi="Arial"/>
                <w:sz w:val="13"/>
                <w:szCs w:val="13"/>
                <w:b w:val="1"/>
                <w:bCs w:val="1"/>
                <w:color w:val="auto"/>
              </w:rPr>
              <w:t>reserve</w:t>
            </w: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reserves</w:t>
            </w:r>
          </w:p>
        </w:tc>
        <w:tc>
          <w:tcPr>
            <w:tcW w:w="740" w:type="dxa"/>
            <w:vAlign w:val="bottom"/>
            <w:gridSpan w:val="3"/>
          </w:tcPr>
          <w:p>
            <w:pPr>
              <w:ind w:left="40"/>
              <w:spacing w:after="0"/>
              <w:rPr>
                <w:sz w:val="20"/>
                <w:szCs w:val="20"/>
                <w:color w:val="auto"/>
              </w:rPr>
            </w:pPr>
            <w:r>
              <w:rPr>
                <w:rFonts w:ascii="Arial" w:cs="Arial" w:eastAsia="Arial" w:hAnsi="Arial"/>
                <w:sz w:val="13"/>
                <w:szCs w:val="13"/>
                <w:b w:val="1"/>
                <w:bCs w:val="1"/>
                <w:color w:val="auto"/>
              </w:rPr>
              <w:t>reserve</w:t>
            </w: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earnings</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3"/>
          </w:tcPr>
          <w:p>
            <w:pPr>
              <w:ind w:left="40"/>
              <w:spacing w:after="0"/>
              <w:rPr>
                <w:sz w:val="20"/>
                <w:szCs w:val="20"/>
                <w:color w:val="auto"/>
              </w:rPr>
            </w:pPr>
            <w:r>
              <w:rPr>
                <w:rFonts w:ascii="Arial" w:cs="Arial" w:eastAsia="Arial" w:hAnsi="Arial"/>
                <w:sz w:val="13"/>
                <w:szCs w:val="13"/>
                <w:b w:val="1"/>
                <w:bCs w:val="1"/>
                <w:color w:val="auto"/>
              </w:rPr>
              <w:t>interest</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320" w:type="dxa"/>
            <w:vAlign w:val="bottom"/>
            <w:vMerge w:val="restart"/>
          </w:tcPr>
          <w:p>
            <w:pPr>
              <w:spacing w:after="0"/>
              <w:rPr>
                <w:sz w:val="20"/>
                <w:szCs w:val="20"/>
                <w:color w:val="auto"/>
              </w:rPr>
            </w:pPr>
            <w:r>
              <w:rPr>
                <w:rFonts w:ascii="Arial" w:cs="Arial" w:eastAsia="Arial" w:hAnsi="Arial"/>
                <w:sz w:val="13"/>
                <w:szCs w:val="13"/>
                <w:b w:val="1"/>
                <w:bCs w:val="1"/>
                <w:color w:val="auto"/>
              </w:rPr>
              <w:t>Balances as of</w:t>
            </w: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3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b w:val="1"/>
                <w:bCs w:val="1"/>
                <w:color w:val="auto"/>
              </w:rPr>
              <w:t>December 31, 2022 -</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3"/>
                <w:szCs w:val="13"/>
                <w:b w:val="1"/>
                <w:bCs w:val="1"/>
                <w:color w:val="auto"/>
              </w:rPr>
              <w:t>Restated</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1,318,993</w:t>
            </w: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(204,326)</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(3,192)</w:t>
            </w: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231,556</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23,659,626</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170,408</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(1,655,559)</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788</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1,133,536</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74,655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4,277,159</w:t>
            </w: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29,003,644</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591,569</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29,595,213</w:t>
            </w:r>
          </w:p>
        </w:tc>
        <w:tc>
          <w:tcPr>
            <w:tcW w:w="0" w:type="dxa"/>
            <w:vAlign w:val="bottom"/>
          </w:tcPr>
          <w:p>
            <w:pPr>
              <w:spacing w:after="0"/>
              <w:rPr>
                <w:sz w:val="1"/>
                <w:szCs w:val="1"/>
                <w:color w:val="auto"/>
              </w:rPr>
            </w:pPr>
          </w:p>
        </w:tc>
      </w:tr>
      <w:tr>
        <w:trPr>
          <w:trHeight w:val="278"/>
        </w:trPr>
        <w:tc>
          <w:tcPr>
            <w:tcW w:w="1320" w:type="dxa"/>
            <w:vAlign w:val="bottom"/>
          </w:tcPr>
          <w:p>
            <w:pPr>
              <w:spacing w:after="0"/>
              <w:rPr>
                <w:sz w:val="20"/>
                <w:szCs w:val="20"/>
                <w:color w:val="auto"/>
              </w:rPr>
            </w:pPr>
            <w:r>
              <w:rPr>
                <w:rFonts w:ascii="Arial" w:cs="Arial" w:eastAsia="Arial" w:hAnsi="Arial"/>
                <w:sz w:val="13"/>
                <w:szCs w:val="13"/>
                <w:color w:val="auto"/>
              </w:rPr>
              <w:t>Changes in equity in</w:t>
            </w:r>
          </w:p>
        </w:tc>
        <w:tc>
          <w:tcPr>
            <w:tcW w:w="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2023 -</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Net profit for the year</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4,865,540</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4,865,540</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94,338</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4,959,878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Other comprehensive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3"/>
                <w:szCs w:val="13"/>
                <w:color w:val="auto"/>
              </w:rPr>
              <w:t>income, Note 16(d)</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(12,247)</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1,258,137</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(12,191)</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(754,192)</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92,448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571,955</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9,643</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581,598</w:t>
            </w:r>
          </w:p>
        </w:tc>
        <w:tc>
          <w:tcPr>
            <w:tcW w:w="0" w:type="dxa"/>
            <w:vAlign w:val="bottom"/>
          </w:tcPr>
          <w:p>
            <w:pPr>
              <w:spacing w:after="0"/>
              <w:rPr>
                <w:sz w:val="1"/>
                <w:szCs w:val="1"/>
                <w:color w:val="auto"/>
              </w:rPr>
            </w:pPr>
          </w:p>
        </w:tc>
      </w:tr>
      <w:tr>
        <w:trPr>
          <w:trHeight w:val="119"/>
        </w:trPr>
        <w:tc>
          <w:tcPr>
            <w:tcW w:w="1320" w:type="dxa"/>
            <w:vAlign w:val="bottom"/>
          </w:tcPr>
          <w:p>
            <w:pPr>
              <w:spacing w:after="0" w:line="119" w:lineRule="exact"/>
              <w:rPr>
                <w:sz w:val="20"/>
                <w:szCs w:val="20"/>
                <w:color w:val="auto"/>
              </w:rPr>
            </w:pPr>
            <w:r>
              <w:rPr>
                <w:rFonts w:ascii="Arial" w:cs="Arial" w:eastAsia="Arial" w:hAnsi="Arial"/>
                <w:sz w:val="13"/>
                <w:szCs w:val="13"/>
                <w:color w:val="auto"/>
              </w:rPr>
              <w:t>Total comprehensive</w:t>
            </w: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income</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(12,247)</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1,258,137</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(12,191)</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(754,192)</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92,448</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4,865,540</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5,437,495</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103,981</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5,541,476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Transfer of retained</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earnings to</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ind w:left="80"/>
              <w:spacing w:after="0" w:line="147" w:lineRule="exact"/>
              <w:rPr>
                <w:sz w:val="20"/>
                <w:szCs w:val="20"/>
                <w:color w:val="auto"/>
              </w:rPr>
            </w:pPr>
            <w:r>
              <w:rPr>
                <w:rFonts w:ascii="Arial" w:cs="Arial" w:eastAsia="Arial" w:hAnsi="Arial"/>
                <w:sz w:val="13"/>
                <w:szCs w:val="13"/>
                <w:color w:val="auto"/>
              </w:rPr>
              <w:t>reserves, Note 16(c)</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2,593,598</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(2,593,598)</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Dividend distribution,</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Note 16(e)</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(1,994,037)</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w w:val="99"/>
              </w:rPr>
              <w:t>(1,994,037)</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w w:val="99"/>
              </w:rPr>
              <w:t>(1,994,037)</w:t>
            </w: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Dividends paid to</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interest non-</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controlling  of</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subsidiaries</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(62,051)</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(62,051)</w:t>
            </w: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Subsidiary acquisition</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14,192</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14,192</w:t>
            </w: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Minority purchase</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(1,773)</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(1,773)</w:t>
            </w: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Purchase of treasury</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stock, Note 16(b)</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(2,279)</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(83,296)</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(85,575)</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(85,575)</w:t>
            </w: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Sale of treasury</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stocks</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Share-based payment</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transactions</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1,764</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79,979</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(12,225)</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69,518</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69,518</w:t>
            </w: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Dividends not</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collected</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11,579</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11,579</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11,579</w:t>
            </w:r>
          </w:p>
        </w:tc>
        <w:tc>
          <w:tcPr>
            <w:tcW w:w="0" w:type="dxa"/>
            <w:vAlign w:val="bottom"/>
          </w:tcPr>
          <w:p>
            <w:pPr>
              <w:spacing w:after="0"/>
              <w:rPr>
                <w:sz w:val="1"/>
                <w:szCs w:val="1"/>
                <w:color w:val="auto"/>
              </w:rPr>
            </w:pPr>
          </w:p>
        </w:tc>
      </w:tr>
      <w:tr>
        <w:trPr>
          <w:trHeight w:val="147"/>
        </w:trPr>
        <w:tc>
          <w:tcPr>
            <w:tcW w:w="1320" w:type="dxa"/>
            <w:vAlign w:val="bottom"/>
          </w:tcPr>
          <w:p>
            <w:pPr>
              <w:ind w:left="40"/>
              <w:spacing w:after="0" w:line="147" w:lineRule="exact"/>
              <w:rPr>
                <w:sz w:val="20"/>
                <w:szCs w:val="20"/>
                <w:color w:val="auto"/>
              </w:rPr>
            </w:pPr>
            <w:r>
              <w:rPr>
                <w:rFonts w:ascii="Arial" w:cs="Arial" w:eastAsia="Arial" w:hAnsi="Arial"/>
                <w:sz w:val="13"/>
                <w:szCs w:val="13"/>
                <w:color w:val="auto"/>
              </w:rPr>
              <w:t>Result from</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exchange of strategic</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line="147" w:lineRule="exact"/>
              <w:rPr>
                <w:sz w:val="20"/>
                <w:szCs w:val="20"/>
                <w:color w:val="auto"/>
              </w:rPr>
            </w:pPr>
            <w:r>
              <w:rPr>
                <w:rFonts w:ascii="Arial" w:cs="Arial" w:eastAsia="Arial" w:hAnsi="Arial"/>
                <w:sz w:val="13"/>
                <w:szCs w:val="13"/>
                <w:color w:val="auto"/>
              </w:rPr>
              <w:t>shares</w:t>
            </w:r>
          </w:p>
        </w:tc>
        <w:tc>
          <w:tcPr>
            <w:tcW w:w="6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14,425</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14,425</w:t>
            </w:r>
          </w:p>
        </w:tc>
        <w:tc>
          <w:tcPr>
            <w:tcW w:w="78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14,425</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3"/>
                <w:szCs w:val="13"/>
                <w:color w:val="auto"/>
              </w:rPr>
              <w:t>Others</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2,955</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2,955</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1,143</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4,098</w:t>
            </w:r>
          </w:p>
        </w:tc>
        <w:tc>
          <w:tcPr>
            <w:tcW w:w="0" w:type="dxa"/>
            <w:vAlign w:val="bottom"/>
          </w:tcPr>
          <w:p>
            <w:pPr>
              <w:spacing w:after="0"/>
              <w:rPr>
                <w:sz w:val="1"/>
                <w:szCs w:val="1"/>
                <w:color w:val="auto"/>
              </w:rPr>
            </w:pPr>
          </w:p>
        </w:tc>
      </w:tr>
      <w:tr>
        <w:trPr>
          <w:trHeight w:val="119"/>
        </w:trPr>
        <w:tc>
          <w:tcPr>
            <w:tcW w:w="1320" w:type="dxa"/>
            <w:vAlign w:val="bottom"/>
          </w:tcPr>
          <w:p>
            <w:pPr>
              <w:spacing w:after="0" w:line="119" w:lineRule="exact"/>
              <w:rPr>
                <w:sz w:val="20"/>
                <w:szCs w:val="20"/>
                <w:color w:val="auto"/>
              </w:rPr>
            </w:pPr>
            <w:r>
              <w:rPr>
                <w:rFonts w:ascii="Arial" w:cs="Arial" w:eastAsia="Arial" w:hAnsi="Arial"/>
                <w:sz w:val="13"/>
                <w:szCs w:val="13"/>
                <w:b w:val="1"/>
                <w:bCs w:val="1"/>
                <w:color w:val="auto"/>
              </w:rPr>
              <w:t>Balances as of</w:t>
            </w: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1,318,993</w:t>
            </w: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(204,326)</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(3,707)</w:t>
            </w: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228,239</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26,252,578</w:t>
            </w:r>
          </w:p>
        </w:tc>
        <w:tc>
          <w:tcPr>
            <w:tcW w:w="1060" w:type="dxa"/>
            <w:vAlign w:val="bottom"/>
            <w:gridSpan w:val="3"/>
          </w:tcPr>
          <w:p>
            <w:pPr>
              <w:jc w:val="right"/>
              <w:ind w:right="40"/>
              <w:spacing w:after="0"/>
              <w:rPr>
                <w:sz w:val="20"/>
                <w:szCs w:val="20"/>
                <w:color w:val="auto"/>
              </w:rPr>
            </w:pPr>
            <w:r>
              <w:rPr>
                <w:rFonts w:ascii="Arial" w:cs="Arial" w:eastAsia="Arial" w:hAnsi="Arial"/>
                <w:sz w:val="13"/>
                <w:szCs w:val="13"/>
                <w:color w:val="auto"/>
              </w:rPr>
              <w:t>158,161</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(397,422)</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(11,403)</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379,344</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167,103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4,572,444</w:t>
            </w: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32,460,004</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647,061</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33,107,065</w:t>
            </w:r>
          </w:p>
        </w:tc>
        <w:tc>
          <w:tcPr>
            <w:tcW w:w="0" w:type="dxa"/>
            <w:vAlign w:val="bottom"/>
          </w:tcPr>
          <w:p>
            <w:pPr>
              <w:spacing w:after="0"/>
              <w:rPr>
                <w:sz w:val="1"/>
                <w:szCs w:val="1"/>
                <w:color w:val="auto"/>
              </w:rPr>
            </w:pPr>
          </w:p>
        </w:tc>
      </w:tr>
      <w:tr>
        <w:trPr>
          <w:trHeight w:val="24"/>
        </w:trPr>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20"/>
                <w:szCs w:val="20"/>
                <w:color w:val="auto"/>
              </w:rPr>
            </w:pPr>
            <w:r>
              <w:rPr>
                <w:rFonts w:ascii="Arial" w:cs="Arial" w:eastAsia="Arial" w:hAnsi="Arial"/>
                <w:sz w:val="16"/>
                <w:szCs w:val="16"/>
                <w:b w:val="1"/>
                <w:bCs w:val="1"/>
                <w:color w:val="auto"/>
              </w:rPr>
              <w:t>CREDICORP LTD. AND SUBSIDIARIES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6"/>
        </w:trPr>
        <w:tc>
          <w:tcPr>
            <w:tcW w:w="7000" w:type="dxa"/>
            <w:vAlign w:val="bottom"/>
          </w:tcPr>
          <w:p>
            <w:pPr>
              <w:spacing w:after="0"/>
              <w:rPr>
                <w:sz w:val="20"/>
                <w:szCs w:val="20"/>
                <w:color w:val="auto"/>
              </w:rPr>
            </w:pPr>
            <w:r>
              <w:rPr>
                <w:rFonts w:ascii="Arial" w:cs="Arial" w:eastAsia="Arial" w:hAnsi="Arial"/>
                <w:sz w:val="16"/>
                <w:szCs w:val="16"/>
                <w:color w:val="auto"/>
              </w:rPr>
              <w:t>CONSOLIDATED STATEMENT OF CASH FLOWS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5"/>
        </w:trPr>
        <w:tc>
          <w:tcPr>
            <w:tcW w:w="7000" w:type="dxa"/>
            <w:vAlign w:val="bottom"/>
          </w:tcPr>
          <w:p>
            <w:pPr>
              <w:spacing w:after="0"/>
              <w:rPr>
                <w:sz w:val="20"/>
                <w:szCs w:val="20"/>
                <w:color w:val="auto"/>
              </w:rPr>
            </w:pPr>
            <w:r>
              <w:rPr>
                <w:rFonts w:ascii="Arial" w:cs="Arial" w:eastAsia="Arial" w:hAnsi="Arial"/>
                <w:sz w:val="16"/>
                <w:szCs w:val="16"/>
                <w:color w:val="auto"/>
              </w:rPr>
              <w:t>FOR THE YEARS ENDED DECEMBER 31, 2023, 2022 (RESTATED) AND 2021</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4"/>
        </w:trPr>
        <w:tc>
          <w:tcPr>
            <w:tcW w:w="7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0"/>
        </w:trPr>
        <w:tc>
          <w:tcPr>
            <w:tcW w:w="7000" w:type="dxa"/>
            <w:vAlign w:val="bottom"/>
          </w:tcPr>
          <w:p>
            <w:pPr>
              <w:ind w:left="6040"/>
              <w:spacing w:after="0"/>
              <w:rPr>
                <w:sz w:val="20"/>
                <w:szCs w:val="20"/>
                <w:color w:val="auto"/>
              </w:rPr>
            </w:pPr>
            <w:r>
              <w:rPr>
                <w:rFonts w:ascii="Arial" w:cs="Arial" w:eastAsia="Arial" w:hAnsi="Arial"/>
                <w:sz w:val="16"/>
                <w:szCs w:val="16"/>
                <w:b w:val="1"/>
                <w:bCs w:val="1"/>
                <w:color w:val="auto"/>
              </w:rPr>
              <w:t>Note</w:t>
            </w:r>
          </w:p>
        </w:tc>
        <w:tc>
          <w:tcPr>
            <w:tcW w:w="1240" w:type="dxa"/>
            <w:vAlign w:val="bottom"/>
          </w:tcPr>
          <w:p>
            <w:pPr>
              <w:ind w:left="10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(Restated)</w:t>
            </w:r>
          </w:p>
        </w:tc>
        <w:tc>
          <w:tcPr>
            <w:tcW w:w="1240" w:type="dxa"/>
            <w:vAlign w:val="bottom"/>
          </w:tcPr>
          <w:p>
            <w:pPr>
              <w:ind w:left="120"/>
              <w:spacing w:after="0"/>
              <w:rPr>
                <w:sz w:val="20"/>
                <w:szCs w:val="20"/>
                <w:color w:val="auto"/>
              </w:rPr>
            </w:pPr>
            <w:r>
              <w:rPr>
                <w:rFonts w:ascii="Arial" w:cs="Arial" w:eastAsia="Arial" w:hAnsi="Arial"/>
                <w:sz w:val="16"/>
                <w:szCs w:val="16"/>
                <w:b w:val="1"/>
                <w:bCs w:val="1"/>
                <w:color w:val="auto"/>
              </w:rPr>
              <w:t>2021</w:t>
            </w:r>
          </w:p>
        </w:tc>
      </w:tr>
      <w:tr>
        <w:trPr>
          <w:trHeight w:val="216"/>
        </w:trPr>
        <w:tc>
          <w:tcPr>
            <w:tcW w:w="7000" w:type="dxa"/>
            <w:vAlign w:val="bottom"/>
          </w:tcPr>
          <w:p>
            <w:pPr>
              <w:spacing w:after="0"/>
              <w:rPr>
                <w:sz w:val="18"/>
                <w:szCs w:val="18"/>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4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S/000</w:t>
            </w: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20"/>
                <w:szCs w:val="20"/>
                <w:color w:val="auto"/>
              </w:rPr>
            </w:pPr>
            <w:r>
              <w:rPr>
                <w:rFonts w:ascii="Arial" w:cs="Arial" w:eastAsia="Arial" w:hAnsi="Arial"/>
                <w:sz w:val="16"/>
                <w:szCs w:val="16"/>
                <w:b w:val="1"/>
                <w:bCs w:val="1"/>
                <w:color w:val="auto"/>
              </w:rPr>
              <w:t>CASH AND CASH EQUIVALENTS FROM OPERATING ACTIVITIES</w:t>
            </w: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6"/>
                <w:szCs w:val="16"/>
                <w:color w:val="auto"/>
              </w:rPr>
              <w:t>Net profit for the year</w:t>
            </w:r>
          </w:p>
        </w:tc>
        <w:tc>
          <w:tcPr>
            <w:tcW w:w="1600" w:type="dxa"/>
            <w:vAlign w:val="bottom"/>
          </w:tcPr>
          <w:p>
            <w:pPr>
              <w:spacing w:after="0"/>
              <w:rPr>
                <w:sz w:val="18"/>
                <w:szCs w:val="18"/>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4,959,878</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4,760,110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3,671,829</w:t>
            </w:r>
          </w:p>
        </w:tc>
      </w:tr>
      <w:tr>
        <w:trPr>
          <w:trHeight w:val="334"/>
        </w:trPr>
        <w:tc>
          <w:tcPr>
            <w:tcW w:w="5440" w:type="dxa"/>
            <w:vAlign w:val="bottom"/>
          </w:tcPr>
          <w:p>
            <w:pPr>
              <w:spacing w:after="0"/>
              <w:rPr>
                <w:sz w:val="20"/>
                <w:szCs w:val="20"/>
                <w:color w:val="auto"/>
              </w:rPr>
            </w:pPr>
            <w:r>
              <w:rPr>
                <w:rFonts w:ascii="Arial" w:cs="Arial" w:eastAsia="Arial" w:hAnsi="Arial"/>
                <w:sz w:val="16"/>
                <w:szCs w:val="16"/>
                <w:b w:val="1"/>
                <w:bCs w:val="1"/>
                <w:color w:val="auto"/>
              </w:rPr>
              <w:t>Adjustment to reconcile net profit to net cash arising from operating</w:t>
            </w: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5440" w:type="dxa"/>
            <w:vAlign w:val="bottom"/>
          </w:tcPr>
          <w:p>
            <w:pPr>
              <w:ind w:left="160"/>
              <w:spacing w:after="0"/>
              <w:rPr>
                <w:sz w:val="20"/>
                <w:szCs w:val="20"/>
                <w:color w:val="auto"/>
              </w:rPr>
            </w:pPr>
            <w:r>
              <w:rPr>
                <w:rFonts w:ascii="Arial" w:cs="Arial" w:eastAsia="Arial" w:hAnsi="Arial"/>
                <w:sz w:val="16"/>
                <w:szCs w:val="16"/>
                <w:b w:val="1"/>
                <w:bCs w:val="1"/>
                <w:color w:val="auto"/>
              </w:rPr>
              <w:t>activities:</w:t>
            </w: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Provision for credit losses on loan portfolio</w:t>
            </w:r>
          </w:p>
        </w:tc>
        <w:tc>
          <w:tcPr>
            <w:tcW w:w="1600" w:type="dxa"/>
            <w:vAlign w:val="bottom"/>
          </w:tcPr>
          <w:p>
            <w:pPr>
              <w:jc w:val="center"/>
              <w:spacing w:after="0"/>
              <w:rPr>
                <w:sz w:val="20"/>
                <w:szCs w:val="20"/>
                <w:color w:val="auto"/>
              </w:rPr>
            </w:pPr>
            <w:r>
              <w:rPr>
                <w:rFonts w:ascii="Arial" w:cs="Arial" w:eastAsia="Arial" w:hAnsi="Arial"/>
                <w:sz w:val="16"/>
                <w:szCs w:val="16"/>
                <w:color w:val="auto"/>
              </w:rPr>
              <w:t>7(c)</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3,957,143</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2,158,555</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1,558,951</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600" w:type="dxa"/>
            <w:vAlign w:val="bottom"/>
          </w:tcPr>
          <w:p>
            <w:pPr>
              <w:jc w:val="right"/>
              <w:ind w:right="319"/>
              <w:spacing w:after="0"/>
              <w:rPr>
                <w:sz w:val="20"/>
                <w:szCs w:val="20"/>
                <w:color w:val="auto"/>
              </w:rPr>
            </w:pPr>
            <w:r>
              <w:rPr>
                <w:rFonts w:ascii="Arial" w:cs="Arial" w:eastAsia="Arial" w:hAnsi="Arial"/>
                <w:sz w:val="16"/>
                <w:szCs w:val="16"/>
                <w:color w:val="auto"/>
              </w:rPr>
              <w:t>9 and 10(a)</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511,174</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485,207</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521,967</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Depreciation of right-of-use assets</w:t>
            </w:r>
          </w:p>
        </w:tc>
        <w:tc>
          <w:tcPr>
            <w:tcW w:w="1600" w:type="dxa"/>
            <w:vAlign w:val="bottom"/>
          </w:tcPr>
          <w:p>
            <w:pPr>
              <w:jc w:val="center"/>
              <w:spacing w:after="0"/>
              <w:rPr>
                <w:sz w:val="20"/>
                <w:szCs w:val="20"/>
                <w:color w:val="auto"/>
              </w:rPr>
            </w:pPr>
            <w:r>
              <w:rPr>
                <w:rFonts w:ascii="Arial" w:cs="Arial" w:eastAsia="Arial" w:hAnsi="Arial"/>
                <w:sz w:val="16"/>
                <w:szCs w:val="16"/>
                <w:color w:val="auto"/>
                <w:w w:val="96"/>
              </w:rPr>
              <w:t>11(a)</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147,833</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151,282</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161,287</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Depreciation of investment properties</w:t>
            </w:r>
          </w:p>
        </w:tc>
        <w:tc>
          <w:tcPr>
            <w:tcW w:w="1600" w:type="dxa"/>
            <w:vAlign w:val="bottom"/>
          </w:tcPr>
          <w:p>
            <w:pPr>
              <w:jc w:val="center"/>
              <w:spacing w:after="0"/>
              <w:rPr>
                <w:sz w:val="20"/>
                <w:szCs w:val="20"/>
                <w:color w:val="auto"/>
              </w:rPr>
            </w:pPr>
            <w:r>
              <w:rPr>
                <w:rFonts w:ascii="Arial" w:cs="Arial" w:eastAsia="Arial" w:hAnsi="Arial"/>
                <w:sz w:val="16"/>
                <w:szCs w:val="16"/>
                <w:color w:val="auto"/>
              </w:rPr>
              <w:t>12(h)</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8,115</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7,107</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7,302</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Provision for sundry risks</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12(j)</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95,873</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43,846</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70,824</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Deferred (income) tax expense</w:t>
            </w:r>
          </w:p>
        </w:tc>
        <w:tc>
          <w:tcPr>
            <w:tcW w:w="1600" w:type="dxa"/>
            <w:vAlign w:val="bottom"/>
          </w:tcPr>
          <w:p>
            <w:pPr>
              <w:jc w:val="center"/>
              <w:spacing w:after="0"/>
              <w:rPr>
                <w:sz w:val="20"/>
                <w:szCs w:val="20"/>
                <w:color w:val="auto"/>
              </w:rPr>
            </w:pPr>
            <w:r>
              <w:rPr>
                <w:rFonts w:ascii="Arial" w:cs="Arial" w:eastAsia="Arial" w:hAnsi="Arial"/>
                <w:sz w:val="16"/>
                <w:szCs w:val="16"/>
                <w:color w:val="auto"/>
              </w:rPr>
              <w:t>17(b)</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(76,088)</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113,063</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547,393</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Adjustment of technical reserves</w:t>
            </w:r>
          </w:p>
        </w:tc>
        <w:tc>
          <w:tcPr>
            <w:tcW w:w="1600" w:type="dxa"/>
            <w:vAlign w:val="bottom"/>
          </w:tcPr>
          <w:p>
            <w:pPr>
              <w:spacing w:after="0"/>
              <w:rPr>
                <w:sz w:val="15"/>
                <w:szCs w:val="15"/>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914,852</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Net gain on securities</w:t>
            </w:r>
          </w:p>
        </w:tc>
        <w:tc>
          <w:tcPr>
            <w:tcW w:w="1600" w:type="dxa"/>
            <w:vAlign w:val="bottom"/>
          </w:tcPr>
          <w:p>
            <w:pPr>
              <w:jc w:val="center"/>
              <w:spacing w:after="0"/>
              <w:rPr>
                <w:sz w:val="20"/>
                <w:szCs w:val="20"/>
                <w:color w:val="auto"/>
              </w:rPr>
            </w:pPr>
            <w:r>
              <w:rPr>
                <w:rFonts w:ascii="Arial" w:cs="Arial" w:eastAsia="Arial" w:hAnsi="Arial"/>
                <w:sz w:val="16"/>
                <w:szCs w:val="16"/>
                <w:color w:val="auto"/>
              </w:rPr>
              <w:t>21</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(425,144)</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(5,468)</w:t>
            </w:r>
          </w:p>
        </w:tc>
        <w:tc>
          <w:tcPr>
            <w:tcW w:w="1200" w:type="dxa"/>
            <w:vAlign w:val="bottom"/>
          </w:tcPr>
          <w:p>
            <w:pPr>
              <w:jc w:val="right"/>
              <w:spacing w:after="0"/>
              <w:rPr>
                <w:sz w:val="20"/>
                <w:szCs w:val="20"/>
                <w:color w:val="auto"/>
              </w:rPr>
            </w:pPr>
            <w:r>
              <w:rPr>
                <w:rFonts w:ascii="Arial" w:cs="Arial" w:eastAsia="Arial" w:hAnsi="Arial"/>
                <w:sz w:val="16"/>
                <w:szCs w:val="16"/>
                <w:color w:val="auto"/>
              </w:rPr>
              <w:t>(28,650)</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Impairment loss on goodwill</w:t>
            </w:r>
          </w:p>
        </w:tc>
        <w:tc>
          <w:tcPr>
            <w:tcW w:w="1600" w:type="dxa"/>
            <w:vAlign w:val="bottom"/>
          </w:tcPr>
          <w:p>
            <w:pPr>
              <w:jc w:val="center"/>
              <w:spacing w:after="0"/>
              <w:rPr>
                <w:sz w:val="20"/>
                <w:szCs w:val="20"/>
                <w:color w:val="auto"/>
              </w:rPr>
            </w:pPr>
            <w:r>
              <w:rPr>
                <w:rFonts w:ascii="Arial" w:cs="Arial" w:eastAsia="Arial" w:hAnsi="Arial"/>
                <w:sz w:val="16"/>
                <w:szCs w:val="16"/>
                <w:color w:val="auto"/>
              </w:rPr>
              <w:t>10(b)</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71,959</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Net Gain on financial assets designated at fair value through profit and</w:t>
            </w: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loss</w:t>
            </w:r>
          </w:p>
        </w:tc>
        <w:tc>
          <w:tcPr>
            <w:tcW w:w="1600" w:type="dxa"/>
            <w:vAlign w:val="bottom"/>
          </w:tcPr>
          <w:p>
            <w:pPr>
              <w:spacing w:after="0"/>
              <w:rPr>
                <w:sz w:val="15"/>
                <w:szCs w:val="15"/>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(54,663)</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Net gain of trading derivatives</w:t>
            </w:r>
          </w:p>
        </w:tc>
        <w:tc>
          <w:tcPr>
            <w:tcW w:w="1600" w:type="dxa"/>
            <w:vAlign w:val="bottom"/>
          </w:tcPr>
          <w:p>
            <w:pPr>
              <w:spacing w:after="0"/>
              <w:rPr>
                <w:sz w:val="15"/>
                <w:szCs w:val="15"/>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(53,665)</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(65,187)</w:t>
            </w:r>
          </w:p>
        </w:tc>
        <w:tc>
          <w:tcPr>
            <w:tcW w:w="1200" w:type="dxa"/>
            <w:vAlign w:val="bottom"/>
          </w:tcPr>
          <w:p>
            <w:pPr>
              <w:jc w:val="right"/>
              <w:spacing w:after="0"/>
              <w:rPr>
                <w:sz w:val="20"/>
                <w:szCs w:val="20"/>
                <w:color w:val="auto"/>
              </w:rPr>
            </w:pPr>
            <w:r>
              <w:rPr>
                <w:rFonts w:ascii="Arial" w:cs="Arial" w:eastAsia="Arial" w:hAnsi="Arial"/>
                <w:sz w:val="16"/>
                <w:szCs w:val="16"/>
                <w:color w:val="auto"/>
              </w:rPr>
              <w:t>(221,064)</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Net Income from sale of property, furniture and equipment</w:t>
            </w:r>
          </w:p>
        </w:tc>
        <w:tc>
          <w:tcPr>
            <w:tcW w:w="1600" w:type="dxa"/>
            <w:vAlign w:val="bottom"/>
          </w:tcPr>
          <w:p>
            <w:pPr>
              <w:jc w:val="center"/>
              <w:spacing w:after="0"/>
              <w:rPr>
                <w:sz w:val="20"/>
                <w:szCs w:val="20"/>
                <w:color w:val="auto"/>
              </w:rPr>
            </w:pPr>
            <w:r>
              <w:rPr>
                <w:rFonts w:ascii="Arial" w:cs="Arial" w:eastAsia="Arial" w:hAnsi="Arial"/>
                <w:sz w:val="16"/>
                <w:szCs w:val="16"/>
                <w:color w:val="auto"/>
              </w:rPr>
              <w:t>25</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(1,654)</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(14,979)</w:t>
            </w:r>
          </w:p>
        </w:tc>
        <w:tc>
          <w:tcPr>
            <w:tcW w:w="1200" w:type="dxa"/>
            <w:vAlign w:val="bottom"/>
          </w:tcPr>
          <w:p>
            <w:pPr>
              <w:jc w:val="right"/>
              <w:spacing w:after="0"/>
              <w:rPr>
                <w:sz w:val="20"/>
                <w:szCs w:val="20"/>
                <w:color w:val="auto"/>
              </w:rPr>
            </w:pPr>
            <w:r>
              <w:rPr>
                <w:rFonts w:ascii="Arial" w:cs="Arial" w:eastAsia="Arial" w:hAnsi="Arial"/>
                <w:sz w:val="16"/>
                <w:szCs w:val="16"/>
                <w:color w:val="auto"/>
              </w:rPr>
              <w:t>(16,083)</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Net Loss (net gain) from sale of seized and recovered assets</w:t>
            </w:r>
          </w:p>
        </w:tc>
        <w:tc>
          <w:tcPr>
            <w:tcW w:w="1600" w:type="dxa"/>
            <w:vAlign w:val="bottom"/>
          </w:tcPr>
          <w:p>
            <w:pPr>
              <w:spacing w:after="0"/>
              <w:rPr>
                <w:sz w:val="15"/>
                <w:szCs w:val="15"/>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1,867</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(11,355)</w:t>
            </w:r>
          </w:p>
        </w:tc>
        <w:tc>
          <w:tcPr>
            <w:tcW w:w="1200" w:type="dxa"/>
            <w:vAlign w:val="bottom"/>
          </w:tcPr>
          <w:p>
            <w:pPr>
              <w:jc w:val="right"/>
              <w:spacing w:after="0"/>
              <w:rPr>
                <w:sz w:val="20"/>
                <w:szCs w:val="20"/>
                <w:color w:val="auto"/>
              </w:rPr>
            </w:pPr>
            <w:r>
              <w:rPr>
                <w:rFonts w:ascii="Arial" w:cs="Arial" w:eastAsia="Arial" w:hAnsi="Arial"/>
                <w:sz w:val="16"/>
                <w:szCs w:val="16"/>
                <w:color w:val="auto"/>
              </w:rPr>
              <w:t>(10,684)</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Expense for share-based payment transactions</w:t>
            </w:r>
          </w:p>
        </w:tc>
        <w:tc>
          <w:tcPr>
            <w:tcW w:w="1600" w:type="dxa"/>
            <w:vAlign w:val="bottom"/>
          </w:tcPr>
          <w:p>
            <w:pPr>
              <w:jc w:val="center"/>
              <w:spacing w:after="0"/>
              <w:rPr>
                <w:sz w:val="20"/>
                <w:szCs w:val="20"/>
                <w:color w:val="auto"/>
              </w:rPr>
            </w:pPr>
            <w:r>
              <w:rPr>
                <w:rFonts w:ascii="Arial" w:cs="Arial" w:eastAsia="Arial" w:hAnsi="Arial"/>
                <w:sz w:val="16"/>
                <w:szCs w:val="16"/>
                <w:color w:val="auto"/>
              </w:rPr>
              <w:t>23</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83,328</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81,679</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73,997</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Net gain from sale of written-off portfolio</w:t>
            </w:r>
          </w:p>
        </w:tc>
        <w:tc>
          <w:tcPr>
            <w:tcW w:w="1600" w:type="dxa"/>
            <w:vAlign w:val="bottom"/>
          </w:tcPr>
          <w:p>
            <w:pPr>
              <w:jc w:val="center"/>
              <w:spacing w:after="0"/>
              <w:rPr>
                <w:sz w:val="20"/>
                <w:szCs w:val="20"/>
                <w:color w:val="auto"/>
              </w:rPr>
            </w:pPr>
            <w:r>
              <w:rPr>
                <w:rFonts w:ascii="Arial" w:cs="Arial" w:eastAsia="Arial" w:hAnsi="Arial"/>
                <w:sz w:val="16"/>
                <w:szCs w:val="16"/>
                <w:color w:val="auto"/>
              </w:rPr>
              <w:t>25</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(83,515)</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(18,712)</w:t>
            </w:r>
          </w:p>
        </w:tc>
        <w:tc>
          <w:tcPr>
            <w:tcW w:w="1200" w:type="dxa"/>
            <w:vAlign w:val="bottom"/>
          </w:tcPr>
          <w:p>
            <w:pPr>
              <w:jc w:val="right"/>
              <w:spacing w:after="0"/>
              <w:rPr>
                <w:sz w:val="20"/>
                <w:szCs w:val="20"/>
                <w:color w:val="auto"/>
              </w:rPr>
            </w:pPr>
            <w:r>
              <w:rPr>
                <w:rFonts w:ascii="Arial" w:cs="Arial" w:eastAsia="Arial" w:hAnsi="Arial"/>
                <w:sz w:val="16"/>
                <w:szCs w:val="16"/>
                <w:color w:val="auto"/>
              </w:rPr>
              <w:t>(15,700)</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Intangible losses due to withdrawals and dismissed projects</w:t>
            </w:r>
          </w:p>
        </w:tc>
        <w:tc>
          <w:tcPr>
            <w:tcW w:w="1600" w:type="dxa"/>
            <w:vAlign w:val="bottom"/>
          </w:tcPr>
          <w:p>
            <w:pPr>
              <w:jc w:val="center"/>
              <w:spacing w:after="0"/>
              <w:rPr>
                <w:sz w:val="20"/>
                <w:szCs w:val="20"/>
                <w:color w:val="auto"/>
              </w:rPr>
            </w:pPr>
            <w:r>
              <w:rPr>
                <w:rFonts w:ascii="Arial" w:cs="Arial" w:eastAsia="Arial" w:hAnsi="Arial"/>
                <w:sz w:val="16"/>
                <w:szCs w:val="16"/>
                <w:color w:val="auto"/>
              </w:rPr>
              <w:t>25</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96,978</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25,140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17,630</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Others</w:t>
            </w:r>
          </w:p>
        </w:tc>
        <w:tc>
          <w:tcPr>
            <w:tcW w:w="1600" w:type="dxa"/>
            <w:vAlign w:val="bottom"/>
          </w:tcPr>
          <w:p>
            <w:pPr>
              <w:spacing w:after="0"/>
              <w:rPr>
                <w:sz w:val="15"/>
                <w:szCs w:val="15"/>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3,005</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28,840</w:t>
            </w:r>
          </w:p>
        </w:tc>
        <w:tc>
          <w:tcPr>
            <w:tcW w:w="1200" w:type="dxa"/>
            <w:vAlign w:val="bottom"/>
          </w:tcPr>
          <w:p>
            <w:pPr>
              <w:jc w:val="right"/>
              <w:spacing w:after="0"/>
              <w:rPr>
                <w:sz w:val="20"/>
                <w:szCs w:val="20"/>
                <w:color w:val="auto"/>
              </w:rPr>
            </w:pPr>
            <w:r>
              <w:rPr>
                <w:rFonts w:ascii="Arial" w:cs="Arial" w:eastAsia="Arial" w:hAnsi="Arial"/>
                <w:sz w:val="16"/>
                <w:szCs w:val="16"/>
                <w:color w:val="auto"/>
              </w:rPr>
              <w:t>(5,538)</w:t>
            </w:r>
          </w:p>
        </w:tc>
      </w:tr>
      <w:tr>
        <w:trPr>
          <w:trHeight w:val="183"/>
        </w:trPr>
        <w:tc>
          <w:tcPr>
            <w:tcW w:w="5440" w:type="dxa"/>
            <w:vAlign w:val="bottom"/>
          </w:tcPr>
          <w:p>
            <w:pPr>
              <w:spacing w:after="0"/>
              <w:rPr>
                <w:sz w:val="20"/>
                <w:szCs w:val="20"/>
                <w:color w:val="auto"/>
              </w:rPr>
            </w:pPr>
            <w:r>
              <w:rPr>
                <w:rFonts w:ascii="Arial" w:cs="Arial" w:eastAsia="Arial" w:hAnsi="Arial"/>
                <w:sz w:val="16"/>
                <w:szCs w:val="16"/>
                <w:b w:val="1"/>
                <w:bCs w:val="1"/>
                <w:color w:val="auto"/>
              </w:rPr>
              <w:t>Net changes in assets and liabilities</w:t>
            </w: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6"/>
                <w:szCs w:val="16"/>
                <w:b w:val="1"/>
                <w:bCs w:val="1"/>
                <w:color w:val="auto"/>
              </w:rPr>
              <w:t>Net (increase) decrease in assets:</w:t>
            </w: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Loans</w:t>
            </w:r>
          </w:p>
        </w:tc>
        <w:tc>
          <w:tcPr>
            <w:tcW w:w="1600" w:type="dxa"/>
            <w:vAlign w:val="bottom"/>
          </w:tcPr>
          <w:p>
            <w:pPr>
              <w:spacing w:after="0"/>
              <w:rPr>
                <w:sz w:val="15"/>
                <w:szCs w:val="15"/>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(1,105,306)</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(5,385,064)</w:t>
            </w:r>
          </w:p>
        </w:tc>
        <w:tc>
          <w:tcPr>
            <w:tcW w:w="1200" w:type="dxa"/>
            <w:vAlign w:val="bottom"/>
          </w:tcPr>
          <w:p>
            <w:pPr>
              <w:jc w:val="right"/>
              <w:spacing w:after="0"/>
              <w:rPr>
                <w:sz w:val="20"/>
                <w:szCs w:val="20"/>
                <w:color w:val="auto"/>
              </w:rPr>
            </w:pPr>
            <w:r>
              <w:rPr>
                <w:rFonts w:ascii="Arial" w:cs="Arial" w:eastAsia="Arial" w:hAnsi="Arial"/>
                <w:sz w:val="16"/>
                <w:szCs w:val="16"/>
                <w:color w:val="auto"/>
              </w:rPr>
              <w:t>(9,636,648)</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Investments at fair value through profit or loss</w:t>
            </w:r>
          </w:p>
        </w:tc>
        <w:tc>
          <w:tcPr>
            <w:tcW w:w="1600" w:type="dxa"/>
            <w:vAlign w:val="bottom"/>
          </w:tcPr>
          <w:p>
            <w:pPr>
              <w:spacing w:after="0"/>
              <w:rPr>
                <w:sz w:val="15"/>
                <w:szCs w:val="15"/>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(456,626)</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1,575,498</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745,156</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Investments at fair value through other comprehensive income</w:t>
            </w:r>
          </w:p>
        </w:tc>
        <w:tc>
          <w:tcPr>
            <w:tcW w:w="1600" w:type="dxa"/>
            <w:vAlign w:val="bottom"/>
          </w:tcPr>
          <w:p>
            <w:pPr>
              <w:spacing w:after="0"/>
              <w:rPr>
                <w:sz w:val="15"/>
                <w:szCs w:val="15"/>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(5,164,701)</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(460,914)</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7,508,131</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Cash collateral, reverse repurchase agreements and securities borrowings</w:t>
            </w:r>
          </w:p>
        </w:tc>
        <w:tc>
          <w:tcPr>
            <w:tcW w:w="1600" w:type="dxa"/>
            <w:vAlign w:val="bottom"/>
          </w:tcPr>
          <w:p>
            <w:pPr>
              <w:spacing w:after="0"/>
              <w:rPr>
                <w:sz w:val="15"/>
                <w:szCs w:val="15"/>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(330,448)</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622,589</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783,010</w:t>
            </w: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Sale of written off portfolio</w:t>
            </w:r>
          </w:p>
        </w:tc>
        <w:tc>
          <w:tcPr>
            <w:tcW w:w="1600" w:type="dxa"/>
            <w:vAlign w:val="bottom"/>
          </w:tcPr>
          <w:p>
            <w:pPr>
              <w:spacing w:after="0"/>
              <w:rPr>
                <w:sz w:val="15"/>
                <w:szCs w:val="15"/>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239,599</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24,543</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24,477</w:t>
            </w:r>
          </w:p>
        </w:tc>
      </w:tr>
      <w:tr>
        <w:trPr>
          <w:trHeight w:val="215"/>
        </w:trPr>
        <w:tc>
          <w:tcPr>
            <w:tcW w:w="5440" w:type="dxa"/>
            <w:vAlign w:val="bottom"/>
          </w:tcPr>
          <w:p>
            <w:pPr>
              <w:spacing w:after="0"/>
              <w:rPr>
                <w:sz w:val="20"/>
                <w:szCs w:val="20"/>
                <w:color w:val="auto"/>
              </w:rPr>
            </w:pPr>
            <w:r>
              <w:rPr>
                <w:rFonts w:ascii="Arial" w:cs="Arial" w:eastAsia="Arial" w:hAnsi="Arial"/>
                <w:sz w:val="16"/>
                <w:szCs w:val="16"/>
                <w:color w:val="auto"/>
              </w:rPr>
              <w:t>Other assets</w:t>
            </w:r>
          </w:p>
        </w:tc>
        <w:tc>
          <w:tcPr>
            <w:tcW w:w="1600" w:type="dxa"/>
            <w:vAlign w:val="bottom"/>
          </w:tcPr>
          <w:p>
            <w:pPr>
              <w:spacing w:after="0"/>
              <w:rPr>
                <w:sz w:val="18"/>
                <w:szCs w:val="18"/>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520,331</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413,307</w:t>
            </w:r>
          </w:p>
        </w:tc>
        <w:tc>
          <w:tcPr>
            <w:tcW w:w="1200" w:type="dxa"/>
            <w:vAlign w:val="bottom"/>
          </w:tcPr>
          <w:p>
            <w:pPr>
              <w:jc w:val="right"/>
              <w:spacing w:after="0"/>
              <w:rPr>
                <w:sz w:val="20"/>
                <w:szCs w:val="20"/>
                <w:color w:val="auto"/>
              </w:rPr>
            </w:pPr>
            <w:r>
              <w:rPr>
                <w:rFonts w:ascii="Arial" w:cs="Arial" w:eastAsia="Arial" w:hAnsi="Arial"/>
                <w:sz w:val="16"/>
                <w:szCs w:val="16"/>
                <w:color w:val="auto"/>
              </w:rPr>
              <w:t>(294,130)</w:t>
            </w:r>
          </w:p>
        </w:tc>
      </w:tr>
      <w:tr>
        <w:trPr>
          <w:trHeight w:val="525"/>
        </w:trPr>
        <w:tc>
          <w:tcPr>
            <w:tcW w:w="5440" w:type="dxa"/>
            <w:vAlign w:val="bottom"/>
          </w:tcPr>
          <w:p>
            <w:pPr>
              <w:spacing w:after="0"/>
              <w:rPr>
                <w:sz w:val="24"/>
                <w:szCs w:val="24"/>
                <w:color w:val="auto"/>
              </w:rPr>
            </w:pPr>
          </w:p>
        </w:tc>
        <w:tc>
          <w:tcPr>
            <w:tcW w:w="1600" w:type="dxa"/>
            <w:vAlign w:val="bottom"/>
          </w:tcPr>
          <w:p>
            <w:pPr>
              <w:jc w:val="right"/>
              <w:ind w:right="1239"/>
              <w:spacing w:after="0"/>
              <w:rPr>
                <w:sz w:val="20"/>
                <w:szCs w:val="20"/>
                <w:color w:val="auto"/>
              </w:rPr>
            </w:pPr>
            <w:r>
              <w:rPr>
                <w:rFonts w:ascii="Arial" w:cs="Arial" w:eastAsia="Arial" w:hAnsi="Arial"/>
                <w:sz w:val="16"/>
                <w:szCs w:val="16"/>
                <w:color w:val="auto"/>
              </w:rPr>
              <w:t>17</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8"/>
        </w:trPr>
        <w:tc>
          <w:tcPr>
            <w:tcW w:w="54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color w:val="auto"/>
              </w:rPr>
              <w:t>CONSOLIDATED STATEMENT OF CASH FLOWS (CONTINUED)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4"/>
        </w:trPr>
        <w:tc>
          <w:tcPr>
            <w:tcW w:w="7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0"/>
        </w:trPr>
        <w:tc>
          <w:tcPr>
            <w:tcW w:w="7000" w:type="dxa"/>
            <w:vAlign w:val="bottom"/>
          </w:tcPr>
          <w:p>
            <w:pPr>
              <w:ind w:left="6040"/>
              <w:spacing w:after="0"/>
              <w:rPr>
                <w:sz w:val="20"/>
                <w:szCs w:val="20"/>
                <w:color w:val="auto"/>
              </w:rPr>
            </w:pPr>
            <w:r>
              <w:rPr>
                <w:rFonts w:ascii="Arial" w:cs="Arial" w:eastAsia="Arial" w:hAnsi="Arial"/>
                <w:sz w:val="16"/>
                <w:szCs w:val="16"/>
                <w:b w:val="1"/>
                <w:bCs w:val="1"/>
                <w:color w:val="auto"/>
              </w:rPr>
              <w:t>Note</w:t>
            </w:r>
          </w:p>
        </w:tc>
        <w:tc>
          <w:tcPr>
            <w:tcW w:w="1240" w:type="dxa"/>
            <w:vAlign w:val="bottom"/>
          </w:tcPr>
          <w:p>
            <w:pPr>
              <w:ind w:left="10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(Restated)</w:t>
            </w:r>
          </w:p>
        </w:tc>
        <w:tc>
          <w:tcPr>
            <w:tcW w:w="1240" w:type="dxa"/>
            <w:vAlign w:val="bottom"/>
          </w:tcPr>
          <w:p>
            <w:pPr>
              <w:ind w:left="120"/>
              <w:spacing w:after="0"/>
              <w:rPr>
                <w:sz w:val="20"/>
                <w:szCs w:val="20"/>
                <w:color w:val="auto"/>
              </w:rPr>
            </w:pPr>
            <w:r>
              <w:rPr>
                <w:rFonts w:ascii="Arial" w:cs="Arial" w:eastAsia="Arial" w:hAnsi="Arial"/>
                <w:sz w:val="16"/>
                <w:szCs w:val="16"/>
                <w:b w:val="1"/>
                <w:bCs w:val="1"/>
                <w:color w:val="auto"/>
              </w:rPr>
              <w:t>2021</w:t>
            </w:r>
          </w:p>
        </w:tc>
      </w:tr>
      <w:tr>
        <w:trPr>
          <w:trHeight w:val="216"/>
        </w:trPr>
        <w:tc>
          <w:tcPr>
            <w:tcW w:w="7000" w:type="dxa"/>
            <w:vAlign w:val="bottom"/>
          </w:tcPr>
          <w:p>
            <w:pPr>
              <w:spacing w:after="0"/>
              <w:rPr>
                <w:sz w:val="18"/>
                <w:szCs w:val="18"/>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4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S/000</w:t>
            </w: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20"/>
                <w:szCs w:val="20"/>
                <w:color w:val="auto"/>
              </w:rPr>
            </w:pPr>
            <w:r>
              <w:rPr>
                <w:rFonts w:ascii="Arial" w:cs="Arial" w:eastAsia="Arial" w:hAnsi="Arial"/>
                <w:sz w:val="16"/>
                <w:szCs w:val="16"/>
                <w:b w:val="1"/>
                <w:bCs w:val="1"/>
                <w:color w:val="auto"/>
              </w:rPr>
              <w:t>Net increase (decrease) in liabilities</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Deposits and obligations</w:t>
            </w:r>
          </w:p>
        </w:tc>
        <w:tc>
          <w:tcPr>
            <w:tcW w:w="1640" w:type="dxa"/>
            <w:vAlign w:val="bottom"/>
          </w:tcPr>
          <w:p>
            <w:pPr>
              <w:spacing w:after="0"/>
              <w:rPr>
                <w:sz w:val="15"/>
                <w:szCs w:val="15"/>
                <w:color w:val="auto"/>
              </w:rPr>
            </w:pP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2,271,524</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(46,199)</w:t>
            </w:r>
          </w:p>
        </w:tc>
        <w:tc>
          <w:tcPr>
            <w:tcW w:w="1240" w:type="dxa"/>
            <w:vAlign w:val="bottom"/>
          </w:tcPr>
          <w:p>
            <w:pPr>
              <w:jc w:val="right"/>
              <w:spacing w:after="0"/>
              <w:rPr>
                <w:sz w:val="20"/>
                <w:szCs w:val="20"/>
                <w:color w:val="auto"/>
              </w:rPr>
            </w:pPr>
            <w:r>
              <w:rPr>
                <w:rFonts w:ascii="Arial" w:cs="Arial" w:eastAsia="Arial" w:hAnsi="Arial"/>
                <w:sz w:val="16"/>
                <w:szCs w:val="16"/>
                <w:color w:val="auto"/>
              </w:rPr>
              <w:t>2,485,794</w:t>
            </w:r>
          </w:p>
        </w:tc>
        <w:tc>
          <w:tcPr>
            <w:tcW w:w="120" w:type="dxa"/>
            <w:vAlign w:val="bottom"/>
          </w:tcPr>
          <w:p>
            <w:pPr>
              <w:spacing w:after="0"/>
              <w:rPr>
                <w:sz w:val="15"/>
                <w:szCs w:val="15"/>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Due to Banks and correspondents</w:t>
            </w:r>
          </w:p>
        </w:tc>
        <w:tc>
          <w:tcPr>
            <w:tcW w:w="1640" w:type="dxa"/>
            <w:vAlign w:val="bottom"/>
          </w:tcPr>
          <w:p>
            <w:pPr>
              <w:spacing w:after="0"/>
              <w:rPr>
                <w:sz w:val="15"/>
                <w:szCs w:val="15"/>
                <w:color w:val="auto"/>
              </w:rPr>
            </w:pP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3,455,502</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1,804,784</w:t>
            </w:r>
          </w:p>
        </w:tc>
        <w:tc>
          <w:tcPr>
            <w:tcW w:w="1240" w:type="dxa"/>
            <w:vAlign w:val="bottom"/>
          </w:tcPr>
          <w:p>
            <w:pPr>
              <w:jc w:val="right"/>
              <w:spacing w:after="0"/>
              <w:rPr>
                <w:sz w:val="20"/>
                <w:szCs w:val="20"/>
                <w:color w:val="auto"/>
              </w:rPr>
            </w:pPr>
            <w:r>
              <w:rPr>
                <w:rFonts w:ascii="Arial" w:cs="Arial" w:eastAsia="Arial" w:hAnsi="Arial"/>
                <w:sz w:val="16"/>
                <w:szCs w:val="16"/>
                <w:color w:val="auto"/>
              </w:rPr>
              <w:t>1,103,063</w:t>
            </w:r>
          </w:p>
        </w:tc>
        <w:tc>
          <w:tcPr>
            <w:tcW w:w="120" w:type="dxa"/>
            <w:vAlign w:val="bottom"/>
          </w:tcPr>
          <w:p>
            <w:pPr>
              <w:spacing w:after="0"/>
              <w:rPr>
                <w:sz w:val="15"/>
                <w:szCs w:val="15"/>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Payables from repurchase agreements and securities lending</w:t>
            </w:r>
          </w:p>
        </w:tc>
        <w:tc>
          <w:tcPr>
            <w:tcW w:w="1640" w:type="dxa"/>
            <w:vAlign w:val="bottom"/>
          </w:tcPr>
          <w:p>
            <w:pPr>
              <w:spacing w:after="0"/>
              <w:rPr>
                <w:sz w:val="15"/>
                <w:szCs w:val="15"/>
                <w:color w:val="auto"/>
              </w:rPr>
            </w:pP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(2,790,671)</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(9,034,940)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(5,935,578)</w:t>
            </w: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Bonds and notes issued</w:t>
            </w:r>
          </w:p>
        </w:tc>
        <w:tc>
          <w:tcPr>
            <w:tcW w:w="1640" w:type="dxa"/>
            <w:vAlign w:val="bottom"/>
          </w:tcPr>
          <w:p>
            <w:pPr>
              <w:spacing w:after="0"/>
              <w:rPr>
                <w:sz w:val="15"/>
                <w:szCs w:val="15"/>
                <w:color w:val="auto"/>
              </w:rPr>
            </w:pP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(2,213,122)</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(298,572)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(90,217)</w:t>
            </w: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Short-term and low-value lease payments</w:t>
            </w:r>
          </w:p>
        </w:tc>
        <w:tc>
          <w:tcPr>
            <w:tcW w:w="1640" w:type="dxa"/>
            <w:vAlign w:val="bottom"/>
          </w:tcPr>
          <w:p>
            <w:pPr>
              <w:spacing w:after="0"/>
              <w:rPr>
                <w:sz w:val="15"/>
                <w:szCs w:val="15"/>
                <w:color w:val="auto"/>
              </w:rPr>
            </w:pP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(108,357)</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(106,356)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(86,417)</w:t>
            </w: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Other liabilities</w:t>
            </w:r>
          </w:p>
        </w:tc>
        <w:tc>
          <w:tcPr>
            <w:tcW w:w="1640" w:type="dxa"/>
            <w:vAlign w:val="bottom"/>
          </w:tcPr>
          <w:p>
            <w:pPr>
              <w:spacing w:after="0"/>
              <w:rPr>
                <w:sz w:val="15"/>
                <w:szCs w:val="15"/>
                <w:color w:val="auto"/>
              </w:rPr>
            </w:pP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2,604,047</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3,107,346</w:t>
            </w:r>
          </w:p>
        </w:tc>
        <w:tc>
          <w:tcPr>
            <w:tcW w:w="1240" w:type="dxa"/>
            <w:vAlign w:val="bottom"/>
          </w:tcPr>
          <w:p>
            <w:pPr>
              <w:jc w:val="right"/>
              <w:spacing w:after="0"/>
              <w:rPr>
                <w:sz w:val="20"/>
                <w:szCs w:val="20"/>
                <w:color w:val="auto"/>
              </w:rPr>
            </w:pPr>
            <w:r>
              <w:rPr>
                <w:rFonts w:ascii="Arial" w:cs="Arial" w:eastAsia="Arial" w:hAnsi="Arial"/>
                <w:sz w:val="16"/>
                <w:szCs w:val="16"/>
                <w:color w:val="auto"/>
              </w:rPr>
              <w:t>1,303,118</w:t>
            </w:r>
          </w:p>
        </w:tc>
        <w:tc>
          <w:tcPr>
            <w:tcW w:w="120" w:type="dxa"/>
            <w:vAlign w:val="bottom"/>
          </w:tcPr>
          <w:p>
            <w:pPr>
              <w:spacing w:after="0"/>
              <w:rPr>
                <w:sz w:val="15"/>
                <w:szCs w:val="15"/>
                <w:color w:val="auto"/>
              </w:rPr>
            </w:pPr>
          </w:p>
        </w:tc>
      </w:tr>
      <w:tr>
        <w:trPr>
          <w:trHeight w:val="204"/>
        </w:trPr>
        <w:tc>
          <w:tcPr>
            <w:tcW w:w="5360" w:type="dxa"/>
            <w:vAlign w:val="bottom"/>
          </w:tcPr>
          <w:p>
            <w:pPr>
              <w:spacing w:after="0"/>
              <w:rPr>
                <w:sz w:val="20"/>
                <w:szCs w:val="20"/>
                <w:color w:val="auto"/>
              </w:rPr>
            </w:pPr>
            <w:r>
              <w:rPr>
                <w:rFonts w:ascii="Arial" w:cs="Arial" w:eastAsia="Arial" w:hAnsi="Arial"/>
                <w:sz w:val="16"/>
                <w:szCs w:val="16"/>
                <w:color w:val="auto"/>
              </w:rPr>
              <w:t>Income tax paid</w:t>
            </w:r>
          </w:p>
        </w:tc>
        <w:tc>
          <w:tcPr>
            <w:tcW w:w="1640" w:type="dxa"/>
            <w:vAlign w:val="bottom"/>
          </w:tcPr>
          <w:p>
            <w:pPr>
              <w:spacing w:after="0"/>
              <w:rPr>
                <w:sz w:val="17"/>
                <w:szCs w:val="17"/>
                <w:color w:val="auto"/>
              </w:rPr>
            </w:pP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(2,139,140)</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(1,106,572)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(1,130,415)</w:t>
            </w:r>
          </w:p>
        </w:tc>
      </w:tr>
      <w:tr>
        <w:trPr>
          <w:trHeight w:val="183"/>
        </w:trPr>
        <w:tc>
          <w:tcPr>
            <w:tcW w:w="5360" w:type="dxa"/>
            <w:vAlign w:val="bottom"/>
          </w:tcPr>
          <w:p>
            <w:pPr>
              <w:spacing w:after="0"/>
              <w:rPr>
                <w:sz w:val="20"/>
                <w:szCs w:val="20"/>
                <w:color w:val="auto"/>
              </w:rPr>
            </w:pPr>
            <w:r>
              <w:rPr>
                <w:rFonts w:ascii="Arial" w:cs="Arial" w:eastAsia="Arial" w:hAnsi="Arial"/>
                <w:sz w:val="16"/>
                <w:szCs w:val="16"/>
                <w:b w:val="1"/>
                <w:bCs w:val="1"/>
                <w:color w:val="auto"/>
              </w:rPr>
              <w:t>Net cash flow from operating activities</w:t>
            </w:r>
          </w:p>
        </w:tc>
        <w:tc>
          <w:tcPr>
            <w:tcW w:w="164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4,079,719</w:t>
            </w:r>
          </w:p>
        </w:tc>
        <w:tc>
          <w:tcPr>
            <w:tcW w:w="22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(1,151,422</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3,972,994</w:t>
            </w:r>
          </w:p>
        </w:tc>
        <w:tc>
          <w:tcPr>
            <w:tcW w:w="120" w:type="dxa"/>
            <w:vAlign w:val="bottom"/>
          </w:tcPr>
          <w:p>
            <w:pPr>
              <w:spacing w:after="0"/>
              <w:rPr>
                <w:sz w:val="15"/>
                <w:szCs w:val="15"/>
                <w:color w:val="auto"/>
              </w:rPr>
            </w:pPr>
          </w:p>
        </w:tc>
      </w:tr>
      <w:tr>
        <w:trPr>
          <w:trHeight w:val="342"/>
        </w:trPr>
        <w:tc>
          <w:tcPr>
            <w:tcW w:w="5360" w:type="dxa"/>
            <w:vAlign w:val="bottom"/>
          </w:tcPr>
          <w:p>
            <w:pPr>
              <w:spacing w:after="0"/>
              <w:rPr>
                <w:sz w:val="20"/>
                <w:szCs w:val="20"/>
                <w:color w:val="auto"/>
              </w:rPr>
            </w:pPr>
            <w:r>
              <w:rPr>
                <w:rFonts w:ascii="Arial" w:cs="Arial" w:eastAsia="Arial" w:hAnsi="Arial"/>
                <w:sz w:val="16"/>
                <w:szCs w:val="16"/>
                <w:b w:val="1"/>
                <w:bCs w:val="1"/>
                <w:color w:val="auto"/>
              </w:rPr>
              <w:t>NET CASH FLOWS FROM INVESTING ACTIVITIES</w:t>
            </w: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Revenue from sale of property, furniture and equipment</w:t>
            </w:r>
          </w:p>
        </w:tc>
        <w:tc>
          <w:tcPr>
            <w:tcW w:w="1640" w:type="dxa"/>
            <w:vAlign w:val="bottom"/>
          </w:tcPr>
          <w:p>
            <w:pPr>
              <w:spacing w:after="0"/>
              <w:rPr>
                <w:sz w:val="15"/>
                <w:szCs w:val="15"/>
                <w:color w:val="auto"/>
              </w:rPr>
            </w:pP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53,152</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5,373</w:t>
            </w:r>
          </w:p>
        </w:tc>
        <w:tc>
          <w:tcPr>
            <w:tcW w:w="1240" w:type="dxa"/>
            <w:vAlign w:val="bottom"/>
          </w:tcPr>
          <w:p>
            <w:pPr>
              <w:jc w:val="right"/>
              <w:spacing w:after="0"/>
              <w:rPr>
                <w:sz w:val="20"/>
                <w:szCs w:val="20"/>
                <w:color w:val="auto"/>
              </w:rPr>
            </w:pPr>
            <w:r>
              <w:rPr>
                <w:rFonts w:ascii="Arial" w:cs="Arial" w:eastAsia="Arial" w:hAnsi="Arial"/>
                <w:sz w:val="16"/>
                <w:szCs w:val="16"/>
                <w:color w:val="auto"/>
              </w:rPr>
              <w:t>11,457</w:t>
            </w:r>
          </w:p>
        </w:tc>
        <w:tc>
          <w:tcPr>
            <w:tcW w:w="120" w:type="dxa"/>
            <w:vAlign w:val="bottom"/>
          </w:tcPr>
          <w:p>
            <w:pPr>
              <w:spacing w:after="0"/>
              <w:rPr>
                <w:sz w:val="15"/>
                <w:szCs w:val="15"/>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Loss from sale of investment property</w:t>
            </w:r>
          </w:p>
        </w:tc>
        <w:tc>
          <w:tcPr>
            <w:tcW w:w="16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(359)</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Revenue from sales and reimbursement of investment to amortized cost</w:t>
            </w:r>
          </w:p>
        </w:tc>
        <w:tc>
          <w:tcPr>
            <w:tcW w:w="1640" w:type="dxa"/>
            <w:vAlign w:val="bottom"/>
          </w:tcPr>
          <w:p>
            <w:pPr>
              <w:spacing w:after="0"/>
              <w:rPr>
                <w:sz w:val="15"/>
                <w:szCs w:val="15"/>
                <w:color w:val="auto"/>
              </w:rPr>
            </w:pP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1,245,434</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1,006,325</w:t>
            </w:r>
          </w:p>
        </w:tc>
        <w:tc>
          <w:tcPr>
            <w:tcW w:w="1240" w:type="dxa"/>
            <w:vAlign w:val="bottom"/>
          </w:tcPr>
          <w:p>
            <w:pPr>
              <w:jc w:val="right"/>
              <w:spacing w:after="0"/>
              <w:rPr>
                <w:sz w:val="20"/>
                <w:szCs w:val="20"/>
                <w:color w:val="auto"/>
              </w:rPr>
            </w:pPr>
            <w:r>
              <w:rPr>
                <w:rFonts w:ascii="Arial" w:cs="Arial" w:eastAsia="Arial" w:hAnsi="Arial"/>
                <w:sz w:val="16"/>
                <w:szCs w:val="16"/>
                <w:color w:val="auto"/>
              </w:rPr>
              <w:t>590,605</w:t>
            </w:r>
          </w:p>
        </w:tc>
        <w:tc>
          <w:tcPr>
            <w:tcW w:w="120" w:type="dxa"/>
            <w:vAlign w:val="bottom"/>
          </w:tcPr>
          <w:p>
            <w:pPr>
              <w:spacing w:after="0"/>
              <w:rPr>
                <w:sz w:val="15"/>
                <w:szCs w:val="15"/>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Purchase of property, furniture and equipment</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(322,371)</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(192,700)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(107,790)</w:t>
            </w: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Purchase of investment property</w:t>
            </w:r>
          </w:p>
        </w:tc>
        <w:tc>
          <w:tcPr>
            <w:tcW w:w="1640" w:type="dxa"/>
            <w:vAlign w:val="bottom"/>
          </w:tcPr>
          <w:p>
            <w:pPr>
              <w:jc w:val="center"/>
              <w:spacing w:after="0"/>
              <w:rPr>
                <w:sz w:val="20"/>
                <w:szCs w:val="20"/>
                <w:color w:val="auto"/>
              </w:rPr>
            </w:pPr>
            <w:r>
              <w:rPr>
                <w:rFonts w:ascii="Arial" w:cs="Arial" w:eastAsia="Arial" w:hAnsi="Arial"/>
                <w:sz w:val="16"/>
                <w:szCs w:val="16"/>
                <w:color w:val="auto"/>
              </w:rPr>
              <w:t>12(h)</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(37,667)</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(87,132)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(12,068)</w:t>
            </w: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Purchase of intangible assets</w:t>
            </w:r>
          </w:p>
        </w:tc>
        <w:tc>
          <w:tcPr>
            <w:tcW w:w="1640" w:type="dxa"/>
            <w:vAlign w:val="bottom"/>
          </w:tcPr>
          <w:p>
            <w:pPr>
              <w:jc w:val="center"/>
              <w:spacing w:after="0"/>
              <w:rPr>
                <w:sz w:val="20"/>
                <w:szCs w:val="20"/>
                <w:color w:val="auto"/>
              </w:rPr>
            </w:pPr>
            <w:r>
              <w:rPr>
                <w:rFonts w:ascii="Arial" w:cs="Arial" w:eastAsia="Arial" w:hAnsi="Arial"/>
                <w:sz w:val="16"/>
                <w:szCs w:val="16"/>
                <w:color w:val="auto"/>
              </w:rPr>
              <w:t>10(a)</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(828,803)</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(703,670)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(532,244)</w:t>
            </w: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Purchase of investment at amortized cost</w:t>
            </w:r>
          </w:p>
        </w:tc>
        <w:tc>
          <w:tcPr>
            <w:tcW w:w="1640" w:type="dxa"/>
            <w:vAlign w:val="bottom"/>
          </w:tcPr>
          <w:p>
            <w:pPr>
              <w:spacing w:after="0"/>
              <w:rPr>
                <w:sz w:val="15"/>
                <w:szCs w:val="15"/>
                <w:color w:val="auto"/>
              </w:rPr>
            </w:pP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(1,359,245)</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(1,122,802)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(3,677,671)</w:t>
            </w:r>
          </w:p>
        </w:tc>
      </w:tr>
      <w:tr>
        <w:trPr>
          <w:trHeight w:val="204"/>
        </w:trPr>
        <w:tc>
          <w:tcPr>
            <w:tcW w:w="5360" w:type="dxa"/>
            <w:vAlign w:val="bottom"/>
          </w:tcPr>
          <w:p>
            <w:pPr>
              <w:spacing w:after="0"/>
              <w:rPr>
                <w:sz w:val="20"/>
                <w:szCs w:val="20"/>
                <w:color w:val="auto"/>
              </w:rPr>
            </w:pPr>
            <w:r>
              <w:rPr>
                <w:rFonts w:ascii="Arial" w:cs="Arial" w:eastAsia="Arial" w:hAnsi="Arial"/>
                <w:sz w:val="16"/>
                <w:szCs w:val="16"/>
                <w:color w:val="auto"/>
              </w:rPr>
              <w:t>Acquisition of subsidiaries, net of cash received</w:t>
            </w:r>
          </w:p>
        </w:tc>
        <w:tc>
          <w:tcPr>
            <w:tcW w:w="1640" w:type="dxa"/>
            <w:vAlign w:val="bottom"/>
          </w:tcPr>
          <w:p>
            <w:pPr>
              <w:spacing w:after="0"/>
              <w:rPr>
                <w:sz w:val="17"/>
                <w:szCs w:val="17"/>
                <w:color w:val="auto"/>
              </w:rPr>
            </w:pP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(5,564)</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b w:val="1"/>
                <w:bCs w:val="1"/>
                <w:color w:val="auto"/>
              </w:rPr>
              <w:t>Net cash flows from investing activities</w:t>
            </w:r>
          </w:p>
        </w:tc>
        <w:tc>
          <w:tcPr>
            <w:tcW w:w="164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(1,255,064</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(1,094,965</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(3,727,711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342"/>
        </w:trPr>
        <w:tc>
          <w:tcPr>
            <w:tcW w:w="5360" w:type="dxa"/>
            <w:vAlign w:val="bottom"/>
          </w:tcPr>
          <w:p>
            <w:pPr>
              <w:spacing w:after="0"/>
              <w:rPr>
                <w:sz w:val="20"/>
                <w:szCs w:val="20"/>
                <w:color w:val="auto"/>
              </w:rPr>
            </w:pPr>
            <w:r>
              <w:rPr>
                <w:rFonts w:ascii="Arial" w:cs="Arial" w:eastAsia="Arial" w:hAnsi="Arial"/>
                <w:sz w:val="16"/>
                <w:szCs w:val="16"/>
                <w:b w:val="1"/>
                <w:bCs w:val="1"/>
                <w:color w:val="auto"/>
              </w:rPr>
              <w:t>NET CASH FLOWS FROM FINANCING ACTIVITIES</w:t>
            </w: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Dividends paid</w:t>
            </w:r>
          </w:p>
        </w:tc>
        <w:tc>
          <w:tcPr>
            <w:tcW w:w="1640" w:type="dxa"/>
            <w:vAlign w:val="bottom"/>
          </w:tcPr>
          <w:p>
            <w:pPr>
              <w:jc w:val="center"/>
              <w:spacing w:after="0"/>
              <w:rPr>
                <w:sz w:val="20"/>
                <w:szCs w:val="20"/>
                <w:color w:val="auto"/>
              </w:rPr>
            </w:pPr>
            <w:r>
              <w:rPr>
                <w:rFonts w:ascii="Arial" w:cs="Arial" w:eastAsia="Arial" w:hAnsi="Arial"/>
                <w:sz w:val="16"/>
                <w:szCs w:val="16"/>
                <w:color w:val="auto"/>
              </w:rPr>
              <w:t>16(e)</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(1,994,037)</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(1,196,422)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(398,808)</w:t>
            </w: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Dividends paid to non-controlling interest of subsidiaries</w:t>
            </w:r>
          </w:p>
        </w:tc>
        <w:tc>
          <w:tcPr>
            <w:tcW w:w="1640" w:type="dxa"/>
            <w:vAlign w:val="bottom"/>
          </w:tcPr>
          <w:p>
            <w:pPr>
              <w:spacing w:after="0"/>
              <w:rPr>
                <w:sz w:val="15"/>
                <w:szCs w:val="15"/>
                <w:color w:val="auto"/>
              </w:rPr>
            </w:pP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(62,051)</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(48,577)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(4,156)</w:t>
            </w: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Principal payments of leasing contracts</w:t>
            </w:r>
          </w:p>
        </w:tc>
        <w:tc>
          <w:tcPr>
            <w:tcW w:w="1640" w:type="dxa"/>
            <w:vAlign w:val="bottom"/>
          </w:tcPr>
          <w:p>
            <w:pPr>
              <w:spacing w:after="0"/>
              <w:rPr>
                <w:sz w:val="15"/>
                <w:szCs w:val="15"/>
                <w:color w:val="auto"/>
              </w:rPr>
            </w:pP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(157,386)</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(156,529)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(155,141)</w:t>
            </w: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Interest payments of leasing contracts</w:t>
            </w:r>
          </w:p>
        </w:tc>
        <w:tc>
          <w:tcPr>
            <w:tcW w:w="1640" w:type="dxa"/>
            <w:vAlign w:val="bottom"/>
          </w:tcPr>
          <w:p>
            <w:pPr>
              <w:spacing w:after="0"/>
              <w:rPr>
                <w:sz w:val="15"/>
                <w:szCs w:val="15"/>
                <w:color w:val="auto"/>
              </w:rPr>
            </w:pP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(25,574)</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(25,054)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(27,374)</w:t>
            </w: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Purchase of treasury stock</w:t>
            </w:r>
          </w:p>
        </w:tc>
        <w:tc>
          <w:tcPr>
            <w:tcW w:w="1640" w:type="dxa"/>
            <w:vAlign w:val="bottom"/>
          </w:tcPr>
          <w:p>
            <w:pPr>
              <w:jc w:val="center"/>
              <w:spacing w:after="0"/>
              <w:rPr>
                <w:sz w:val="20"/>
                <w:szCs w:val="20"/>
                <w:color w:val="auto"/>
              </w:rPr>
            </w:pPr>
            <w:r>
              <w:rPr>
                <w:rFonts w:ascii="Arial" w:cs="Arial" w:eastAsia="Arial" w:hAnsi="Arial"/>
                <w:sz w:val="16"/>
                <w:szCs w:val="16"/>
                <w:color w:val="auto"/>
              </w:rPr>
              <w:t>16(b)</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(85,575)</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(83,605)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(58,907)</w:t>
            </w: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Sale of treasury stock</w:t>
            </w:r>
          </w:p>
        </w:tc>
        <w:tc>
          <w:tcPr>
            <w:tcW w:w="16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9,949</w:t>
            </w:r>
          </w:p>
        </w:tc>
        <w:tc>
          <w:tcPr>
            <w:tcW w:w="1240" w:type="dxa"/>
            <w:vAlign w:val="bottom"/>
          </w:tcPr>
          <w:p>
            <w:pPr>
              <w:jc w:val="right"/>
              <w:spacing w:after="0"/>
              <w:rPr>
                <w:sz w:val="20"/>
                <w:szCs w:val="20"/>
                <w:color w:val="auto"/>
              </w:rPr>
            </w:pPr>
            <w:r>
              <w:rPr>
                <w:rFonts w:ascii="Arial" w:cs="Arial" w:eastAsia="Arial" w:hAnsi="Arial"/>
                <w:sz w:val="16"/>
                <w:szCs w:val="16"/>
                <w:color w:val="auto"/>
              </w:rPr>
              <w:t>3,752</w:t>
            </w:r>
          </w:p>
        </w:tc>
        <w:tc>
          <w:tcPr>
            <w:tcW w:w="120" w:type="dxa"/>
            <w:vAlign w:val="bottom"/>
          </w:tcPr>
          <w:p>
            <w:pPr>
              <w:spacing w:after="0"/>
              <w:rPr>
                <w:sz w:val="15"/>
                <w:szCs w:val="15"/>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color w:val="auto"/>
              </w:rPr>
              <w:t>Acquisition of non-controlling interest</w:t>
            </w:r>
          </w:p>
        </w:tc>
        <w:tc>
          <w:tcPr>
            <w:tcW w:w="1640" w:type="dxa"/>
            <w:vAlign w:val="bottom"/>
          </w:tcPr>
          <w:p>
            <w:pPr>
              <w:spacing w:after="0"/>
              <w:rPr>
                <w:sz w:val="15"/>
                <w:szCs w:val="15"/>
                <w:color w:val="auto"/>
              </w:rPr>
            </w:pP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(1,773)</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(5,877)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(7,822)</w:t>
            </w:r>
          </w:p>
        </w:tc>
      </w:tr>
      <w:tr>
        <w:trPr>
          <w:trHeight w:val="204"/>
        </w:trPr>
        <w:tc>
          <w:tcPr>
            <w:tcW w:w="5360" w:type="dxa"/>
            <w:vAlign w:val="bottom"/>
          </w:tcPr>
          <w:p>
            <w:pPr>
              <w:spacing w:after="0"/>
              <w:rPr>
                <w:sz w:val="20"/>
                <w:szCs w:val="20"/>
                <w:color w:val="auto"/>
              </w:rPr>
            </w:pPr>
            <w:r>
              <w:rPr>
                <w:rFonts w:ascii="Arial" w:cs="Arial" w:eastAsia="Arial" w:hAnsi="Arial"/>
                <w:sz w:val="16"/>
                <w:szCs w:val="16"/>
                <w:color w:val="auto"/>
              </w:rPr>
              <w:t>Subordinated bonds</w:t>
            </w:r>
          </w:p>
        </w:tc>
        <w:tc>
          <w:tcPr>
            <w:tcW w:w="1640" w:type="dxa"/>
            <w:vAlign w:val="bottom"/>
          </w:tcPr>
          <w:p>
            <w:pPr>
              <w:spacing w:after="0"/>
              <w:rPr>
                <w:sz w:val="17"/>
                <w:szCs w:val="17"/>
                <w:color w:val="auto"/>
              </w:rPr>
            </w:pP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62,044</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(94,700)</w:t>
            </w:r>
          </w:p>
        </w:tc>
        <w:tc>
          <w:tcPr>
            <w:tcW w:w="1240" w:type="dxa"/>
            <w:vAlign w:val="bottom"/>
          </w:tcPr>
          <w:p>
            <w:pPr>
              <w:jc w:val="right"/>
              <w:spacing w:after="0"/>
              <w:rPr>
                <w:sz w:val="20"/>
                <w:szCs w:val="20"/>
                <w:color w:val="auto"/>
              </w:rPr>
            </w:pPr>
            <w:r>
              <w:rPr>
                <w:rFonts w:ascii="Arial" w:cs="Arial" w:eastAsia="Arial" w:hAnsi="Arial"/>
                <w:sz w:val="16"/>
                <w:szCs w:val="16"/>
                <w:color w:val="auto"/>
              </w:rPr>
              <w:t>183,160</w:t>
            </w:r>
          </w:p>
        </w:tc>
        <w:tc>
          <w:tcPr>
            <w:tcW w:w="120" w:type="dxa"/>
            <w:vAlign w:val="bottom"/>
          </w:tcPr>
          <w:p>
            <w:pPr>
              <w:spacing w:after="0"/>
              <w:rPr>
                <w:sz w:val="17"/>
                <w:szCs w:val="17"/>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6"/>
                <w:szCs w:val="16"/>
                <w:b w:val="1"/>
                <w:bCs w:val="1"/>
                <w:color w:val="auto"/>
              </w:rPr>
              <w:t>Net cash flows from financing activities</w:t>
            </w:r>
          </w:p>
        </w:tc>
        <w:tc>
          <w:tcPr>
            <w:tcW w:w="164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(2,264,352</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(1,600,815</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(465,296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533"/>
        </w:trPr>
        <w:tc>
          <w:tcPr>
            <w:tcW w:w="5360" w:type="dxa"/>
            <w:vAlign w:val="bottom"/>
          </w:tcPr>
          <w:p>
            <w:pPr>
              <w:spacing w:after="0"/>
              <w:rPr>
                <w:sz w:val="24"/>
                <w:szCs w:val="24"/>
                <w:color w:val="auto"/>
              </w:rPr>
            </w:pPr>
          </w:p>
        </w:tc>
        <w:tc>
          <w:tcPr>
            <w:tcW w:w="1640" w:type="dxa"/>
            <w:vAlign w:val="bottom"/>
          </w:tcPr>
          <w:p>
            <w:pPr>
              <w:jc w:val="right"/>
              <w:ind w:right="1199"/>
              <w:spacing w:after="0"/>
              <w:rPr>
                <w:sz w:val="20"/>
                <w:szCs w:val="20"/>
                <w:color w:val="auto"/>
              </w:rPr>
            </w:pPr>
            <w:r>
              <w:rPr>
                <w:rFonts w:ascii="Arial" w:cs="Arial" w:eastAsia="Arial" w:hAnsi="Arial"/>
                <w:sz w:val="16"/>
                <w:szCs w:val="16"/>
                <w:color w:val="auto"/>
              </w:rPr>
              <w:t>18</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
        </w:trPr>
        <w:tc>
          <w:tcPr>
            <w:tcW w:w="53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color w:val="auto"/>
              </w:rPr>
              <w:t>CONSOLIDATED STATEMENT OF CASH FLOWS (CONTINUED)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4"/>
        </w:trPr>
        <w:tc>
          <w:tcPr>
            <w:tcW w:w="7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0"/>
        </w:trPr>
        <w:tc>
          <w:tcPr>
            <w:tcW w:w="7000" w:type="dxa"/>
            <w:vAlign w:val="bottom"/>
          </w:tcPr>
          <w:p>
            <w:pPr>
              <w:ind w:left="6040"/>
              <w:spacing w:after="0"/>
              <w:rPr>
                <w:sz w:val="20"/>
                <w:szCs w:val="20"/>
                <w:color w:val="auto"/>
              </w:rPr>
            </w:pPr>
            <w:r>
              <w:rPr>
                <w:rFonts w:ascii="Arial" w:cs="Arial" w:eastAsia="Arial" w:hAnsi="Arial"/>
                <w:sz w:val="16"/>
                <w:szCs w:val="16"/>
                <w:b w:val="1"/>
                <w:bCs w:val="1"/>
                <w:color w:val="auto"/>
              </w:rPr>
              <w:t>Note</w:t>
            </w:r>
          </w:p>
        </w:tc>
        <w:tc>
          <w:tcPr>
            <w:tcW w:w="1240" w:type="dxa"/>
            <w:vAlign w:val="bottom"/>
          </w:tcPr>
          <w:p>
            <w:pPr>
              <w:ind w:left="10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(Restated)</w:t>
            </w:r>
          </w:p>
        </w:tc>
        <w:tc>
          <w:tcPr>
            <w:tcW w:w="1240" w:type="dxa"/>
            <w:vAlign w:val="bottom"/>
          </w:tcPr>
          <w:p>
            <w:pPr>
              <w:ind w:left="120"/>
              <w:spacing w:after="0"/>
              <w:rPr>
                <w:sz w:val="20"/>
                <w:szCs w:val="20"/>
                <w:color w:val="auto"/>
              </w:rPr>
            </w:pPr>
            <w:r>
              <w:rPr>
                <w:rFonts w:ascii="Arial" w:cs="Arial" w:eastAsia="Arial" w:hAnsi="Arial"/>
                <w:sz w:val="16"/>
                <w:szCs w:val="16"/>
                <w:b w:val="1"/>
                <w:bCs w:val="1"/>
                <w:color w:val="auto"/>
              </w:rPr>
              <w:t>2021</w:t>
            </w:r>
          </w:p>
        </w:tc>
      </w:tr>
      <w:tr>
        <w:trPr>
          <w:trHeight w:val="216"/>
        </w:trPr>
        <w:tc>
          <w:tcPr>
            <w:tcW w:w="7000" w:type="dxa"/>
            <w:vAlign w:val="bottom"/>
          </w:tcPr>
          <w:p>
            <w:pPr>
              <w:spacing w:after="0"/>
              <w:rPr>
                <w:sz w:val="18"/>
                <w:szCs w:val="18"/>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4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S/000</w:t>
            </w: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20"/>
                <w:szCs w:val="20"/>
                <w:color w:val="auto"/>
              </w:rPr>
            </w:pPr>
            <w:r>
              <w:rPr>
                <w:rFonts w:ascii="Arial" w:cs="Arial" w:eastAsia="Arial" w:hAnsi="Arial"/>
                <w:sz w:val="16"/>
                <w:szCs w:val="16"/>
                <w:b w:val="1"/>
                <w:bCs w:val="1"/>
                <w:color w:val="auto"/>
              </w:rPr>
              <w:t>Net increase (decrease) of cash and cash equivalents before effect of</w:t>
            </w:r>
          </w:p>
        </w:tc>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40" w:type="dxa"/>
            <w:vAlign w:val="bottom"/>
          </w:tcPr>
          <w:p>
            <w:pPr>
              <w:spacing w:after="0"/>
              <w:rPr>
                <w:sz w:val="20"/>
                <w:szCs w:val="20"/>
                <w:color w:val="auto"/>
              </w:rPr>
            </w:pPr>
            <w:r>
              <w:rPr>
                <w:rFonts w:ascii="Arial" w:cs="Arial" w:eastAsia="Arial" w:hAnsi="Arial"/>
                <w:sz w:val="16"/>
                <w:szCs w:val="16"/>
                <w:b w:val="1"/>
                <w:bCs w:val="1"/>
                <w:color w:val="auto"/>
              </w:rPr>
              <w:t>changes in exchange rate</w:t>
            </w:r>
          </w:p>
        </w:tc>
        <w:tc>
          <w:tcPr>
            <w:tcW w:w="3020" w:type="dxa"/>
            <w:vAlign w:val="bottom"/>
            <w:gridSpan w:val="3"/>
          </w:tcPr>
          <w:p>
            <w:pPr>
              <w:jc w:val="right"/>
              <w:ind w:right="220"/>
              <w:spacing w:after="0"/>
              <w:rPr>
                <w:sz w:val="20"/>
                <w:szCs w:val="20"/>
                <w:color w:val="auto"/>
              </w:rPr>
            </w:pPr>
            <w:r>
              <w:rPr>
                <w:rFonts w:ascii="Arial" w:cs="Arial" w:eastAsia="Arial" w:hAnsi="Arial"/>
                <w:sz w:val="16"/>
                <w:szCs w:val="16"/>
                <w:color w:val="auto"/>
              </w:rPr>
              <w:t>560,303</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(3,847,202)</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(220,013)</w:t>
            </w:r>
          </w:p>
        </w:tc>
        <w:tc>
          <w:tcPr>
            <w:tcW w:w="0" w:type="dxa"/>
            <w:vAlign w:val="bottom"/>
          </w:tcPr>
          <w:p>
            <w:pPr>
              <w:spacing w:after="0"/>
              <w:rPr>
                <w:sz w:val="1"/>
                <w:szCs w:val="1"/>
                <w:color w:val="auto"/>
              </w:rPr>
            </w:pPr>
          </w:p>
        </w:tc>
      </w:tr>
      <w:tr>
        <w:trPr>
          <w:trHeight w:val="159"/>
        </w:trPr>
        <w:tc>
          <w:tcPr>
            <w:tcW w:w="5440" w:type="dxa"/>
            <w:vAlign w:val="bottom"/>
          </w:tcPr>
          <w:p>
            <w:pPr>
              <w:spacing w:after="0" w:line="159" w:lineRule="exact"/>
              <w:rPr>
                <w:sz w:val="20"/>
                <w:szCs w:val="20"/>
                <w:color w:val="auto"/>
              </w:rPr>
            </w:pPr>
            <w:r>
              <w:rPr>
                <w:rFonts w:ascii="Arial" w:cs="Arial" w:eastAsia="Arial" w:hAnsi="Arial"/>
                <w:sz w:val="16"/>
                <w:szCs w:val="16"/>
                <w:color w:val="auto"/>
              </w:rPr>
              <w:t>Effect of changes in exchange rate of cash and cash equivalents</w:t>
            </w:r>
          </w:p>
        </w:tc>
        <w:tc>
          <w:tcPr>
            <w:tcW w:w="1560" w:type="dxa"/>
            <w:vAlign w:val="bottom"/>
          </w:tcPr>
          <w:p>
            <w:pPr>
              <w:spacing w:after="0"/>
              <w:rPr>
                <w:sz w:val="13"/>
                <w:szCs w:val="13"/>
                <w:color w:val="auto"/>
              </w:rPr>
            </w:pPr>
          </w:p>
        </w:tc>
        <w:tc>
          <w:tcPr>
            <w:tcW w:w="12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(760,651)</w:t>
            </w:r>
          </w:p>
        </w:tc>
        <w:tc>
          <w:tcPr>
            <w:tcW w:w="220" w:type="dxa"/>
            <w:vAlign w:val="bottom"/>
          </w:tcPr>
          <w:p>
            <w:pPr>
              <w:spacing w:after="0"/>
              <w:rPr>
                <w:sz w:val="13"/>
                <w:szCs w:val="13"/>
                <w:color w:val="auto"/>
              </w:rPr>
            </w:pPr>
          </w:p>
        </w:tc>
        <w:tc>
          <w:tcPr>
            <w:tcW w:w="12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(1,325,381)</w:t>
            </w:r>
          </w:p>
        </w:tc>
        <w:tc>
          <w:tcPr>
            <w:tcW w:w="220" w:type="dxa"/>
            <w:vAlign w:val="bottom"/>
          </w:tcPr>
          <w:p>
            <w:pPr>
              <w:spacing w:after="0"/>
              <w:rPr>
                <w:sz w:val="13"/>
                <w:szCs w:val="13"/>
                <w:color w:val="auto"/>
              </w:rPr>
            </w:pPr>
          </w:p>
        </w:tc>
        <w:tc>
          <w:tcPr>
            <w:tcW w:w="12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2,779,791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440" w:type="dxa"/>
            <w:vAlign w:val="bottom"/>
          </w:tcPr>
          <w:p>
            <w:pPr>
              <w:spacing w:after="0"/>
              <w:rPr>
                <w:sz w:val="20"/>
                <w:szCs w:val="20"/>
                <w:color w:val="auto"/>
              </w:rPr>
            </w:pPr>
            <w:r>
              <w:rPr>
                <w:rFonts w:ascii="Arial" w:cs="Arial" w:eastAsia="Arial" w:hAnsi="Arial"/>
                <w:sz w:val="16"/>
                <w:szCs w:val="16"/>
                <w:b w:val="1"/>
                <w:bCs w:val="1"/>
                <w:color w:val="auto"/>
              </w:rPr>
              <w:t>Cash and cash equivalents at the beginning of the period</w:t>
            </w:r>
          </w:p>
        </w:tc>
        <w:tc>
          <w:tcPr>
            <w:tcW w:w="1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34,120,962</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39,293,545</w:t>
            </w:r>
          </w:p>
        </w:tc>
        <w:tc>
          <w:tcPr>
            <w:tcW w:w="1240" w:type="dxa"/>
            <w:vAlign w:val="bottom"/>
          </w:tcPr>
          <w:p>
            <w:pPr>
              <w:jc w:val="right"/>
              <w:spacing w:after="0"/>
              <w:rPr>
                <w:sz w:val="20"/>
                <w:szCs w:val="20"/>
                <w:color w:val="auto"/>
              </w:rPr>
            </w:pPr>
            <w:r>
              <w:rPr>
                <w:rFonts w:ascii="Arial" w:cs="Arial" w:eastAsia="Arial" w:hAnsi="Arial"/>
                <w:sz w:val="16"/>
                <w:szCs w:val="16"/>
                <w:color w:val="auto"/>
              </w:rPr>
              <w:t>36,733,767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4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33,920,614</w:t>
            </w:r>
          </w:p>
        </w:tc>
        <w:tc>
          <w:tcPr>
            <w:tcW w:w="22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34,120,962</w:t>
            </w:r>
          </w:p>
        </w:tc>
        <w:tc>
          <w:tcPr>
            <w:tcW w:w="1240" w:type="dxa"/>
            <w:vAlign w:val="bottom"/>
          </w:tcPr>
          <w:p>
            <w:pPr>
              <w:jc w:val="right"/>
              <w:spacing w:after="0"/>
              <w:rPr>
                <w:sz w:val="20"/>
                <w:szCs w:val="20"/>
                <w:color w:val="auto"/>
              </w:rPr>
            </w:pPr>
            <w:r>
              <w:rPr>
                <w:rFonts w:ascii="Arial" w:cs="Arial" w:eastAsia="Arial" w:hAnsi="Arial"/>
                <w:sz w:val="16"/>
                <w:szCs w:val="16"/>
                <w:color w:val="auto"/>
              </w:rPr>
              <w:t>39,293,545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440" w:type="dxa"/>
            <w:vAlign w:val="bottom"/>
          </w:tcPr>
          <w:p>
            <w:pPr>
              <w:spacing w:after="0"/>
              <w:rPr>
                <w:sz w:val="20"/>
                <w:szCs w:val="20"/>
                <w:color w:val="auto"/>
              </w:rPr>
            </w:pPr>
            <w:r>
              <w:rPr>
                <w:rFonts w:ascii="Arial" w:cs="Arial" w:eastAsia="Arial" w:hAnsi="Arial"/>
                <w:sz w:val="16"/>
                <w:szCs w:val="16"/>
                <w:b w:val="1"/>
                <w:bCs w:val="1"/>
                <w:color w:val="auto"/>
              </w:rPr>
              <w:t>Additional information from cash flows</w:t>
            </w:r>
          </w:p>
        </w:tc>
        <w:tc>
          <w:tcPr>
            <w:tcW w:w="15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Interest received</w:t>
            </w:r>
          </w:p>
        </w:tc>
        <w:tc>
          <w:tcPr>
            <w:tcW w:w="3020" w:type="dxa"/>
            <w:vAlign w:val="bottom"/>
            <w:gridSpan w:val="3"/>
          </w:tcPr>
          <w:p>
            <w:pPr>
              <w:jc w:val="right"/>
              <w:ind w:right="220"/>
              <w:spacing w:after="0"/>
              <w:rPr>
                <w:sz w:val="20"/>
                <w:szCs w:val="20"/>
                <w:color w:val="auto"/>
              </w:rPr>
            </w:pPr>
            <w:r>
              <w:rPr>
                <w:rFonts w:ascii="Arial" w:cs="Arial" w:eastAsia="Arial" w:hAnsi="Arial"/>
                <w:sz w:val="16"/>
                <w:szCs w:val="16"/>
                <w:color w:val="auto"/>
              </w:rPr>
              <w:t>18,658,791</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14,717,523</w:t>
            </w:r>
          </w:p>
        </w:tc>
        <w:tc>
          <w:tcPr>
            <w:tcW w:w="1240" w:type="dxa"/>
            <w:vAlign w:val="bottom"/>
          </w:tcPr>
          <w:p>
            <w:pPr>
              <w:jc w:val="right"/>
              <w:spacing w:after="0"/>
              <w:rPr>
                <w:sz w:val="20"/>
                <w:szCs w:val="20"/>
                <w:color w:val="auto"/>
              </w:rPr>
            </w:pPr>
            <w:r>
              <w:rPr>
                <w:rFonts w:ascii="Arial" w:cs="Arial" w:eastAsia="Arial" w:hAnsi="Arial"/>
                <w:sz w:val="16"/>
                <w:szCs w:val="16"/>
                <w:color w:val="auto"/>
              </w:rPr>
              <w:t>11,615,448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6"/>
                <w:szCs w:val="16"/>
                <w:color w:val="auto"/>
              </w:rPr>
              <w:t>Interest paid</w:t>
            </w:r>
          </w:p>
        </w:tc>
        <w:tc>
          <w:tcPr>
            <w:tcW w:w="3020" w:type="dxa"/>
            <w:vAlign w:val="bottom"/>
            <w:gridSpan w:val="3"/>
          </w:tcPr>
          <w:p>
            <w:pPr>
              <w:jc w:val="right"/>
              <w:ind w:right="180"/>
              <w:spacing w:after="0"/>
              <w:rPr>
                <w:sz w:val="20"/>
                <w:szCs w:val="20"/>
                <w:color w:val="auto"/>
              </w:rPr>
            </w:pPr>
            <w:r>
              <w:rPr>
                <w:rFonts w:ascii="Arial" w:cs="Arial" w:eastAsia="Arial" w:hAnsi="Arial"/>
                <w:sz w:val="16"/>
                <w:szCs w:val="16"/>
                <w:color w:val="auto"/>
              </w:rPr>
              <w:t>(5,080,522)</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(2,847,538)</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(2,230,990)</w:t>
            </w:r>
          </w:p>
        </w:tc>
        <w:tc>
          <w:tcPr>
            <w:tcW w:w="0" w:type="dxa"/>
            <w:vAlign w:val="bottom"/>
          </w:tcPr>
          <w:p>
            <w:pPr>
              <w:spacing w:after="0"/>
              <w:rPr>
                <w:sz w:val="1"/>
                <w:szCs w:val="1"/>
                <w:color w:val="auto"/>
              </w:rPr>
            </w:pPr>
          </w:p>
        </w:tc>
      </w:tr>
      <w:tr>
        <w:trPr>
          <w:trHeight w:val="334"/>
        </w:trPr>
        <w:tc>
          <w:tcPr>
            <w:tcW w:w="5440" w:type="dxa"/>
            <w:vAlign w:val="bottom"/>
          </w:tcPr>
          <w:p>
            <w:pPr>
              <w:spacing w:after="0"/>
              <w:rPr>
                <w:sz w:val="20"/>
                <w:szCs w:val="20"/>
                <w:color w:val="auto"/>
              </w:rPr>
            </w:pPr>
            <w:r>
              <w:rPr>
                <w:rFonts w:ascii="Arial" w:cs="Arial" w:eastAsia="Arial" w:hAnsi="Arial"/>
                <w:sz w:val="16"/>
                <w:szCs w:val="16"/>
                <w:b w:val="1"/>
                <w:bCs w:val="1"/>
                <w:color w:val="auto"/>
              </w:rPr>
              <w:t>Transactions that do not represent cash flow</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Recognition of lease operations</w:t>
            </w:r>
          </w:p>
        </w:tc>
        <w:tc>
          <w:tcPr>
            <w:tcW w:w="3020" w:type="dxa"/>
            <w:vAlign w:val="bottom"/>
            <w:gridSpan w:val="3"/>
          </w:tcPr>
          <w:p>
            <w:pPr>
              <w:jc w:val="right"/>
              <w:ind w:right="220"/>
              <w:spacing w:after="0"/>
              <w:rPr>
                <w:sz w:val="20"/>
                <w:szCs w:val="20"/>
                <w:color w:val="auto"/>
              </w:rPr>
            </w:pPr>
            <w:r>
              <w:rPr>
                <w:rFonts w:ascii="Arial" w:cs="Arial" w:eastAsia="Arial" w:hAnsi="Arial"/>
                <w:sz w:val="16"/>
                <w:szCs w:val="16"/>
                <w:color w:val="auto"/>
              </w:rPr>
              <w:t>103,715</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108,751</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(116,511)</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Reclassification from investments at amortized cost to fair value with</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20"/>
                <w:szCs w:val="20"/>
                <w:color w:val="auto"/>
              </w:rPr>
            </w:pPr>
            <w:r>
              <w:rPr>
                <w:rFonts w:ascii="Arial" w:cs="Arial" w:eastAsia="Arial" w:hAnsi="Arial"/>
                <w:sz w:val="16"/>
                <w:szCs w:val="16"/>
                <w:color w:val="auto"/>
              </w:rPr>
              <w:t>changes in equity</w:t>
            </w: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2,232,663</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6"/>
                <w:szCs w:val="16"/>
                <w:color w:val="auto"/>
              </w:rPr>
              <w:t>Sale option of minor shares of MiBanco Colombia</w:t>
            </w: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(42,964)</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5440" w:type="dxa"/>
            <w:vAlign w:val="bottom"/>
          </w:tcPr>
          <w:p>
            <w:pPr>
              <w:spacing w:after="0"/>
              <w:rPr>
                <w:sz w:val="24"/>
                <w:szCs w:val="24"/>
                <w:color w:val="auto"/>
              </w:rPr>
            </w:pPr>
          </w:p>
        </w:tc>
        <w:tc>
          <w:tcPr>
            <w:tcW w:w="1560" w:type="dxa"/>
            <w:vAlign w:val="bottom"/>
          </w:tcPr>
          <w:p>
            <w:pPr>
              <w:jc w:val="right"/>
              <w:ind w:right="1199"/>
              <w:spacing w:after="0"/>
              <w:rPr>
                <w:sz w:val="20"/>
                <w:szCs w:val="20"/>
                <w:color w:val="auto"/>
              </w:rPr>
            </w:pPr>
            <w:r>
              <w:rPr>
                <w:rFonts w:ascii="Arial" w:cs="Arial" w:eastAsia="Arial" w:hAnsi="Arial"/>
                <w:sz w:val="16"/>
                <w:szCs w:val="16"/>
                <w:color w:val="auto"/>
              </w:rPr>
              <w:t>19</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4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gridSpan w:val="3"/>
          </w:tcPr>
          <w:p>
            <w:pPr>
              <w:spacing w:after="0"/>
              <w:rPr>
                <w:sz w:val="20"/>
                <w:szCs w:val="20"/>
                <w:color w:val="auto"/>
              </w:rPr>
            </w:pPr>
            <w:r>
              <w:rPr>
                <w:rFonts w:ascii="Arial" w:cs="Arial" w:eastAsia="Arial" w:hAnsi="Arial"/>
                <w:sz w:val="16"/>
                <w:szCs w:val="16"/>
                <w:color w:val="auto"/>
              </w:rPr>
              <w:t>CONSOLIDATED STATEMENT OF CASH FLOWS (continued)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5080" w:type="dxa"/>
            <w:vAlign w:val="bottom"/>
            <w:gridSpan w:val="3"/>
          </w:tcPr>
          <w:p>
            <w:pPr>
              <w:spacing w:after="0"/>
              <w:rPr>
                <w:sz w:val="20"/>
                <w:szCs w:val="20"/>
                <w:color w:val="auto"/>
              </w:rPr>
            </w:pPr>
            <w:r>
              <w:rPr>
                <w:rFonts w:ascii="Arial" w:cs="Arial" w:eastAsia="Arial" w:hAnsi="Arial"/>
                <w:sz w:val="16"/>
                <w:szCs w:val="16"/>
                <w:b w:val="1"/>
                <w:bCs w:val="1"/>
                <w:color w:val="auto"/>
              </w:rPr>
              <w:t>Reconciliation of liabilities arising from financing activities: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gridSpan w:val="4"/>
          </w:tcPr>
          <w:p>
            <w:pPr>
              <w:ind w:left="120"/>
              <w:spacing w:after="0"/>
              <w:rPr>
                <w:sz w:val="20"/>
                <w:szCs w:val="20"/>
                <w:color w:val="auto"/>
              </w:rPr>
            </w:pPr>
            <w:r>
              <w:rPr>
                <w:rFonts w:ascii="Arial" w:cs="Arial" w:eastAsia="Arial" w:hAnsi="Arial"/>
                <w:sz w:val="16"/>
                <w:szCs w:val="16"/>
                <w:b w:val="1"/>
                <w:bCs w:val="1"/>
                <w:color w:val="auto"/>
              </w:rPr>
              <w:t>Changes that generate cash</w:t>
            </w:r>
          </w:p>
        </w:tc>
        <w:tc>
          <w:tcPr>
            <w:tcW w:w="2580" w:type="dxa"/>
            <w:vAlign w:val="bottom"/>
            <w:gridSpan w:val="5"/>
          </w:tcPr>
          <w:p>
            <w:pPr>
              <w:ind w:left="120"/>
              <w:spacing w:after="0"/>
              <w:rPr>
                <w:sz w:val="20"/>
                <w:szCs w:val="20"/>
                <w:color w:val="auto"/>
              </w:rPr>
            </w:pPr>
            <w:r>
              <w:rPr>
                <w:rFonts w:ascii="Arial" w:cs="Arial" w:eastAsia="Arial" w:hAnsi="Arial"/>
                <w:sz w:val="16"/>
                <w:szCs w:val="16"/>
                <w:b w:val="1"/>
                <w:bCs w:val="1"/>
                <w:color w:val="auto"/>
              </w:rPr>
              <w:t>Changes that do not generate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flows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cash flows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restart"/>
          </w:tcPr>
          <w:p>
            <w:pPr>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40" w:type="dxa"/>
            <w:vAlign w:val="bottom"/>
            <w:vMerge w:val="restart"/>
          </w:tcPr>
          <w:p>
            <w:pPr>
              <w:spacing w:after="0"/>
              <w:rPr>
                <w:sz w:val="20"/>
                <w:szCs w:val="20"/>
                <w:color w:val="auto"/>
              </w:rPr>
            </w:pPr>
            <w:r>
              <w:rPr>
                <w:rFonts w:ascii="Arial" w:cs="Arial" w:eastAsia="Arial" w:hAnsi="Arial"/>
                <w:sz w:val="16"/>
                <w:szCs w:val="16"/>
                <w:b w:val="1"/>
                <w:bCs w:val="1"/>
                <w:color w:val="auto"/>
              </w:rPr>
              <w:t>2023</w:t>
            </w: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As of January</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Exchange</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200"/>
        </w:trPr>
        <w:tc>
          <w:tcPr>
            <w:tcW w:w="3840" w:type="dxa"/>
            <w:vAlign w:val="bottom"/>
            <w:vMerge w:val="continue"/>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1, 2023</w:t>
            </w: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Received</w:t>
            </w: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Paid</w:t>
            </w: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difference</w:t>
            </w:r>
          </w:p>
        </w:tc>
        <w:tc>
          <w:tcPr>
            <w:tcW w:w="1340" w:type="dxa"/>
            <w:vAlign w:val="bottom"/>
            <w:gridSpan w:val="3"/>
          </w:tcPr>
          <w:p>
            <w:pPr>
              <w:ind w:left="120"/>
              <w:spacing w:after="0"/>
              <w:rPr>
                <w:sz w:val="20"/>
                <w:szCs w:val="20"/>
                <w:color w:val="auto"/>
              </w:rPr>
            </w:pPr>
            <w:r>
              <w:rPr>
                <w:rFonts w:ascii="Arial" w:cs="Arial" w:eastAsia="Arial" w:hAnsi="Arial"/>
                <w:sz w:val="16"/>
                <w:szCs w:val="16"/>
                <w:b w:val="1"/>
                <w:bCs w:val="1"/>
                <w:color w:val="auto"/>
              </w:rPr>
              <w:t>Others</w:t>
            </w:r>
          </w:p>
        </w:tc>
        <w:tc>
          <w:tcPr>
            <w:tcW w:w="1140" w:type="dxa"/>
            <w:vAlign w:val="bottom"/>
          </w:tcPr>
          <w:p>
            <w:pPr>
              <w:spacing w:after="0"/>
              <w:rPr>
                <w:sz w:val="20"/>
                <w:szCs w:val="20"/>
                <w:color w:val="auto"/>
              </w:rPr>
            </w:pPr>
            <w:r>
              <w:rPr>
                <w:rFonts w:ascii="Arial" w:cs="Arial" w:eastAsia="Arial" w:hAnsi="Arial"/>
                <w:sz w:val="16"/>
                <w:szCs w:val="16"/>
                <w:b w:val="1"/>
                <w:bCs w:val="1"/>
                <w:color w:val="auto"/>
              </w:rPr>
              <w:t>31, 2023</w:t>
            </w:r>
          </w:p>
        </w:tc>
        <w:tc>
          <w:tcPr>
            <w:tcW w:w="0" w:type="dxa"/>
            <w:vAlign w:val="bottom"/>
          </w:tcPr>
          <w:p>
            <w:pPr>
              <w:spacing w:after="0"/>
              <w:rPr>
                <w:sz w:val="1"/>
                <w:szCs w:val="1"/>
                <w:color w:val="auto"/>
              </w:rPr>
            </w:pPr>
          </w:p>
        </w:tc>
      </w:tr>
      <w:tr>
        <w:trPr>
          <w:trHeight w:val="216"/>
        </w:trPr>
        <w:tc>
          <w:tcPr>
            <w:tcW w:w="3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11260"/>
          </w:cols>
          <w:pgMar w:left="320" w:top="124" w:right="319" w:bottom="1440" w:gutter="0" w:footer="0" w:header="0"/>
        </w:sectPr>
      </w:pPr>
    </w:p>
    <w:p>
      <w:pPr>
        <w:spacing w:after="0"/>
        <w:rPr>
          <w:sz w:val="20"/>
          <w:szCs w:val="20"/>
          <w:color w:val="auto"/>
        </w:rPr>
      </w:pPr>
      <w:r>
        <w:rPr>
          <w:rFonts w:ascii="Arial" w:cs="Arial" w:eastAsia="Arial" w:hAnsi="Arial"/>
          <w:sz w:val="16"/>
          <w:szCs w:val="16"/>
          <w:color w:val="auto"/>
        </w:rPr>
        <w:t>Subordinated bonds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4358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35860"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Subordinated bonds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43586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35860"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Subordinated bonds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180" w:type="dxa"/>
            <w:vAlign w:val="bottom"/>
            <w:gridSpan w:val="3"/>
          </w:tcPr>
          <w:p>
            <w:pPr>
              <w:jc w:val="right"/>
              <w:ind w:right="60"/>
              <w:spacing w:after="0"/>
              <w:rPr>
                <w:sz w:val="20"/>
                <w:szCs w:val="20"/>
                <w:color w:val="auto"/>
              </w:rPr>
            </w:pPr>
            <w:r>
              <w:rPr>
                <w:rFonts w:ascii="Arial" w:cs="Arial" w:eastAsia="Arial" w:hAnsi="Arial"/>
                <w:sz w:val="16"/>
                <w:szCs w:val="16"/>
                <w:color w:val="auto"/>
              </w:rPr>
              <w:t>5,738,414</w:t>
            </w: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284,944</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(222,900)</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(150,568)</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30,230</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5,680,120</w:t>
            </w:r>
          </w:p>
        </w:tc>
        <w:tc>
          <w:tcPr>
            <w:tcW w:w="0" w:type="dxa"/>
            <w:vAlign w:val="bottom"/>
          </w:tcPr>
          <w:p>
            <w:pPr>
              <w:spacing w:after="0"/>
              <w:rPr>
                <w:sz w:val="1"/>
                <w:szCs w:val="1"/>
                <w:color w:val="auto"/>
              </w:rPr>
            </w:pPr>
          </w:p>
        </w:tc>
      </w:tr>
      <w:tr>
        <w:trPr>
          <w:trHeight w:val="200"/>
        </w:trPr>
        <w:tc>
          <w:tcPr>
            <w:tcW w:w="1180" w:type="dxa"/>
            <w:vAlign w:val="bottom"/>
            <w:gridSpan w:val="3"/>
          </w:tcPr>
          <w:p>
            <w:pPr>
              <w:jc w:val="right"/>
              <w:ind w:right="60"/>
              <w:spacing w:after="0"/>
              <w:rPr>
                <w:sz w:val="20"/>
                <w:szCs w:val="20"/>
                <w:color w:val="auto"/>
              </w:rPr>
            </w:pPr>
            <w:r>
              <w:rPr>
                <w:rFonts w:ascii="Arial" w:cs="Arial" w:eastAsia="Arial" w:hAnsi="Arial"/>
                <w:sz w:val="16"/>
                <w:szCs w:val="16"/>
                <w:color w:val="auto"/>
              </w:rPr>
              <w:t>578,074</w:t>
            </w: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(182,960)</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(8,627)</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126,092</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512,579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6,316,488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284,944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(405,860)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(159,195)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156,322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6,192,699</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b w:val="1"/>
                <w:bCs w:val="1"/>
                <w:color w:val="auto"/>
              </w:rPr>
              <w:t>Changes that generate cash</w:t>
            </w:r>
          </w:p>
        </w:tc>
        <w:tc>
          <w:tcPr>
            <w:tcW w:w="2520" w:type="dxa"/>
            <w:vAlign w:val="bottom"/>
            <w:gridSpan w:val="6"/>
          </w:tcPr>
          <w:p>
            <w:pPr>
              <w:ind w:left="60"/>
              <w:spacing w:after="0"/>
              <w:rPr>
                <w:sz w:val="20"/>
                <w:szCs w:val="20"/>
                <w:color w:val="auto"/>
              </w:rPr>
            </w:pPr>
            <w:r>
              <w:rPr>
                <w:rFonts w:ascii="Arial" w:cs="Arial" w:eastAsia="Arial" w:hAnsi="Arial"/>
                <w:sz w:val="16"/>
                <w:szCs w:val="16"/>
                <w:b w:val="1"/>
                <w:bCs w:val="1"/>
                <w:color w:val="auto"/>
              </w:rPr>
              <w:t>Changes that do not generate</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flows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cash flows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As of January</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Exchange</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200"/>
        </w:trPr>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1, 2022</w:t>
            </w:r>
          </w:p>
        </w:tc>
        <w:tc>
          <w:tcPr>
            <w:tcW w:w="6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Received</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Paid</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difference</w:t>
            </w: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Others</w:t>
            </w: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31, 2022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180" w:type="dxa"/>
            <w:vAlign w:val="bottom"/>
            <w:gridSpan w:val="3"/>
          </w:tcPr>
          <w:p>
            <w:pPr>
              <w:jc w:val="right"/>
              <w:ind w:right="60"/>
              <w:spacing w:after="0"/>
              <w:rPr>
                <w:sz w:val="20"/>
                <w:szCs w:val="20"/>
                <w:color w:val="auto"/>
              </w:rPr>
            </w:pPr>
            <w:r>
              <w:rPr>
                <w:rFonts w:ascii="Arial" w:cs="Arial" w:eastAsia="Arial" w:hAnsi="Arial"/>
                <w:sz w:val="16"/>
                <w:szCs w:val="16"/>
                <w:color w:val="auto"/>
              </w:rPr>
              <w:t>6,061,301</w:t>
            </w: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(94,700)</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(253,293)</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25,106</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5,738,414</w:t>
            </w:r>
          </w:p>
        </w:tc>
        <w:tc>
          <w:tcPr>
            <w:tcW w:w="0" w:type="dxa"/>
            <w:vAlign w:val="bottom"/>
          </w:tcPr>
          <w:p>
            <w:pPr>
              <w:spacing w:after="0"/>
              <w:rPr>
                <w:sz w:val="1"/>
                <w:szCs w:val="1"/>
                <w:color w:val="auto"/>
              </w:rPr>
            </w:pPr>
          </w:p>
        </w:tc>
      </w:tr>
      <w:tr>
        <w:trPr>
          <w:trHeight w:val="200"/>
        </w:trPr>
        <w:tc>
          <w:tcPr>
            <w:tcW w:w="1180" w:type="dxa"/>
            <w:vAlign w:val="bottom"/>
            <w:gridSpan w:val="3"/>
          </w:tcPr>
          <w:p>
            <w:pPr>
              <w:jc w:val="right"/>
              <w:ind w:right="60"/>
              <w:spacing w:after="0"/>
              <w:rPr>
                <w:sz w:val="20"/>
                <w:szCs w:val="20"/>
                <w:color w:val="auto"/>
              </w:rPr>
            </w:pPr>
            <w:r>
              <w:rPr>
                <w:rFonts w:ascii="Arial" w:cs="Arial" w:eastAsia="Arial" w:hAnsi="Arial"/>
                <w:sz w:val="16"/>
                <w:szCs w:val="16"/>
                <w:color w:val="auto"/>
              </w:rPr>
              <w:t>655,294</w:t>
            </w: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(181,583)</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(14,782)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119,145</w:t>
            </w:r>
          </w:p>
        </w:tc>
        <w:tc>
          <w:tcPr>
            <w:tcW w:w="10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578,074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6,716,595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(276,283)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(268,075)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144,251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6,316,488</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b w:val="1"/>
                <w:bCs w:val="1"/>
                <w:color w:val="auto"/>
              </w:rPr>
              <w:t>Changes that generate cash</w:t>
            </w:r>
          </w:p>
        </w:tc>
        <w:tc>
          <w:tcPr>
            <w:tcW w:w="2520" w:type="dxa"/>
            <w:vAlign w:val="bottom"/>
            <w:gridSpan w:val="6"/>
          </w:tcPr>
          <w:p>
            <w:pPr>
              <w:ind w:left="60"/>
              <w:spacing w:after="0"/>
              <w:rPr>
                <w:sz w:val="20"/>
                <w:szCs w:val="20"/>
                <w:color w:val="auto"/>
              </w:rPr>
            </w:pPr>
            <w:r>
              <w:rPr>
                <w:rFonts w:ascii="Arial" w:cs="Arial" w:eastAsia="Arial" w:hAnsi="Arial"/>
                <w:sz w:val="16"/>
                <w:szCs w:val="16"/>
                <w:b w:val="1"/>
                <w:bCs w:val="1"/>
                <w:color w:val="auto"/>
              </w:rPr>
              <w:t>Changes that do not generate</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flows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cash flows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As of January</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Exchange</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200"/>
        </w:trPr>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1, 2021</w:t>
            </w:r>
          </w:p>
        </w:tc>
        <w:tc>
          <w:tcPr>
            <w:tcW w:w="6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Received</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Paid</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difference</w:t>
            </w: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Others</w:t>
            </w: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31, 2021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180" w:type="dxa"/>
            <w:vAlign w:val="bottom"/>
            <w:gridSpan w:val="3"/>
          </w:tcPr>
          <w:p>
            <w:pPr>
              <w:jc w:val="right"/>
              <w:ind w:right="60"/>
              <w:spacing w:after="0"/>
              <w:rPr>
                <w:sz w:val="20"/>
                <w:szCs w:val="20"/>
                <w:color w:val="auto"/>
              </w:rPr>
            </w:pPr>
            <w:r>
              <w:rPr>
                <w:rFonts w:ascii="Arial" w:cs="Arial" w:eastAsia="Arial" w:hAnsi="Arial"/>
                <w:sz w:val="16"/>
                <w:szCs w:val="16"/>
                <w:color w:val="auto"/>
              </w:rPr>
              <w:t>5,381,323</w:t>
            </w: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2,018,216</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(1,835,056)</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475,132</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21,686</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6,061,301</w:t>
            </w:r>
          </w:p>
        </w:tc>
        <w:tc>
          <w:tcPr>
            <w:tcW w:w="0" w:type="dxa"/>
            <w:vAlign w:val="bottom"/>
          </w:tcPr>
          <w:p>
            <w:pPr>
              <w:spacing w:after="0"/>
              <w:rPr>
                <w:sz w:val="1"/>
                <w:szCs w:val="1"/>
                <w:color w:val="auto"/>
              </w:rPr>
            </w:pPr>
          </w:p>
        </w:tc>
      </w:tr>
      <w:tr>
        <w:trPr>
          <w:trHeight w:val="200"/>
        </w:trPr>
        <w:tc>
          <w:tcPr>
            <w:tcW w:w="1180" w:type="dxa"/>
            <w:vAlign w:val="bottom"/>
            <w:gridSpan w:val="3"/>
          </w:tcPr>
          <w:p>
            <w:pPr>
              <w:jc w:val="right"/>
              <w:ind w:right="60"/>
              <w:spacing w:after="0"/>
              <w:rPr>
                <w:sz w:val="20"/>
                <w:szCs w:val="20"/>
                <w:color w:val="auto"/>
              </w:rPr>
            </w:pPr>
            <w:r>
              <w:rPr>
                <w:rFonts w:ascii="Arial" w:cs="Arial" w:eastAsia="Arial" w:hAnsi="Arial"/>
                <w:sz w:val="16"/>
                <w:szCs w:val="16"/>
                <w:color w:val="auto"/>
              </w:rPr>
              <w:t>750,578</w:t>
            </w: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(182,515)</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36,866</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50,365</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655,294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6,131,901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2,018,216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(2,017,571)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511,998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72,051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Borders>
              <w:top w:val="single" w:sz="8" w:color="auto"/>
              <w:bottom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6,716,595</w:t>
            </w:r>
          </w:p>
        </w:tc>
        <w:tc>
          <w:tcPr>
            <w:tcW w:w="0" w:type="dxa"/>
            <w:vAlign w:val="bottom"/>
          </w:tcPr>
          <w:p>
            <w:pPr>
              <w:spacing w:after="0"/>
              <w:rPr>
                <w:sz w:val="1"/>
                <w:szCs w:val="1"/>
                <w:color w:val="auto"/>
              </w:rPr>
            </w:pPr>
          </w:p>
        </w:tc>
      </w:tr>
    </w:tbl>
    <w:p>
      <w:pPr>
        <w:spacing w:after="0" w:line="166" w:lineRule="exact"/>
        <w:rPr>
          <w:sz w:val="20"/>
          <w:szCs w:val="20"/>
          <w:color w:val="auto"/>
        </w:rPr>
      </w:pPr>
    </w:p>
    <w:p>
      <w:pPr>
        <w:sectPr>
          <w:pgSz w:w="11900" w:h="16838" w:orient="portrait"/>
          <w:cols w:equalWidth="0" w:num="2">
            <w:col w:w="3240" w:space="720"/>
            <w:col w:w="7300"/>
          </w:cols>
          <w:pgMar w:left="320" w:top="124"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type w:val="continuous"/>
        </w:sectPr>
      </w:pPr>
    </w:p>
    <w:bookmarkStart w:id="23" w:name="page24"/>
    <w:bookmarkEnd w:id="23"/>
    <w:p>
      <w:pPr>
        <w:ind w:left="2"/>
        <w:spacing w:after="0"/>
        <w:rPr>
          <w:sz w:val="20"/>
          <w:szCs w:val="20"/>
          <w:color w:val="auto"/>
        </w:rPr>
      </w:pPr>
      <w:r>
        <w:rPr>
          <w:rFonts w:ascii="Arial" w:cs="Arial" w:eastAsia="Arial" w:hAnsi="Arial"/>
          <w:sz w:val="16"/>
          <w:szCs w:val="16"/>
          <w:b w:val="1"/>
          <w:bCs w:val="1"/>
          <w:color w:val="auto"/>
        </w:rPr>
        <w:t>CREDICORP LTD. AND SUBSIDIARIES</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6"/>
          <w:szCs w:val="16"/>
          <w:color w:val="auto"/>
        </w:rPr>
        <w:t>NOTES TO THE CONSOLIDATED FINANCIAL STATEMENTS</w:t>
      </w:r>
    </w:p>
    <w:p>
      <w:pPr>
        <w:spacing w:after="0" w:line="15" w:lineRule="exact"/>
        <w:rPr>
          <w:sz w:val="20"/>
          <w:szCs w:val="20"/>
          <w:color w:val="auto"/>
        </w:rPr>
      </w:pPr>
    </w:p>
    <w:p>
      <w:pPr>
        <w:ind w:left="2"/>
        <w:spacing w:after="0"/>
        <w:rPr>
          <w:sz w:val="20"/>
          <w:szCs w:val="20"/>
          <w:color w:val="auto"/>
        </w:rPr>
      </w:pPr>
      <w:r>
        <w:rPr>
          <w:rFonts w:ascii="Arial" w:cs="Arial" w:eastAsia="Arial" w:hAnsi="Arial"/>
          <w:sz w:val="16"/>
          <w:szCs w:val="16"/>
          <w:color w:val="auto"/>
        </w:rPr>
        <w:t>AS OF DECEMBER 31, 2023 AND 2022 (RESTATED)</w:t>
      </w:r>
    </w:p>
    <w:p>
      <w:pPr>
        <w:spacing w:after="0" w:line="167" w:lineRule="exact"/>
        <w:rPr>
          <w:sz w:val="20"/>
          <w:szCs w:val="20"/>
          <w:color w:val="auto"/>
        </w:rPr>
      </w:pPr>
    </w:p>
    <w:p>
      <w:pPr>
        <w:ind w:left="582" w:hanging="582"/>
        <w:spacing w:after="0"/>
        <w:tabs>
          <w:tab w:leader="none" w:pos="58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OPERATIONS</w:t>
      </w:r>
    </w:p>
    <w:p>
      <w:pPr>
        <w:spacing w:after="0" w:line="182" w:lineRule="exact"/>
        <w:rPr>
          <w:rFonts w:ascii="Arial" w:cs="Arial" w:eastAsia="Arial" w:hAnsi="Arial"/>
          <w:sz w:val="16"/>
          <w:szCs w:val="16"/>
          <w:b w:val="1"/>
          <w:bCs w:val="1"/>
          <w:color w:val="auto"/>
        </w:rPr>
      </w:pPr>
    </w:p>
    <w:p>
      <w:pPr>
        <w:ind w:left="582"/>
        <w:spacing w:after="0" w:line="252" w:lineRule="auto"/>
        <w:rPr>
          <w:rFonts w:ascii="Arial" w:cs="Arial" w:eastAsia="Arial" w:hAnsi="Arial"/>
          <w:sz w:val="16"/>
          <w:szCs w:val="16"/>
          <w:b w:val="1"/>
          <w:bCs w:val="1"/>
          <w:color w:val="auto"/>
        </w:rPr>
      </w:pPr>
      <w:r>
        <w:rPr>
          <w:rFonts w:ascii="Arial" w:cs="Arial" w:eastAsia="Arial" w:hAnsi="Arial"/>
          <w:sz w:val="16"/>
          <w:szCs w:val="16"/>
          <w:color w:val="auto"/>
        </w:rPr>
        <w:t>Credicorp Ltd. (hereinafter “Credicorp”) is a limited liability company incorporated in Bermuda in 1995 to act as a holding company and according to Bermuda’s economic substance regulation, Credicorp Ltd. as an independent legal entity, is considered a “Pure Equity Holding Entity” (PEHE). Credicorp’s activity is to maintain equity interests and receive passive income such as dividends, capital gains and other income from investments in securities.</w:t>
      </w:r>
    </w:p>
    <w:p>
      <w:pPr>
        <w:spacing w:after="0" w:line="143" w:lineRule="exact"/>
        <w:rPr>
          <w:rFonts w:ascii="Arial" w:cs="Arial" w:eastAsia="Arial" w:hAnsi="Arial"/>
          <w:sz w:val="16"/>
          <w:szCs w:val="16"/>
          <w:b w:val="1"/>
          <w:bCs w:val="1"/>
          <w:color w:val="auto"/>
        </w:rPr>
      </w:pPr>
    </w:p>
    <w:p>
      <w:pPr>
        <w:ind w:left="582"/>
        <w:spacing w:after="0" w:line="245" w:lineRule="auto"/>
        <w:rPr>
          <w:rFonts w:ascii="Arial" w:cs="Arial" w:eastAsia="Arial" w:hAnsi="Arial"/>
          <w:sz w:val="16"/>
          <w:szCs w:val="16"/>
          <w:b w:val="1"/>
          <w:bCs w:val="1"/>
          <w:color w:val="auto"/>
        </w:rPr>
      </w:pPr>
      <w:r>
        <w:rPr>
          <w:rFonts w:ascii="Arial" w:cs="Arial" w:eastAsia="Arial" w:hAnsi="Arial"/>
          <w:sz w:val="16"/>
          <w:szCs w:val="16"/>
          <w:color w:val="auto"/>
        </w:rPr>
        <w:t>In order to keep Credicorp’s structure and organization fully aligned with the new legislation on economic substance approved by the Government of Bermuda on January 11, 2019, as of October 29, 2020, the decisions of the Credicorp Board of Directors will be limited to issues related to Credicorp’s strategy, objectives and goals, main action plans and policies, risk control and management, annual budgets, business plans and control of their implementation, supervision of the main expenses, investments, acquisitions and disposals, among other “passive” decisions related to Credicorp. The authority to make decisions applicable to Credicorp’s subsidiaries, such as the adoption of relevant strategic or management decisions, the assumption of expenses for the benefit of its affiliates, the coordination of group activities, and the granting of credit facilities in favor of its affiliates, it has been transferred to Grupo Crédito SA, a subsidiary of Credicorp.</w:t>
      </w:r>
    </w:p>
    <w:p>
      <w:pPr>
        <w:spacing w:after="0" w:line="151" w:lineRule="exact"/>
        <w:rPr>
          <w:rFonts w:ascii="Arial" w:cs="Arial" w:eastAsia="Arial" w:hAnsi="Arial"/>
          <w:sz w:val="16"/>
          <w:szCs w:val="16"/>
          <w:b w:val="1"/>
          <w:bCs w:val="1"/>
          <w:color w:val="auto"/>
        </w:rPr>
      </w:pPr>
    </w:p>
    <w:p>
      <w:pPr>
        <w:ind w:left="582" w:right="14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Credicorp, through its banking and non-banking subsidiaries and its associate Pacífico S.A. Entidad Prestadora de Salud (hereinafter Pacífico EPS), offers a wide range of financial, insurance and health services and products, mainly throughout Peru and in other countries (see Note 3 (c)). Its main subsidiary is Banco de Crédito del Perú (hereinafter “BCP” or the “Bank”), a multiple bank incorporated in Peru.</w:t>
      </w:r>
    </w:p>
    <w:p>
      <w:pPr>
        <w:spacing w:after="0" w:line="137" w:lineRule="exact"/>
        <w:rPr>
          <w:rFonts w:ascii="Arial" w:cs="Arial" w:eastAsia="Arial" w:hAnsi="Arial"/>
          <w:sz w:val="16"/>
          <w:szCs w:val="16"/>
          <w:b w:val="1"/>
          <w:bCs w:val="1"/>
          <w:color w:val="auto"/>
        </w:rPr>
      </w:pPr>
    </w:p>
    <w:p>
      <w:pPr>
        <w:ind w:left="582" w:right="24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Credicorp’s legal address is Clarendon House 2 Church Street Hamilton, Bermuda; likewise, the main offices from where Credicorp’s businesses are managed are located at Calle Centenario N ° 156, La Molina, Lima, Perú.</w:t>
      </w:r>
    </w:p>
    <w:p>
      <w:pPr>
        <w:spacing w:after="0" w:line="120" w:lineRule="exact"/>
        <w:rPr>
          <w:rFonts w:ascii="Arial" w:cs="Arial" w:eastAsia="Arial" w:hAnsi="Arial"/>
          <w:sz w:val="16"/>
          <w:szCs w:val="16"/>
          <w:b w:val="1"/>
          <w:bCs w:val="1"/>
          <w:color w:val="auto"/>
        </w:rPr>
      </w:pPr>
    </w:p>
    <w:p>
      <w:pPr>
        <w:ind w:left="582" w:right="20"/>
        <w:spacing w:after="0" w:line="247" w:lineRule="auto"/>
        <w:rPr>
          <w:rFonts w:ascii="Arial" w:cs="Arial" w:eastAsia="Arial" w:hAnsi="Arial"/>
          <w:sz w:val="16"/>
          <w:szCs w:val="16"/>
          <w:b w:val="1"/>
          <w:bCs w:val="1"/>
          <w:color w:val="auto"/>
        </w:rPr>
      </w:pPr>
      <w:r>
        <w:rPr>
          <w:rFonts w:ascii="Arial" w:cs="Arial" w:eastAsia="Arial" w:hAnsi="Arial"/>
          <w:sz w:val="16"/>
          <w:szCs w:val="16"/>
          <w:color w:val="auto"/>
        </w:rPr>
        <w:t>The consolidated financial statements presented correspond to the financial statement of Credicorp and subsidiaries (hereinafter “the Group”). The consolidated financial statements as of December 31, 2022, and for the year then ended were approved by the Board of Directors on February 23, 2023, and presented to the Annual General Meeting of Shareholders on March 27, 2023. The consolidated financial statements as of December 31, 2023, and for the year ended on that date were approved and authorized for issuance by the Board of Directors and Management on February 29, 2024 and will be presented for final approval in the Annual General Meeting of Shareholders, which will be held within the deadlines established by law; in Management’s opinion, these will be approved without modifications.</w:t>
      </w:r>
    </w:p>
    <w:p>
      <w:pPr>
        <w:spacing w:after="0" w:line="146" w:lineRule="exact"/>
        <w:rPr>
          <w:rFonts w:ascii="Arial" w:cs="Arial" w:eastAsia="Arial" w:hAnsi="Arial"/>
          <w:sz w:val="16"/>
          <w:szCs w:val="16"/>
          <w:b w:val="1"/>
          <w:bCs w:val="1"/>
          <w:color w:val="auto"/>
        </w:rPr>
      </w:pPr>
    </w:p>
    <w:p>
      <w:pPr>
        <w:ind w:left="582" w:right="8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Due to the adoption of IFRS 17 Insurance Contracts, the Group has restated its consolidated financial statements as of December 31, 2022 and for the year ended on that date, which have been approved on February 29, 2024.</w:t>
      </w:r>
    </w:p>
    <w:p>
      <w:pPr>
        <w:spacing w:after="0" w:line="120"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Credicorp is listed on the Lima and New York Stock Exchanges.</w:t>
      </w:r>
    </w:p>
    <w:p>
      <w:pPr>
        <w:spacing w:after="0" w:line="341"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24" w:name="page25"/>
    <w:bookmarkEnd w:id="24"/>
    <w:p>
      <w:pPr>
        <w:ind w:left="582" w:hanging="582"/>
        <w:spacing w:after="0"/>
        <w:tabs>
          <w:tab w:leader="none" w:pos="582"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TRANSACTIONS</w:t>
      </w:r>
    </w:p>
    <w:p>
      <w:pPr>
        <w:spacing w:after="0" w:line="182" w:lineRule="exact"/>
        <w:rPr>
          <w:rFonts w:ascii="Arial" w:cs="Arial" w:eastAsia="Arial" w:hAnsi="Arial"/>
          <w:sz w:val="16"/>
          <w:szCs w:val="16"/>
          <w:b w:val="1"/>
          <w:bCs w:val="1"/>
          <w:color w:val="auto"/>
        </w:rPr>
      </w:pPr>
    </w:p>
    <w:p>
      <w:pPr>
        <w:ind w:left="882" w:hanging="296"/>
        <w:spacing w:after="0"/>
        <w:tabs>
          <w:tab w:leader="none" w:pos="882" w:val="left"/>
        </w:tabs>
        <w:numPr>
          <w:ilvl w:val="1"/>
          <w:numId w:val="13"/>
        </w:numPr>
        <w:rPr>
          <w:rFonts w:ascii="Arial" w:cs="Arial" w:eastAsia="Arial" w:hAnsi="Arial"/>
          <w:sz w:val="16"/>
          <w:szCs w:val="16"/>
          <w:color w:val="auto"/>
        </w:rPr>
      </w:pPr>
      <w:r>
        <w:rPr>
          <w:rFonts w:ascii="Arial" w:cs="Arial" w:eastAsia="Arial" w:hAnsi="Arial"/>
          <w:sz w:val="16"/>
          <w:szCs w:val="16"/>
          <w:color w:val="auto"/>
        </w:rPr>
        <w:t>Main acquisitions, incorporations and mergers –</w:t>
      </w:r>
    </w:p>
    <w:p>
      <w:pPr>
        <w:spacing w:after="0" w:line="182" w:lineRule="exact"/>
        <w:rPr>
          <w:rFonts w:ascii="Arial" w:cs="Arial" w:eastAsia="Arial" w:hAnsi="Arial"/>
          <w:sz w:val="16"/>
          <w:szCs w:val="16"/>
          <w:color w:val="auto"/>
        </w:rPr>
      </w:pPr>
    </w:p>
    <w:p>
      <w:pPr>
        <w:ind w:left="882"/>
        <w:spacing w:after="0"/>
        <w:rPr>
          <w:rFonts w:ascii="Arial" w:cs="Arial" w:eastAsia="Arial" w:hAnsi="Arial"/>
          <w:sz w:val="16"/>
          <w:szCs w:val="16"/>
          <w:color w:val="auto"/>
        </w:rPr>
      </w:pPr>
      <w:r>
        <w:rPr>
          <w:rFonts w:ascii="Arial" w:cs="Arial" w:eastAsia="Arial" w:hAnsi="Arial"/>
          <w:sz w:val="16"/>
          <w:szCs w:val="16"/>
          <w:color w:val="auto"/>
        </w:rPr>
        <w:t>In 2023 and 2022, the Group has not carried out significant transaction of acquisitions, incorporations, or mergers of companies.</w:t>
      </w:r>
    </w:p>
    <w:p>
      <w:pPr>
        <w:spacing w:after="0" w:line="182" w:lineRule="exact"/>
        <w:rPr>
          <w:rFonts w:ascii="Arial" w:cs="Arial" w:eastAsia="Arial" w:hAnsi="Arial"/>
          <w:sz w:val="16"/>
          <w:szCs w:val="16"/>
          <w:color w:val="auto"/>
        </w:rPr>
      </w:pPr>
    </w:p>
    <w:p>
      <w:pPr>
        <w:ind w:left="882" w:hanging="296"/>
        <w:spacing w:after="0"/>
        <w:tabs>
          <w:tab w:leader="none" w:pos="882" w:val="left"/>
        </w:tabs>
        <w:numPr>
          <w:ilvl w:val="1"/>
          <w:numId w:val="13"/>
        </w:numPr>
        <w:rPr>
          <w:rFonts w:ascii="Arial" w:cs="Arial" w:eastAsia="Arial" w:hAnsi="Arial"/>
          <w:sz w:val="16"/>
          <w:szCs w:val="16"/>
          <w:color w:val="auto"/>
        </w:rPr>
      </w:pPr>
      <w:r>
        <w:rPr>
          <w:rFonts w:ascii="Arial" w:cs="Arial" w:eastAsia="Arial" w:hAnsi="Arial"/>
          <w:sz w:val="16"/>
          <w:szCs w:val="16"/>
          <w:color w:val="auto"/>
        </w:rPr>
        <w:t>Current situation –</w:t>
      </w:r>
    </w:p>
    <w:p>
      <w:pPr>
        <w:spacing w:after="0" w:line="182" w:lineRule="exact"/>
        <w:rPr>
          <w:rFonts w:ascii="Arial" w:cs="Arial" w:eastAsia="Arial" w:hAnsi="Arial"/>
          <w:sz w:val="16"/>
          <w:szCs w:val="16"/>
          <w:color w:val="auto"/>
        </w:rPr>
      </w:pPr>
    </w:p>
    <w:p>
      <w:pPr>
        <w:ind w:left="882" w:right="260"/>
        <w:spacing w:after="0" w:line="280" w:lineRule="auto"/>
        <w:rPr>
          <w:rFonts w:ascii="Arial" w:cs="Arial" w:eastAsia="Arial" w:hAnsi="Arial"/>
          <w:sz w:val="16"/>
          <w:szCs w:val="16"/>
          <w:color w:val="auto"/>
        </w:rPr>
      </w:pPr>
      <w:r>
        <w:rPr>
          <w:rFonts w:ascii="Arial" w:cs="Arial" w:eastAsia="Arial" w:hAnsi="Arial"/>
          <w:sz w:val="16"/>
          <w:szCs w:val="16"/>
          <w:color w:val="auto"/>
        </w:rPr>
        <w:t>Between the months of December 2022 and December 2023, Peru was affected by political and social events, as well as natural events that affected different regions, as indicated below:</w:t>
      </w:r>
    </w:p>
    <w:p>
      <w:pPr>
        <w:spacing w:after="0" w:line="120" w:lineRule="exact"/>
        <w:rPr>
          <w:rFonts w:ascii="Arial" w:cs="Arial" w:eastAsia="Arial" w:hAnsi="Arial"/>
          <w:sz w:val="16"/>
          <w:szCs w:val="16"/>
          <w:color w:val="auto"/>
        </w:rPr>
      </w:pPr>
    </w:p>
    <w:p>
      <w:pPr>
        <w:ind w:left="882"/>
        <w:spacing w:after="0" w:line="259" w:lineRule="auto"/>
        <w:rPr>
          <w:rFonts w:ascii="Arial" w:cs="Arial" w:eastAsia="Arial" w:hAnsi="Arial"/>
          <w:sz w:val="16"/>
          <w:szCs w:val="16"/>
          <w:color w:val="auto"/>
        </w:rPr>
      </w:pPr>
      <w:r>
        <w:rPr>
          <w:rFonts w:ascii="Arial" w:cs="Arial" w:eastAsia="Arial" w:hAnsi="Arial"/>
          <w:sz w:val="16"/>
          <w:szCs w:val="16"/>
          <w:color w:val="auto"/>
        </w:rPr>
        <w:t>In December 2022, in response to various political events that occurred in Peru, a series of riots and social protests occurred in different regions of the country, which resulted in a decrease in commercial activity in said regions and, therefore, the liquidity restriction in certain people and companies.</w:t>
      </w:r>
    </w:p>
    <w:p>
      <w:pPr>
        <w:spacing w:after="0" w:line="137" w:lineRule="exact"/>
        <w:rPr>
          <w:rFonts w:ascii="Arial" w:cs="Arial" w:eastAsia="Arial" w:hAnsi="Arial"/>
          <w:sz w:val="16"/>
          <w:szCs w:val="16"/>
          <w:color w:val="auto"/>
        </w:rPr>
      </w:pPr>
    </w:p>
    <w:p>
      <w:pPr>
        <w:ind w:left="882" w:right="420"/>
        <w:spacing w:after="0" w:line="280" w:lineRule="auto"/>
        <w:rPr>
          <w:rFonts w:ascii="Arial" w:cs="Arial" w:eastAsia="Arial" w:hAnsi="Arial"/>
          <w:sz w:val="16"/>
          <w:szCs w:val="16"/>
          <w:color w:val="auto"/>
        </w:rPr>
      </w:pPr>
      <w:r>
        <w:rPr>
          <w:rFonts w:ascii="Arial" w:cs="Arial" w:eastAsia="Arial" w:hAnsi="Arial"/>
          <w:sz w:val="16"/>
          <w:szCs w:val="16"/>
          <w:color w:val="auto"/>
        </w:rPr>
        <w:t>On June 8, 2023, the Government declared a State of Emergency for 60 days in certain areas, due to intense rainfall and possible El Niño Phenomenon, a measure that has been extended to date.</w:t>
      </w:r>
    </w:p>
    <w:p>
      <w:pPr>
        <w:spacing w:after="0" w:line="120" w:lineRule="exact"/>
        <w:rPr>
          <w:rFonts w:ascii="Arial" w:cs="Arial" w:eastAsia="Arial" w:hAnsi="Arial"/>
          <w:sz w:val="16"/>
          <w:szCs w:val="16"/>
          <w:color w:val="auto"/>
        </w:rPr>
      </w:pPr>
    </w:p>
    <w:p>
      <w:pPr>
        <w:jc w:val="both"/>
        <w:ind w:left="882" w:right="120"/>
        <w:spacing w:after="0" w:line="259" w:lineRule="auto"/>
        <w:rPr>
          <w:rFonts w:ascii="Arial" w:cs="Arial" w:eastAsia="Arial" w:hAnsi="Arial"/>
          <w:sz w:val="16"/>
          <w:szCs w:val="16"/>
          <w:color w:val="auto"/>
        </w:rPr>
      </w:pPr>
      <w:r>
        <w:rPr>
          <w:rFonts w:ascii="Arial" w:cs="Arial" w:eastAsia="Arial" w:hAnsi="Arial"/>
          <w:sz w:val="16"/>
          <w:szCs w:val="16"/>
          <w:color w:val="auto"/>
        </w:rPr>
        <w:t>As of December 31, 2023, the Bank maintains a balance of rescheduled loans for a total of S/692.6 million of retail loans (S/116.9 million as of December 31, 2022). In the opinion of Management, this situation has not affected the Group’s operations, nor has it generated any significant impact on the financial statements presented as of December 31, 2023 and 2022.</w:t>
      </w:r>
    </w:p>
    <w:p>
      <w:pPr>
        <w:spacing w:after="0" w:line="296"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2"/>
          </w:cols>
          <w:pgMar w:left="318" w:top="306" w:right="359" w:bottom="1440" w:gutter="0" w:footer="0" w:header="0"/>
        </w:sectPr>
      </w:pPr>
    </w:p>
    <w:bookmarkStart w:id="25" w:name="page26"/>
    <w:bookmarkEnd w:id="25"/>
    <w:p>
      <w:pPr>
        <w:ind w:left="582" w:hanging="582"/>
        <w:spacing w:after="0"/>
        <w:tabs>
          <w:tab w:leader="none" w:pos="582"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182"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The significant accounting policies applied in the preparation of Credicorp’s consolidated financial statements are set out below:</w:t>
      </w:r>
    </w:p>
    <w:p>
      <w:pPr>
        <w:spacing w:after="0" w:line="182" w:lineRule="exact"/>
        <w:rPr>
          <w:rFonts w:ascii="Arial" w:cs="Arial" w:eastAsia="Arial" w:hAnsi="Arial"/>
          <w:sz w:val="16"/>
          <w:szCs w:val="16"/>
          <w:b w:val="1"/>
          <w:bCs w:val="1"/>
          <w:color w:val="auto"/>
        </w:rPr>
      </w:pPr>
    </w:p>
    <w:p>
      <w:pPr>
        <w:ind w:left="882" w:hanging="296"/>
        <w:spacing w:after="0"/>
        <w:tabs>
          <w:tab w:leader="none" w:pos="882" w:val="left"/>
        </w:tabs>
        <w:numPr>
          <w:ilvl w:val="1"/>
          <w:numId w:val="14"/>
        </w:numPr>
        <w:rPr>
          <w:rFonts w:ascii="Arial" w:cs="Arial" w:eastAsia="Arial" w:hAnsi="Arial"/>
          <w:sz w:val="16"/>
          <w:szCs w:val="16"/>
          <w:color w:val="auto"/>
        </w:rPr>
      </w:pPr>
      <w:r>
        <w:rPr>
          <w:rFonts w:ascii="Arial" w:cs="Arial" w:eastAsia="Arial" w:hAnsi="Arial"/>
          <w:sz w:val="16"/>
          <w:szCs w:val="16"/>
          <w:color w:val="auto"/>
        </w:rPr>
        <w:t>Basis of presentation, use of estimates and changes in accounting policies -</w:t>
      </w:r>
    </w:p>
    <w:p>
      <w:pPr>
        <w:spacing w:after="0" w:line="182" w:lineRule="exact"/>
        <w:rPr>
          <w:rFonts w:ascii="Arial" w:cs="Arial" w:eastAsia="Arial" w:hAnsi="Arial"/>
          <w:sz w:val="16"/>
          <w:szCs w:val="16"/>
          <w:color w:val="auto"/>
        </w:rPr>
      </w:pPr>
    </w:p>
    <w:p>
      <w:pPr>
        <w:ind w:left="882" w:right="460"/>
        <w:spacing w:after="0" w:line="280" w:lineRule="auto"/>
        <w:rPr>
          <w:rFonts w:ascii="Arial" w:cs="Arial" w:eastAsia="Arial" w:hAnsi="Arial"/>
          <w:sz w:val="16"/>
          <w:szCs w:val="16"/>
          <w:color w:val="auto"/>
        </w:rPr>
      </w:pPr>
      <w:r>
        <w:rPr>
          <w:rFonts w:ascii="Arial" w:cs="Arial" w:eastAsia="Arial" w:hAnsi="Arial"/>
          <w:sz w:val="16"/>
          <w:szCs w:val="16"/>
          <w:color w:val="auto"/>
        </w:rPr>
        <w:t>The accompanying consolidated financial statements have been prepared in accordance with International Financial Reporting Standards (IFRS) as issued by the International Accounting Standards Board (IASB).</w:t>
      </w:r>
    </w:p>
    <w:p>
      <w:pPr>
        <w:spacing w:after="0" w:line="120" w:lineRule="exact"/>
        <w:rPr>
          <w:rFonts w:ascii="Arial" w:cs="Arial" w:eastAsia="Arial" w:hAnsi="Arial"/>
          <w:sz w:val="16"/>
          <w:szCs w:val="16"/>
          <w:color w:val="auto"/>
        </w:rPr>
      </w:pPr>
    </w:p>
    <w:p>
      <w:pPr>
        <w:ind w:left="882"/>
        <w:spacing w:after="0" w:line="252" w:lineRule="auto"/>
        <w:rPr>
          <w:rFonts w:ascii="Arial" w:cs="Arial" w:eastAsia="Arial" w:hAnsi="Arial"/>
          <w:sz w:val="16"/>
          <w:szCs w:val="16"/>
          <w:color w:val="auto"/>
        </w:rPr>
      </w:pPr>
      <w:r>
        <w:rPr>
          <w:rFonts w:ascii="Arial" w:cs="Arial" w:eastAsia="Arial" w:hAnsi="Arial"/>
          <w:sz w:val="16"/>
          <w:szCs w:val="16"/>
          <w:color w:val="auto"/>
        </w:rPr>
        <w:t>The consolidated financial statements as of December 31, 2023, and 2022, have been prepared following the historical cost criteria, except for investments at fair value through profit or loss, investments at fair value through other comprehensive income, financial assets designated at fair value through profit or loss, derivative financial instruments, and financial liabilities at fair value through profit or loss, which have been measured at fair value.</w:t>
      </w:r>
    </w:p>
    <w:p>
      <w:pPr>
        <w:spacing w:after="0" w:line="143" w:lineRule="exact"/>
        <w:rPr>
          <w:rFonts w:ascii="Arial" w:cs="Arial" w:eastAsia="Arial" w:hAnsi="Arial"/>
          <w:sz w:val="16"/>
          <w:szCs w:val="16"/>
          <w:color w:val="auto"/>
        </w:rPr>
      </w:pPr>
    </w:p>
    <w:p>
      <w:pPr>
        <w:ind w:left="882" w:right="420"/>
        <w:spacing w:after="0" w:line="280" w:lineRule="auto"/>
        <w:rPr>
          <w:rFonts w:ascii="Arial" w:cs="Arial" w:eastAsia="Arial" w:hAnsi="Arial"/>
          <w:sz w:val="16"/>
          <w:szCs w:val="16"/>
          <w:color w:val="auto"/>
        </w:rPr>
      </w:pPr>
      <w:r>
        <w:rPr>
          <w:rFonts w:ascii="Arial" w:cs="Arial" w:eastAsia="Arial" w:hAnsi="Arial"/>
          <w:sz w:val="16"/>
          <w:szCs w:val="16"/>
          <w:color w:val="auto"/>
        </w:rPr>
        <w:t>The consolidated financial statements are presented in Soles (S/), which is the functional currency of Group, see paragraph (c) below, and values are rounded to thousands of soles, except when otherwise indicated.</w:t>
      </w:r>
    </w:p>
    <w:p>
      <w:pPr>
        <w:spacing w:after="0" w:line="120" w:lineRule="exact"/>
        <w:rPr>
          <w:rFonts w:ascii="Arial" w:cs="Arial" w:eastAsia="Arial" w:hAnsi="Arial"/>
          <w:sz w:val="16"/>
          <w:szCs w:val="16"/>
          <w:color w:val="auto"/>
        </w:rPr>
      </w:pPr>
    </w:p>
    <w:p>
      <w:pPr>
        <w:ind w:left="882" w:right="240"/>
        <w:spacing w:after="0" w:line="259" w:lineRule="auto"/>
        <w:rPr>
          <w:rFonts w:ascii="Arial" w:cs="Arial" w:eastAsia="Arial" w:hAnsi="Arial"/>
          <w:sz w:val="16"/>
          <w:szCs w:val="16"/>
          <w:color w:val="auto"/>
        </w:rPr>
      </w:pPr>
      <w:r>
        <w:rPr>
          <w:rFonts w:ascii="Arial" w:cs="Arial" w:eastAsia="Arial" w:hAnsi="Arial"/>
          <w:sz w:val="16"/>
          <w:szCs w:val="16"/>
          <w:color w:val="auto"/>
        </w:rPr>
        <w:t>The preparation of the consolidated financial statements in accordance with IFRS requires Management to make estimates and assumptions that affect the reported amounts of assets, liabilities, revenues and expenses and the disclosure of significant events in notes to the consolidated financial statements.</w:t>
      </w:r>
    </w:p>
    <w:p>
      <w:pPr>
        <w:spacing w:after="0" w:line="137" w:lineRule="exact"/>
        <w:rPr>
          <w:rFonts w:ascii="Arial" w:cs="Arial" w:eastAsia="Arial" w:hAnsi="Arial"/>
          <w:sz w:val="16"/>
          <w:szCs w:val="16"/>
          <w:color w:val="auto"/>
        </w:rPr>
      </w:pPr>
    </w:p>
    <w:p>
      <w:pPr>
        <w:ind w:left="882" w:right="240"/>
        <w:spacing w:after="0" w:line="259" w:lineRule="auto"/>
        <w:rPr>
          <w:rFonts w:ascii="Arial" w:cs="Arial" w:eastAsia="Arial" w:hAnsi="Arial"/>
          <w:sz w:val="16"/>
          <w:szCs w:val="16"/>
          <w:color w:val="auto"/>
        </w:rPr>
      </w:pPr>
      <w:r>
        <w:rPr>
          <w:rFonts w:ascii="Arial" w:cs="Arial" w:eastAsia="Arial" w:hAnsi="Arial"/>
          <w:sz w:val="16"/>
          <w:szCs w:val="16"/>
          <w:color w:val="auto"/>
        </w:rPr>
        <w:t>Estimates and judgments are continually evaluated and are based on historical experience and other factors, including expectations of future events that are believed to be reasonable under the current circumstances. The final results could differ from said estimates; however, the Management expects that the variations, if any, will not have a material impact on the consolidated financial statements.</w:t>
      </w:r>
    </w:p>
    <w:p>
      <w:pPr>
        <w:spacing w:after="0" w:line="137" w:lineRule="exact"/>
        <w:rPr>
          <w:rFonts w:ascii="Arial" w:cs="Arial" w:eastAsia="Arial" w:hAnsi="Arial"/>
          <w:sz w:val="16"/>
          <w:szCs w:val="16"/>
          <w:color w:val="auto"/>
        </w:rPr>
      </w:pPr>
    </w:p>
    <w:p>
      <w:pPr>
        <w:ind w:left="882" w:right="40"/>
        <w:spacing w:after="0" w:line="280" w:lineRule="auto"/>
        <w:rPr>
          <w:rFonts w:ascii="Arial" w:cs="Arial" w:eastAsia="Arial" w:hAnsi="Arial"/>
          <w:sz w:val="16"/>
          <w:szCs w:val="16"/>
          <w:color w:val="auto"/>
        </w:rPr>
      </w:pPr>
      <w:r>
        <w:rPr>
          <w:rFonts w:ascii="Arial" w:cs="Arial" w:eastAsia="Arial" w:hAnsi="Arial"/>
          <w:sz w:val="16"/>
          <w:szCs w:val="16"/>
          <w:color w:val="auto"/>
        </w:rPr>
        <w:t>The most significant estimates included in the accompanying consolidated financial statements are related to the calculation of the allowance of the expected credit loss on loan portfolio and the estimation of the liability for life insurance contracts under the general valuation model.</w:t>
      </w:r>
    </w:p>
    <w:p>
      <w:pPr>
        <w:spacing w:after="0" w:line="120" w:lineRule="exact"/>
        <w:rPr>
          <w:rFonts w:ascii="Arial" w:cs="Arial" w:eastAsia="Arial" w:hAnsi="Arial"/>
          <w:sz w:val="16"/>
          <w:szCs w:val="16"/>
          <w:color w:val="auto"/>
        </w:rPr>
      </w:pPr>
    </w:p>
    <w:p>
      <w:pPr>
        <w:jc w:val="both"/>
        <w:ind w:left="882" w:right="200"/>
        <w:spacing w:after="0" w:line="259" w:lineRule="auto"/>
        <w:rPr>
          <w:rFonts w:ascii="Arial" w:cs="Arial" w:eastAsia="Arial" w:hAnsi="Arial"/>
          <w:sz w:val="16"/>
          <w:szCs w:val="16"/>
          <w:color w:val="auto"/>
        </w:rPr>
      </w:pPr>
      <w:r>
        <w:rPr>
          <w:rFonts w:ascii="Arial" w:cs="Arial" w:eastAsia="Arial" w:hAnsi="Arial"/>
          <w:sz w:val="16"/>
          <w:szCs w:val="16"/>
          <w:color w:val="auto"/>
        </w:rPr>
        <w:t>Furthermore, other estimates exist, such as: valuation of investments, technical reserves for claims, intangible, impairment of goodwill, credit loss for investments at fair value through other comprehensive income and investments at amortized cost, the valuation of derivative financial instruments and deferred income tax. The accounting criteria used for these estimates are described below.</w:t>
      </w:r>
    </w:p>
    <w:p>
      <w:pPr>
        <w:spacing w:after="0" w:line="137" w:lineRule="exact"/>
        <w:rPr>
          <w:rFonts w:ascii="Arial" w:cs="Arial" w:eastAsia="Arial" w:hAnsi="Arial"/>
          <w:sz w:val="16"/>
          <w:szCs w:val="16"/>
          <w:color w:val="auto"/>
        </w:rPr>
      </w:pPr>
    </w:p>
    <w:p>
      <w:pPr>
        <w:ind w:left="882" w:right="40"/>
        <w:spacing w:after="0" w:line="280" w:lineRule="auto"/>
        <w:rPr>
          <w:rFonts w:ascii="Arial" w:cs="Arial" w:eastAsia="Arial" w:hAnsi="Arial"/>
          <w:sz w:val="16"/>
          <w:szCs w:val="16"/>
          <w:color w:val="auto"/>
        </w:rPr>
      </w:pPr>
      <w:r>
        <w:rPr>
          <w:rFonts w:ascii="Arial" w:cs="Arial" w:eastAsia="Arial" w:hAnsi="Arial"/>
          <w:sz w:val="16"/>
          <w:szCs w:val="16"/>
          <w:color w:val="auto"/>
        </w:rPr>
        <w:t>The Group has adopted the following standards and modifications for first time for its annual period that starts on January 1, 2023, as described below:</w:t>
      </w:r>
    </w:p>
    <w:p>
      <w:pPr>
        <w:spacing w:after="0" w:line="120" w:lineRule="exact"/>
        <w:rPr>
          <w:rFonts w:ascii="Arial" w:cs="Arial" w:eastAsia="Arial" w:hAnsi="Arial"/>
          <w:sz w:val="16"/>
          <w:szCs w:val="16"/>
          <w:color w:val="auto"/>
        </w:rPr>
      </w:pPr>
    </w:p>
    <w:p>
      <w:pPr>
        <w:ind w:left="1182" w:hanging="303"/>
        <w:spacing w:after="0"/>
        <w:tabs>
          <w:tab w:leader="none" w:pos="1182" w:val="left"/>
        </w:tabs>
        <w:numPr>
          <w:ilvl w:val="2"/>
          <w:numId w:val="14"/>
        </w:numPr>
        <w:rPr>
          <w:rFonts w:ascii="Arial" w:cs="Arial" w:eastAsia="Arial" w:hAnsi="Arial"/>
          <w:sz w:val="16"/>
          <w:szCs w:val="16"/>
          <w:color w:val="auto"/>
        </w:rPr>
      </w:pPr>
      <w:r>
        <w:rPr>
          <w:rFonts w:ascii="Arial" w:cs="Arial" w:eastAsia="Arial" w:hAnsi="Arial"/>
          <w:sz w:val="16"/>
          <w:szCs w:val="16"/>
          <w:color w:val="auto"/>
        </w:rPr>
        <w:t>IFRS 17 “Insurance contracts” – See note 3(b).</w:t>
      </w:r>
    </w:p>
    <w:p>
      <w:pPr>
        <w:spacing w:after="0" w:line="182" w:lineRule="exact"/>
        <w:rPr>
          <w:rFonts w:ascii="Arial" w:cs="Arial" w:eastAsia="Arial" w:hAnsi="Arial"/>
          <w:sz w:val="16"/>
          <w:szCs w:val="16"/>
          <w:color w:val="auto"/>
        </w:rPr>
      </w:pPr>
    </w:p>
    <w:p>
      <w:pPr>
        <w:ind w:left="1182" w:hanging="303"/>
        <w:spacing w:after="0"/>
        <w:tabs>
          <w:tab w:leader="none" w:pos="1182" w:val="left"/>
        </w:tabs>
        <w:numPr>
          <w:ilvl w:val="2"/>
          <w:numId w:val="14"/>
        </w:numPr>
        <w:rPr>
          <w:rFonts w:ascii="Arial" w:cs="Arial" w:eastAsia="Arial" w:hAnsi="Arial"/>
          <w:sz w:val="16"/>
          <w:szCs w:val="16"/>
          <w:color w:val="auto"/>
        </w:rPr>
      </w:pPr>
      <w:r>
        <w:rPr>
          <w:rFonts w:ascii="Arial" w:cs="Arial" w:eastAsia="Arial" w:hAnsi="Arial"/>
          <w:sz w:val="16"/>
          <w:szCs w:val="16"/>
          <w:color w:val="auto"/>
        </w:rPr>
        <w:t>Definition of Accounting Estimates – Modifications to IAS 8-</w:t>
      </w:r>
    </w:p>
    <w:p>
      <w:pPr>
        <w:spacing w:after="0" w:line="182" w:lineRule="exact"/>
        <w:rPr>
          <w:rFonts w:ascii="Arial" w:cs="Arial" w:eastAsia="Arial" w:hAnsi="Arial"/>
          <w:sz w:val="16"/>
          <w:szCs w:val="16"/>
          <w:color w:val="auto"/>
        </w:rPr>
      </w:pPr>
    </w:p>
    <w:p>
      <w:pPr>
        <w:ind w:left="1182"/>
        <w:spacing w:after="0" w:line="280" w:lineRule="auto"/>
        <w:rPr>
          <w:rFonts w:ascii="Arial" w:cs="Arial" w:eastAsia="Arial" w:hAnsi="Arial"/>
          <w:sz w:val="16"/>
          <w:szCs w:val="16"/>
          <w:color w:val="auto"/>
        </w:rPr>
      </w:pPr>
      <w:r>
        <w:rPr>
          <w:rFonts w:ascii="Arial" w:cs="Arial" w:eastAsia="Arial" w:hAnsi="Arial"/>
          <w:sz w:val="16"/>
          <w:szCs w:val="16"/>
          <w:color w:val="auto"/>
        </w:rPr>
        <w:t>The amendments to IAS 8 clarify the distinction between changes in accounting estimates, changes in accounting policies and the correction of errors. They will also clarify how entities use measurement techniques and inputs to develop accounting estimates.</w:t>
      </w:r>
    </w:p>
    <w:p>
      <w:pPr>
        <w:spacing w:after="0" w:line="120"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6"/>
          <w:szCs w:val="16"/>
          <w:color w:val="auto"/>
        </w:rPr>
        <w:t>The modifications had no impact on the Group’s consolidated financial statements.</w:t>
      </w:r>
    </w:p>
    <w:p>
      <w:pPr>
        <w:spacing w:after="0" w:line="341"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306" w:right="339" w:bottom="1440" w:gutter="0" w:footer="0" w:header="0"/>
        </w:sectPr>
      </w:pPr>
    </w:p>
    <w:bookmarkStart w:id="26" w:name="page27"/>
    <w:bookmarkEnd w:id="26"/>
    <w:p>
      <w:pPr>
        <w:ind w:left="303" w:hanging="303"/>
        <w:spacing w:after="0"/>
        <w:tabs>
          <w:tab w:leader="none" w:pos="3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Disclosure of accounting policies – Amendments to IAS 1 and Statement of Practice IFRS 2-</w:t>
      </w:r>
    </w:p>
    <w:p>
      <w:pPr>
        <w:spacing w:after="0" w:line="182" w:lineRule="exact"/>
        <w:rPr>
          <w:rFonts w:ascii="Arial" w:cs="Arial" w:eastAsia="Arial" w:hAnsi="Arial"/>
          <w:sz w:val="16"/>
          <w:szCs w:val="16"/>
          <w:color w:val="auto"/>
        </w:rPr>
      </w:pPr>
    </w:p>
    <w:p>
      <w:pPr>
        <w:ind w:left="303" w:right="80"/>
        <w:spacing w:after="0" w:line="252" w:lineRule="auto"/>
        <w:rPr>
          <w:rFonts w:ascii="Arial" w:cs="Arial" w:eastAsia="Arial" w:hAnsi="Arial"/>
          <w:sz w:val="16"/>
          <w:szCs w:val="16"/>
          <w:color w:val="auto"/>
        </w:rPr>
      </w:pPr>
      <w:r>
        <w:rPr>
          <w:rFonts w:ascii="Arial" w:cs="Arial" w:eastAsia="Arial" w:hAnsi="Arial"/>
          <w:sz w:val="16"/>
          <w:szCs w:val="16"/>
          <w:color w:val="auto"/>
        </w:rPr>
        <w:t>They provide guidance and examples to help entities apply materiality judgments to accounting policy disclosures. The amendments are intended to help entities provide more useful disclosures of accounting policies by replacing the requirement that entities disclose their “material” accounting policies with a requirement to disclose their “material” accounting policies and adding guidance on how entities apply the concept of materiality. in making decisions on accounting policy disclosures.</w:t>
      </w:r>
    </w:p>
    <w:p>
      <w:pPr>
        <w:spacing w:after="0" w:line="143" w:lineRule="exact"/>
        <w:rPr>
          <w:rFonts w:ascii="Arial" w:cs="Arial" w:eastAsia="Arial" w:hAnsi="Arial"/>
          <w:sz w:val="16"/>
          <w:szCs w:val="16"/>
          <w:color w:val="auto"/>
        </w:rPr>
      </w:pPr>
    </w:p>
    <w:p>
      <w:pPr>
        <w:ind w:left="303" w:right="200"/>
        <w:spacing w:after="0" w:line="280" w:lineRule="auto"/>
        <w:rPr>
          <w:rFonts w:ascii="Arial" w:cs="Arial" w:eastAsia="Arial" w:hAnsi="Arial"/>
          <w:sz w:val="16"/>
          <w:szCs w:val="16"/>
          <w:color w:val="auto"/>
        </w:rPr>
      </w:pPr>
      <w:r>
        <w:rPr>
          <w:rFonts w:ascii="Arial" w:cs="Arial" w:eastAsia="Arial" w:hAnsi="Arial"/>
          <w:sz w:val="16"/>
          <w:szCs w:val="16"/>
          <w:color w:val="auto"/>
        </w:rPr>
        <w:t>The amendments have had an impact on the disclosures of the Group’s accounting policies, but not on the measurement, recognition, or presentation of any item in the Group’s financial statements.</w:t>
      </w:r>
    </w:p>
    <w:p>
      <w:pPr>
        <w:spacing w:after="0" w:line="120" w:lineRule="exact"/>
        <w:rPr>
          <w:rFonts w:ascii="Arial" w:cs="Arial" w:eastAsia="Arial" w:hAnsi="Arial"/>
          <w:sz w:val="16"/>
          <w:szCs w:val="16"/>
          <w:color w:val="auto"/>
        </w:rPr>
      </w:pPr>
    </w:p>
    <w:p>
      <w:pPr>
        <w:ind w:left="303" w:hanging="303"/>
        <w:spacing w:after="0"/>
        <w:tabs>
          <w:tab w:leader="none" w:pos="3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Deferred Taxes related to Assets and Liabilities – Modifications to IAS 12-</w:t>
      </w:r>
    </w:p>
    <w:p>
      <w:pPr>
        <w:spacing w:after="0" w:line="182" w:lineRule="exact"/>
        <w:rPr>
          <w:rFonts w:ascii="Arial" w:cs="Arial" w:eastAsia="Arial" w:hAnsi="Arial"/>
          <w:sz w:val="16"/>
          <w:szCs w:val="16"/>
          <w:color w:val="auto"/>
        </w:rPr>
      </w:pPr>
    </w:p>
    <w:p>
      <w:pPr>
        <w:ind w:left="303"/>
        <w:spacing w:after="0" w:line="247" w:lineRule="auto"/>
        <w:rPr>
          <w:rFonts w:ascii="Arial" w:cs="Arial" w:eastAsia="Arial" w:hAnsi="Arial"/>
          <w:sz w:val="16"/>
          <w:szCs w:val="16"/>
          <w:color w:val="auto"/>
        </w:rPr>
      </w:pPr>
      <w:r>
        <w:rPr>
          <w:rFonts w:ascii="Arial" w:cs="Arial" w:eastAsia="Arial" w:hAnsi="Arial"/>
          <w:sz w:val="16"/>
          <w:szCs w:val="16"/>
          <w:color w:val="auto"/>
        </w:rPr>
        <w:t>These modifications establish that deferred taxes arising from a single transaction that, upon initial recognition, give rise to taxable and deductible temporary differences of the same value must be recognized. This will generally apply to transactions such as leases (for lessees) and decommissioning or remediation obligations, where recognition of deferred tax assets and liabilities will be required. These modifications must apply to transactions that occur on or after the beginning of the first comparative period presented. Additionally, deferred tax assets (to the extent it is probable that they can be utilized) and deferred tax liabilities should be recognized at the beginning of the first comparative period for all deductible or taxable temporary differences associated with:</w:t>
      </w:r>
    </w:p>
    <w:p>
      <w:pPr>
        <w:spacing w:after="0" w:line="146" w:lineRule="exact"/>
        <w:rPr>
          <w:rFonts w:ascii="Arial" w:cs="Arial" w:eastAsia="Arial" w:hAnsi="Arial"/>
          <w:sz w:val="16"/>
          <w:szCs w:val="16"/>
          <w:color w:val="auto"/>
        </w:rPr>
      </w:pPr>
    </w:p>
    <w:p>
      <w:pPr>
        <w:ind w:left="403" w:hanging="109"/>
        <w:spacing w:after="0"/>
        <w:tabs>
          <w:tab w:leader="none" w:pos="403" w:val="left"/>
        </w:tabs>
        <w:numPr>
          <w:ilvl w:val="1"/>
          <w:numId w:val="15"/>
        </w:numPr>
        <w:rPr>
          <w:rFonts w:ascii="Arial" w:cs="Arial" w:eastAsia="Arial" w:hAnsi="Arial"/>
          <w:sz w:val="16"/>
          <w:szCs w:val="16"/>
          <w:color w:val="auto"/>
        </w:rPr>
      </w:pPr>
      <w:r>
        <w:rPr>
          <w:rFonts w:ascii="Arial" w:cs="Arial" w:eastAsia="Arial" w:hAnsi="Arial"/>
          <w:sz w:val="16"/>
          <w:szCs w:val="16"/>
          <w:color w:val="auto"/>
        </w:rPr>
        <w:t>Right-of-use assets and lease liabilities, and</w:t>
      </w:r>
    </w:p>
    <w:p>
      <w:pPr>
        <w:spacing w:after="0" w:line="15" w:lineRule="exact"/>
        <w:rPr>
          <w:rFonts w:ascii="Arial" w:cs="Arial" w:eastAsia="Arial" w:hAnsi="Arial"/>
          <w:sz w:val="16"/>
          <w:szCs w:val="16"/>
          <w:color w:val="auto"/>
        </w:rPr>
      </w:pPr>
    </w:p>
    <w:p>
      <w:pPr>
        <w:ind w:left="403" w:hanging="109"/>
        <w:spacing w:after="0"/>
        <w:tabs>
          <w:tab w:leader="none" w:pos="403" w:val="left"/>
        </w:tabs>
        <w:numPr>
          <w:ilvl w:val="1"/>
          <w:numId w:val="15"/>
        </w:numPr>
        <w:rPr>
          <w:rFonts w:ascii="Arial" w:cs="Arial" w:eastAsia="Arial" w:hAnsi="Arial"/>
          <w:sz w:val="16"/>
          <w:szCs w:val="16"/>
          <w:color w:val="auto"/>
        </w:rPr>
      </w:pPr>
      <w:r>
        <w:rPr>
          <w:rFonts w:ascii="Arial" w:cs="Arial" w:eastAsia="Arial" w:hAnsi="Arial"/>
          <w:sz w:val="16"/>
          <w:szCs w:val="16"/>
          <w:color w:val="auto"/>
        </w:rPr>
        <w:t>Liabilities for dismantling, restoration and similar, and the corresponding amounts recognized as part of the cost of the related assets.</w:t>
      </w:r>
    </w:p>
    <w:p>
      <w:pPr>
        <w:spacing w:after="0" w:line="167" w:lineRule="exact"/>
        <w:rPr>
          <w:sz w:val="20"/>
          <w:szCs w:val="20"/>
          <w:color w:val="auto"/>
        </w:rPr>
      </w:pPr>
    </w:p>
    <w:p>
      <w:pPr>
        <w:ind w:left="303"/>
        <w:spacing w:after="0"/>
        <w:rPr>
          <w:sz w:val="20"/>
          <w:szCs w:val="20"/>
          <w:color w:val="auto"/>
        </w:rPr>
      </w:pPr>
      <w:r>
        <w:rPr>
          <w:rFonts w:ascii="Arial" w:cs="Arial" w:eastAsia="Arial" w:hAnsi="Arial"/>
          <w:sz w:val="16"/>
          <w:szCs w:val="16"/>
          <w:color w:val="auto"/>
        </w:rPr>
        <w:t>The cumulative effect of these adjustments is recognized in retained earnings or another component of equity, as appropriate.</w:t>
      </w:r>
    </w:p>
    <w:p>
      <w:pPr>
        <w:spacing w:after="0" w:line="183" w:lineRule="exact"/>
        <w:rPr>
          <w:sz w:val="20"/>
          <w:szCs w:val="20"/>
          <w:color w:val="auto"/>
        </w:rPr>
      </w:pPr>
    </w:p>
    <w:p>
      <w:pPr>
        <w:ind w:left="303" w:right="20"/>
        <w:spacing w:after="0" w:line="259" w:lineRule="auto"/>
        <w:rPr>
          <w:sz w:val="20"/>
          <w:szCs w:val="20"/>
          <w:color w:val="auto"/>
        </w:rPr>
      </w:pPr>
      <w:r>
        <w:rPr>
          <w:rFonts w:ascii="Arial" w:cs="Arial" w:eastAsia="Arial" w:hAnsi="Arial"/>
          <w:sz w:val="16"/>
          <w:szCs w:val="16"/>
          <w:color w:val="auto"/>
        </w:rPr>
        <w:t>Previously, IAS 12 did not establish any particular accounting treatment for the tax effects of leases that are recognized on the balance sheet and for similar transactions, so different approaches were considered acceptable. Entities that are already recognizing deferred taxes from these transactions will have no impact on their financial statements.</w:t>
      </w:r>
    </w:p>
    <w:p>
      <w:pPr>
        <w:spacing w:after="0" w:line="137" w:lineRule="exact"/>
        <w:rPr>
          <w:sz w:val="20"/>
          <w:szCs w:val="20"/>
          <w:color w:val="auto"/>
        </w:rPr>
      </w:pPr>
    </w:p>
    <w:p>
      <w:pPr>
        <w:ind w:left="303"/>
        <w:spacing w:after="0"/>
        <w:rPr>
          <w:sz w:val="20"/>
          <w:szCs w:val="20"/>
          <w:color w:val="auto"/>
        </w:rPr>
      </w:pPr>
      <w:r>
        <w:rPr>
          <w:rFonts w:ascii="Arial" w:cs="Arial" w:eastAsia="Arial" w:hAnsi="Arial"/>
          <w:sz w:val="16"/>
          <w:szCs w:val="16"/>
          <w:color w:val="auto"/>
        </w:rPr>
        <w:t>The modifications will be effective for the annual reporting periods beginning on or after January 1, 2023, with early adoption permitted.</w:t>
      </w:r>
    </w:p>
    <w:p>
      <w:pPr>
        <w:spacing w:after="0" w:line="183" w:lineRule="exact"/>
        <w:rPr>
          <w:sz w:val="20"/>
          <w:szCs w:val="20"/>
          <w:color w:val="auto"/>
        </w:rPr>
      </w:pPr>
    </w:p>
    <w:p>
      <w:pPr>
        <w:ind w:left="303"/>
        <w:spacing w:after="0"/>
        <w:rPr>
          <w:sz w:val="20"/>
          <w:szCs w:val="20"/>
          <w:color w:val="auto"/>
        </w:rPr>
      </w:pPr>
      <w:r>
        <w:rPr>
          <w:rFonts w:ascii="Arial" w:cs="Arial" w:eastAsia="Arial" w:hAnsi="Arial"/>
          <w:sz w:val="16"/>
          <w:szCs w:val="16"/>
          <w:color w:val="auto"/>
        </w:rPr>
        <w:t>The modifications had no impact on the Group’s consolidated financial statements.</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2022, the Group adopted the following modifications:</w:t>
      </w:r>
    </w:p>
    <w:p>
      <w:pPr>
        <w:spacing w:after="0" w:line="183" w:lineRule="exact"/>
        <w:rPr>
          <w:sz w:val="20"/>
          <w:szCs w:val="20"/>
          <w:color w:val="auto"/>
        </w:rPr>
      </w:pPr>
    </w:p>
    <w:p>
      <w:pPr>
        <w:ind w:left="303" w:hanging="303"/>
        <w:spacing w:after="0"/>
        <w:tabs>
          <w:tab w:leader="none" w:pos="303"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Modifications to IFRS 3 - Reference to the Conceptual Framework –</w:t>
      </w:r>
    </w:p>
    <w:p>
      <w:pPr>
        <w:spacing w:after="0" w:line="182" w:lineRule="exact"/>
        <w:rPr>
          <w:rFonts w:ascii="Arial" w:cs="Arial" w:eastAsia="Arial" w:hAnsi="Arial"/>
          <w:sz w:val="16"/>
          <w:szCs w:val="16"/>
          <w:color w:val="auto"/>
        </w:rPr>
      </w:pPr>
    </w:p>
    <w:p>
      <w:pPr>
        <w:ind w:left="303" w:right="40"/>
        <w:spacing w:after="0" w:line="259" w:lineRule="auto"/>
        <w:rPr>
          <w:rFonts w:ascii="Arial" w:cs="Arial" w:eastAsia="Arial" w:hAnsi="Arial"/>
          <w:sz w:val="16"/>
          <w:szCs w:val="16"/>
          <w:color w:val="auto"/>
        </w:rPr>
      </w:pPr>
      <w:r>
        <w:rPr>
          <w:rFonts w:ascii="Arial" w:cs="Arial" w:eastAsia="Arial" w:hAnsi="Arial"/>
          <w:sz w:val="16"/>
          <w:szCs w:val="16"/>
          <w:color w:val="auto"/>
        </w:rPr>
        <w:t>Minor amendments were made to IFRS 3 Business Combinations to update references to the Conceptual Framework for Financial Reporting and add an exception to recognize liabilities and contingent liabilities within the scope of IAS 37 Provisions, Contingent Liabilities and IFRIC Interpretation 21 Liens.</w:t>
      </w:r>
    </w:p>
    <w:p>
      <w:pPr>
        <w:spacing w:after="0" w:line="137" w:lineRule="exact"/>
        <w:rPr>
          <w:rFonts w:ascii="Arial" w:cs="Arial" w:eastAsia="Arial" w:hAnsi="Arial"/>
          <w:sz w:val="16"/>
          <w:szCs w:val="16"/>
          <w:color w:val="auto"/>
        </w:rPr>
      </w:pPr>
    </w:p>
    <w:p>
      <w:pPr>
        <w:ind w:left="303" w:right="120"/>
        <w:spacing w:after="0" w:line="280" w:lineRule="auto"/>
        <w:rPr>
          <w:rFonts w:ascii="Arial" w:cs="Arial" w:eastAsia="Arial" w:hAnsi="Arial"/>
          <w:sz w:val="16"/>
          <w:szCs w:val="16"/>
          <w:color w:val="auto"/>
        </w:rPr>
      </w:pPr>
      <w:r>
        <w:rPr>
          <w:rFonts w:ascii="Arial" w:cs="Arial" w:eastAsia="Arial" w:hAnsi="Arial"/>
          <w:sz w:val="16"/>
          <w:szCs w:val="16"/>
          <w:color w:val="auto"/>
        </w:rPr>
        <w:t>The amendments also confirm that contingent assets should not be recognized on the acquisition date. The modification became effective for annual reporting periods beginning on January 1, 2022.</w:t>
      </w:r>
    </w:p>
    <w:p>
      <w:pPr>
        <w:spacing w:after="0" w:line="279" w:lineRule="exact"/>
        <w:rPr>
          <w:sz w:val="20"/>
          <w:szCs w:val="20"/>
          <w:color w:val="auto"/>
        </w:rPr>
      </w:pPr>
    </w:p>
    <w:p>
      <w:pPr>
        <w:ind w:left="4643"/>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23"/>
          </w:cols>
          <w:pgMar w:left="1197" w:top="306" w:right="379" w:bottom="1440" w:gutter="0" w:footer="0" w:header="0"/>
        </w:sectPr>
      </w:pPr>
    </w:p>
    <w:bookmarkStart w:id="27" w:name="page28"/>
    <w:bookmarkEnd w:id="27"/>
    <w:p>
      <w:pPr>
        <w:ind w:left="596"/>
        <w:spacing w:after="0"/>
        <w:rPr>
          <w:sz w:val="20"/>
          <w:szCs w:val="20"/>
          <w:color w:val="auto"/>
        </w:rPr>
      </w:pPr>
      <w:r>
        <w:rPr>
          <w:rFonts w:ascii="Arial" w:cs="Arial" w:eastAsia="Arial" w:hAnsi="Arial"/>
          <w:sz w:val="16"/>
          <w:szCs w:val="16"/>
          <w:color w:val="auto"/>
        </w:rPr>
        <w:t>The modification of the standard did not have an impact on the consolidated financial statements.</w:t>
      </w:r>
    </w:p>
    <w:p>
      <w:pPr>
        <w:spacing w:after="0" w:line="183" w:lineRule="exact"/>
        <w:rPr>
          <w:sz w:val="20"/>
          <w:szCs w:val="20"/>
          <w:color w:val="auto"/>
        </w:rPr>
      </w:pPr>
    </w:p>
    <w:p>
      <w:pPr>
        <w:ind w:left="596" w:hanging="303"/>
        <w:spacing w:after="0"/>
        <w:tabs>
          <w:tab w:leader="none" w:pos="5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Onerous Contracts - Cost of fulfilling a contract - Modifications to IAS 37 –</w:t>
      </w:r>
    </w:p>
    <w:p>
      <w:pPr>
        <w:spacing w:after="0" w:line="182" w:lineRule="exact"/>
        <w:rPr>
          <w:rFonts w:ascii="Arial" w:cs="Arial" w:eastAsia="Arial" w:hAnsi="Arial"/>
          <w:sz w:val="16"/>
          <w:szCs w:val="16"/>
          <w:color w:val="auto"/>
        </w:rPr>
      </w:pPr>
    </w:p>
    <w:p>
      <w:pPr>
        <w:ind w:left="596"/>
        <w:spacing w:after="0" w:line="249" w:lineRule="auto"/>
        <w:rPr>
          <w:rFonts w:ascii="Arial" w:cs="Arial" w:eastAsia="Arial" w:hAnsi="Arial"/>
          <w:sz w:val="16"/>
          <w:szCs w:val="16"/>
          <w:color w:val="auto"/>
        </w:rPr>
      </w:pPr>
      <w:r>
        <w:rPr>
          <w:rFonts w:ascii="Arial" w:cs="Arial" w:eastAsia="Arial" w:hAnsi="Arial"/>
          <w:sz w:val="16"/>
          <w:szCs w:val="16"/>
          <w:color w:val="auto"/>
        </w:rPr>
        <w:t>In May 2020, the International Accounting Standards Board issued amendments to IAS 37 to specify what cost an entity should include when assessing whether a contract is onerous or loss-making. The amendment to IAS 37 clarifies that the direct costs of fulfilling a contract include both the incremental costs of fulfilling the contract and the allocation of other costs directly required to fulfill the contracts. Before recognizing a separate provision for the onerous contract, the entity shall recognize any impairment loss that has occurred in relation to the assets used to fulfill the contract.</w:t>
      </w:r>
    </w:p>
    <w:p>
      <w:pPr>
        <w:spacing w:after="0" w:line="145" w:lineRule="exact"/>
        <w:rPr>
          <w:rFonts w:ascii="Arial" w:cs="Arial" w:eastAsia="Arial" w:hAnsi="Arial"/>
          <w:sz w:val="16"/>
          <w:szCs w:val="16"/>
          <w:color w:val="auto"/>
        </w:rPr>
      </w:pPr>
    </w:p>
    <w:p>
      <w:pPr>
        <w:ind w:left="596" w:right="3180"/>
        <w:spacing w:after="0" w:line="478" w:lineRule="auto"/>
        <w:rPr>
          <w:rFonts w:ascii="Arial" w:cs="Arial" w:eastAsia="Arial" w:hAnsi="Arial"/>
          <w:sz w:val="16"/>
          <w:szCs w:val="16"/>
          <w:color w:val="auto"/>
        </w:rPr>
      </w:pPr>
      <w:r>
        <w:rPr>
          <w:rFonts w:ascii="Arial" w:cs="Arial" w:eastAsia="Arial" w:hAnsi="Arial"/>
          <w:sz w:val="16"/>
          <w:szCs w:val="16"/>
          <w:color w:val="auto"/>
        </w:rPr>
        <w:t>The Amendment is effective for annual reporting periods beginning on or after January 1, 2022. The modification had no impact on its consolidated financial statements.</w:t>
      </w:r>
    </w:p>
    <w:p>
      <w:pPr>
        <w:ind w:left="596" w:hanging="303"/>
        <w:spacing w:after="0"/>
        <w:tabs>
          <w:tab w:leader="none" w:pos="5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 improvements to IFRS Cycle 2018 - 2020 –</w:t>
      </w:r>
    </w:p>
    <w:p>
      <w:pPr>
        <w:spacing w:after="0" w:line="182" w:lineRule="exact"/>
        <w:rPr>
          <w:rFonts w:ascii="Arial" w:cs="Arial" w:eastAsia="Arial" w:hAnsi="Arial"/>
          <w:sz w:val="16"/>
          <w:szCs w:val="16"/>
          <w:color w:val="auto"/>
        </w:rPr>
      </w:pPr>
    </w:p>
    <w:p>
      <w:pPr>
        <w:ind w:left="596" w:right="180"/>
        <w:spacing w:after="0" w:line="280" w:lineRule="auto"/>
        <w:rPr>
          <w:rFonts w:ascii="Arial" w:cs="Arial" w:eastAsia="Arial" w:hAnsi="Arial"/>
          <w:sz w:val="16"/>
          <w:szCs w:val="16"/>
          <w:color w:val="auto"/>
        </w:rPr>
      </w:pPr>
      <w:r>
        <w:rPr>
          <w:rFonts w:ascii="Arial" w:cs="Arial" w:eastAsia="Arial" w:hAnsi="Arial"/>
          <w:sz w:val="16"/>
          <w:szCs w:val="16"/>
          <w:color w:val="auto"/>
        </w:rPr>
        <w:t>As part of its 2018-2020 annual improvements to the IFRS standard process, in May 2020, the International Accounting Standards Board issued the following amendments:</w:t>
      </w:r>
    </w:p>
    <w:p>
      <w:pPr>
        <w:spacing w:after="0" w:line="120" w:lineRule="exact"/>
        <w:rPr>
          <w:rFonts w:ascii="Arial" w:cs="Arial" w:eastAsia="Arial" w:hAnsi="Arial"/>
          <w:sz w:val="16"/>
          <w:szCs w:val="16"/>
          <w:color w:val="auto"/>
        </w:rPr>
      </w:pPr>
    </w:p>
    <w:p>
      <w:pPr>
        <w:ind w:left="876" w:hanging="289"/>
        <w:spacing w:after="0" w:line="280" w:lineRule="auto"/>
        <w:tabs>
          <w:tab w:leader="none" w:pos="876"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IFRS 9 Financial Instruments – clarification that commissions must be included in the 10.0 percent test for the derecognition of financial liabilities.</w:t>
      </w:r>
    </w:p>
    <w:p>
      <w:pPr>
        <w:spacing w:after="0" w:line="120" w:lineRule="exact"/>
        <w:rPr>
          <w:rFonts w:ascii="Arial" w:cs="Arial" w:eastAsia="Arial" w:hAnsi="Arial"/>
          <w:sz w:val="16"/>
          <w:szCs w:val="16"/>
          <w:color w:val="auto"/>
        </w:rPr>
      </w:pPr>
    </w:p>
    <w:p>
      <w:pPr>
        <w:ind w:left="876" w:right="100" w:hanging="289"/>
        <w:spacing w:after="0" w:line="259" w:lineRule="auto"/>
        <w:tabs>
          <w:tab w:leader="none" w:pos="876"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IFRS 1 First-time adoption of international financial reporting standards – allows entities that have measured their assets and liabilities at the book value recorded in the books of their parent company to also measure any accumulated translation differences using the amounts reported by the headquarters.</w:t>
      </w:r>
    </w:p>
    <w:p>
      <w:pPr>
        <w:spacing w:after="0" w:line="137" w:lineRule="exact"/>
        <w:rPr>
          <w:sz w:val="20"/>
          <w:szCs w:val="20"/>
          <w:color w:val="auto"/>
        </w:rPr>
      </w:pPr>
    </w:p>
    <w:p>
      <w:pPr>
        <w:ind w:left="596"/>
        <w:spacing w:after="0"/>
        <w:rPr>
          <w:sz w:val="20"/>
          <w:szCs w:val="20"/>
          <w:color w:val="auto"/>
        </w:rPr>
      </w:pPr>
      <w:r>
        <w:rPr>
          <w:rFonts w:ascii="Arial" w:cs="Arial" w:eastAsia="Arial" w:hAnsi="Arial"/>
          <w:sz w:val="16"/>
          <w:szCs w:val="16"/>
          <w:color w:val="auto"/>
        </w:rPr>
        <w:t>This modification will also apply to associates and joint ventures that have assumed the same expectation with IFRS 1.</w:t>
      </w:r>
    </w:p>
    <w:p>
      <w:pPr>
        <w:spacing w:after="0" w:line="183" w:lineRule="exact"/>
        <w:rPr>
          <w:sz w:val="20"/>
          <w:szCs w:val="20"/>
          <w:color w:val="auto"/>
        </w:rPr>
      </w:pPr>
    </w:p>
    <w:p>
      <w:pPr>
        <w:ind w:left="596"/>
        <w:spacing w:after="0"/>
        <w:rPr>
          <w:sz w:val="20"/>
          <w:szCs w:val="20"/>
          <w:color w:val="auto"/>
        </w:rPr>
      </w:pPr>
      <w:r>
        <w:rPr>
          <w:rFonts w:ascii="Arial" w:cs="Arial" w:eastAsia="Arial" w:hAnsi="Arial"/>
          <w:sz w:val="16"/>
          <w:szCs w:val="16"/>
          <w:color w:val="auto"/>
        </w:rPr>
        <w:t>The amendment is effective for annual reporting periods beginning on or after January 1, 2022.</w:t>
      </w:r>
    </w:p>
    <w:p>
      <w:pPr>
        <w:spacing w:after="0" w:line="183" w:lineRule="exact"/>
        <w:rPr>
          <w:sz w:val="20"/>
          <w:szCs w:val="20"/>
          <w:color w:val="auto"/>
        </w:rPr>
      </w:pPr>
    </w:p>
    <w:p>
      <w:pPr>
        <w:ind w:left="596"/>
        <w:spacing w:after="0"/>
        <w:rPr>
          <w:sz w:val="20"/>
          <w:szCs w:val="20"/>
          <w:color w:val="auto"/>
        </w:rPr>
      </w:pPr>
      <w:r>
        <w:rPr>
          <w:rFonts w:ascii="Arial" w:cs="Arial" w:eastAsia="Arial" w:hAnsi="Arial"/>
          <w:sz w:val="16"/>
          <w:szCs w:val="16"/>
          <w:color w:val="auto"/>
        </w:rPr>
        <w:t>The modification had no impact on its consolidated financial statements.</w:t>
      </w:r>
    </w:p>
    <w:p>
      <w:pPr>
        <w:spacing w:after="0" w:line="183" w:lineRule="exact"/>
        <w:rPr>
          <w:sz w:val="20"/>
          <w:szCs w:val="20"/>
          <w:color w:val="auto"/>
        </w:rPr>
      </w:pPr>
    </w:p>
    <w:p>
      <w:pPr>
        <w:ind w:left="296" w:hanging="296"/>
        <w:spacing w:after="0"/>
        <w:tabs>
          <w:tab w:leader="none" w:pos="2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in accounting policies, adoption of new IFRS and disclosures-</w:t>
      </w:r>
    </w:p>
    <w:p>
      <w:pPr>
        <w:spacing w:after="0" w:line="182" w:lineRule="exact"/>
        <w:rPr>
          <w:rFonts w:ascii="Arial" w:cs="Arial" w:eastAsia="Arial" w:hAnsi="Arial"/>
          <w:sz w:val="16"/>
          <w:szCs w:val="16"/>
          <w:color w:val="auto"/>
        </w:rPr>
      </w:pPr>
    </w:p>
    <w:p>
      <w:pPr>
        <w:ind w:left="296" w:right="420"/>
        <w:spacing w:after="0" w:line="280" w:lineRule="auto"/>
        <w:rPr>
          <w:rFonts w:ascii="Arial" w:cs="Arial" w:eastAsia="Arial" w:hAnsi="Arial"/>
          <w:sz w:val="16"/>
          <w:szCs w:val="16"/>
          <w:color w:val="auto"/>
        </w:rPr>
      </w:pPr>
      <w:r>
        <w:rPr>
          <w:rFonts w:ascii="Arial" w:cs="Arial" w:eastAsia="Arial" w:hAnsi="Arial"/>
          <w:sz w:val="16"/>
          <w:szCs w:val="16"/>
          <w:color w:val="auto"/>
        </w:rPr>
        <w:t>IFRS 17 replaces IFRS 4 Insurance Contracts for annual periods beginning on or after January 1, 2023. The Group has restated the 2022 information applying the transitional provisions of IFRS 17.</w:t>
      </w:r>
    </w:p>
    <w:p>
      <w:pPr>
        <w:spacing w:after="0" w:line="120" w:lineRule="exact"/>
        <w:rPr>
          <w:rFonts w:ascii="Arial" w:cs="Arial" w:eastAsia="Arial" w:hAnsi="Arial"/>
          <w:sz w:val="16"/>
          <w:szCs w:val="16"/>
          <w:color w:val="auto"/>
        </w:rPr>
      </w:pPr>
    </w:p>
    <w:p>
      <w:pPr>
        <w:ind w:left="296" w:right="4920"/>
        <w:spacing w:after="0" w:line="478" w:lineRule="auto"/>
        <w:rPr>
          <w:rFonts w:ascii="Arial" w:cs="Arial" w:eastAsia="Arial" w:hAnsi="Arial"/>
          <w:sz w:val="16"/>
          <w:szCs w:val="16"/>
          <w:color w:val="auto"/>
        </w:rPr>
      </w:pPr>
      <w:r>
        <w:rPr>
          <w:rFonts w:ascii="Arial" w:cs="Arial" w:eastAsia="Arial" w:hAnsi="Arial"/>
          <w:sz w:val="16"/>
          <w:szCs w:val="16"/>
          <w:color w:val="auto"/>
        </w:rPr>
        <w:t>The nature of the changes in accounting policies is summarized as follows: Changes in classification and measurement:</w:t>
      </w:r>
    </w:p>
    <w:p>
      <w:pPr>
        <w:ind w:left="296" w:right="760"/>
        <w:spacing w:after="0" w:line="280" w:lineRule="auto"/>
        <w:rPr>
          <w:rFonts w:ascii="Arial" w:cs="Arial" w:eastAsia="Arial" w:hAnsi="Arial"/>
          <w:sz w:val="16"/>
          <w:szCs w:val="16"/>
          <w:color w:val="auto"/>
        </w:rPr>
      </w:pPr>
      <w:r>
        <w:rPr>
          <w:rFonts w:ascii="Arial" w:cs="Arial" w:eastAsia="Arial" w:hAnsi="Arial"/>
          <w:sz w:val="16"/>
          <w:szCs w:val="16"/>
          <w:color w:val="auto"/>
        </w:rPr>
        <w:t>IFRS 17 establishes specific principles for the recognition and measurement of insurance contracts issued and reinsurance contracts maintained by the Group.</w:t>
      </w:r>
    </w:p>
    <w:p>
      <w:pPr>
        <w:spacing w:after="0" w:line="120" w:lineRule="exact"/>
        <w:rPr>
          <w:rFonts w:ascii="Arial" w:cs="Arial" w:eastAsia="Arial" w:hAnsi="Arial"/>
          <w:sz w:val="16"/>
          <w:szCs w:val="16"/>
          <w:color w:val="auto"/>
        </w:rPr>
      </w:pPr>
    </w:p>
    <w:p>
      <w:pPr>
        <w:ind w:left="296"/>
        <w:spacing w:after="0"/>
        <w:rPr>
          <w:rFonts w:ascii="Arial" w:cs="Arial" w:eastAsia="Arial" w:hAnsi="Arial"/>
          <w:sz w:val="16"/>
          <w:szCs w:val="16"/>
          <w:color w:val="auto"/>
        </w:rPr>
      </w:pPr>
      <w:r>
        <w:rPr>
          <w:rFonts w:ascii="Arial" w:cs="Arial" w:eastAsia="Arial" w:hAnsi="Arial"/>
          <w:sz w:val="16"/>
          <w:szCs w:val="16"/>
          <w:color w:val="auto"/>
        </w:rPr>
        <w:t>The key principles of IFRS 17 applied are:</w:t>
      </w:r>
    </w:p>
    <w:p>
      <w:pPr>
        <w:spacing w:after="0" w:line="182" w:lineRule="exact"/>
        <w:rPr>
          <w:rFonts w:ascii="Arial" w:cs="Arial" w:eastAsia="Arial" w:hAnsi="Arial"/>
          <w:sz w:val="16"/>
          <w:szCs w:val="16"/>
          <w:color w:val="auto"/>
        </w:rPr>
      </w:pPr>
    </w:p>
    <w:p>
      <w:pPr>
        <w:ind w:left="596" w:right="160" w:hanging="303"/>
        <w:spacing w:after="0" w:line="280" w:lineRule="auto"/>
        <w:tabs>
          <w:tab w:leader="none" w:pos="596"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Group identifies insurance contracts as those under which it accepts a significant insurance risk from another party (the policyholder) by agreeing to compensate the policyholder if a specific uncertain future event (the insured event) adversely affects to the policyholder.</w:t>
      </w:r>
    </w:p>
    <w:p>
      <w:pPr>
        <w:spacing w:after="0" w:line="279" w:lineRule="exact"/>
        <w:rPr>
          <w:sz w:val="20"/>
          <w:szCs w:val="20"/>
          <w:color w:val="auto"/>
        </w:rPr>
      </w:pPr>
    </w:p>
    <w:p>
      <w:pPr>
        <w:ind w:left="4936"/>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16"/>
          </w:cols>
          <w:pgMar w:left="904" w:top="306" w:right="379" w:bottom="1440" w:gutter="0" w:footer="0" w:header="0"/>
        </w:sectPr>
      </w:pPr>
    </w:p>
    <w:bookmarkStart w:id="28" w:name="page29"/>
    <w:bookmarkEnd w:id="28"/>
    <w:p>
      <w:pPr>
        <w:ind w:left="303" w:right="260" w:hanging="303"/>
        <w:spacing w:after="0" w:line="280" w:lineRule="auto"/>
        <w:tabs>
          <w:tab w:leader="none" w:pos="3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Group evaluates the products and separates the implicit derivatives, the different investment components and the different goods or services of the insurance contract services and accounts for them in accordance with the standards that apply to them.</w:t>
      </w:r>
    </w:p>
    <w:p>
      <w:pPr>
        <w:spacing w:after="0" w:line="120" w:lineRule="exact"/>
        <w:rPr>
          <w:rFonts w:ascii="Arial" w:cs="Arial" w:eastAsia="Arial" w:hAnsi="Arial"/>
          <w:sz w:val="16"/>
          <w:szCs w:val="16"/>
          <w:color w:val="auto"/>
        </w:rPr>
      </w:pPr>
    </w:p>
    <w:p>
      <w:pPr>
        <w:ind w:left="303" w:hanging="303"/>
        <w:spacing w:after="0"/>
        <w:tabs>
          <w:tab w:leader="none" w:pos="3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Group divides insurance and reinsurance contracts into groups that it will recognize and measure.</w:t>
      </w:r>
    </w:p>
    <w:p>
      <w:pPr>
        <w:spacing w:after="0" w:line="182" w:lineRule="exact"/>
        <w:rPr>
          <w:rFonts w:ascii="Arial" w:cs="Arial" w:eastAsia="Arial" w:hAnsi="Arial"/>
          <w:sz w:val="16"/>
          <w:szCs w:val="16"/>
          <w:color w:val="auto"/>
        </w:rPr>
      </w:pPr>
    </w:p>
    <w:p>
      <w:pPr>
        <w:ind w:left="303" w:right="180" w:hanging="303"/>
        <w:spacing w:after="0" w:line="280" w:lineRule="auto"/>
        <w:tabs>
          <w:tab w:leader="none" w:pos="3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Group determines the Unit of Account (UoA) requested by the new regulation, for long-term businesses, taking into consideration the product portfolio, currency, cost and year of issue.</w:t>
      </w:r>
    </w:p>
    <w:p>
      <w:pPr>
        <w:spacing w:after="0" w:line="120" w:lineRule="exact"/>
        <w:rPr>
          <w:rFonts w:ascii="Arial" w:cs="Arial" w:eastAsia="Arial" w:hAnsi="Arial"/>
          <w:sz w:val="16"/>
          <w:szCs w:val="16"/>
          <w:color w:val="auto"/>
        </w:rPr>
      </w:pPr>
    </w:p>
    <w:p>
      <w:pPr>
        <w:ind w:left="303" w:hanging="303"/>
        <w:spacing w:after="0" w:line="280" w:lineRule="auto"/>
        <w:tabs>
          <w:tab w:leader="none" w:pos="3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general insurance and short-term life insurance contracts, the measurement principles of the premium allocation approach (PAA) do not differ significantly from the considerations used by the Group under IFRS 4:</w:t>
      </w:r>
    </w:p>
    <w:p>
      <w:pPr>
        <w:spacing w:after="0" w:line="120" w:lineRule="exact"/>
        <w:rPr>
          <w:rFonts w:ascii="Arial" w:cs="Arial" w:eastAsia="Arial" w:hAnsi="Arial"/>
          <w:sz w:val="16"/>
          <w:szCs w:val="16"/>
          <w:color w:val="auto"/>
        </w:rPr>
      </w:pPr>
    </w:p>
    <w:p>
      <w:pPr>
        <w:ind w:left="1183" w:hanging="303"/>
        <w:spacing w:after="0"/>
        <w:tabs>
          <w:tab w:leader="none" w:pos="11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Liability for Remaining Coverage reflects accrued premiums less insurance acquisition cash flows plus deferred premiums.</w:t>
      </w:r>
    </w:p>
    <w:p>
      <w:pPr>
        <w:spacing w:after="0" w:line="15" w:lineRule="exact"/>
        <w:rPr>
          <w:rFonts w:ascii="Arial" w:cs="Arial" w:eastAsia="Arial" w:hAnsi="Arial"/>
          <w:sz w:val="16"/>
          <w:szCs w:val="16"/>
          <w:color w:val="auto"/>
        </w:rPr>
      </w:pPr>
    </w:p>
    <w:p>
      <w:pPr>
        <w:ind w:left="1183" w:right="280" w:hanging="303"/>
        <w:spacing w:after="0" w:line="239" w:lineRule="auto"/>
        <w:tabs>
          <w:tab w:leader="none" w:pos="11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Group determines the level of onerousness of each group of contracts by calculating the combined ratio of each Unit of Account. If the Unit of Account is onerous, the liability for remaining coverage involves explicit recognition of the loss component.</w:t>
      </w:r>
    </w:p>
    <w:p>
      <w:pPr>
        <w:ind w:left="1183" w:right="360" w:hanging="303"/>
        <w:spacing w:after="0" w:line="259" w:lineRule="auto"/>
        <w:tabs>
          <w:tab w:leader="none" w:pos="11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measurement of the liability for incurred claims is determined based on the discounted value considering the expected payment flows and includes an explicit risk adjustment for non-financial risk.</w:t>
      </w:r>
    </w:p>
    <w:p>
      <w:pPr>
        <w:spacing w:after="0" w:line="136" w:lineRule="exact"/>
        <w:rPr>
          <w:rFonts w:ascii="Arial" w:cs="Arial" w:eastAsia="Arial" w:hAnsi="Arial"/>
          <w:sz w:val="16"/>
          <w:szCs w:val="16"/>
          <w:color w:val="auto"/>
        </w:rPr>
      </w:pPr>
    </w:p>
    <w:p>
      <w:pPr>
        <w:ind w:left="303" w:hanging="303"/>
        <w:spacing w:after="0"/>
        <w:tabs>
          <w:tab w:leader="none" w:pos="3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long-term life insurance contracts, the Group recognizes and measures groups of insurance contracts in:</w:t>
      </w:r>
    </w:p>
    <w:p>
      <w:pPr>
        <w:spacing w:after="0" w:line="182" w:lineRule="exact"/>
        <w:rPr>
          <w:rFonts w:ascii="Arial" w:cs="Arial" w:eastAsia="Arial" w:hAnsi="Arial"/>
          <w:sz w:val="16"/>
          <w:szCs w:val="16"/>
          <w:color w:val="auto"/>
        </w:rPr>
      </w:pPr>
    </w:p>
    <w:p>
      <w:pPr>
        <w:ind w:left="1183" w:right="60" w:hanging="303"/>
        <w:spacing w:after="0" w:line="249" w:lineRule="auto"/>
        <w:tabs>
          <w:tab w:leader="none" w:pos="11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A present value of expected future cash flows that incorporates all available information on fulfillment cash flows and considers market interest rates. A risk adjustment for non-financial risk is included.</w:t>
      </w:r>
    </w:p>
    <w:p>
      <w:pPr>
        <w:ind w:left="1183" w:hanging="303"/>
        <w:spacing w:after="0"/>
        <w:tabs>
          <w:tab w:leader="none" w:pos="11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 amount that represents the future technical profit (the contractual service margin or CSM) in the group of contracts.</w:t>
      </w:r>
    </w:p>
    <w:p>
      <w:pPr>
        <w:ind w:left="1183" w:right="260" w:hanging="303"/>
        <w:spacing w:after="0" w:line="249" w:lineRule="auto"/>
        <w:tabs>
          <w:tab w:leader="none" w:pos="11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Recognizes the gain from a group of insurance contracts during each period in which the Group provides insurance contract services, as the Group frees itself from risk. If a group of contracts is expected to be onerous (i.e. loss-making) during the remaining coverage period, the Group recognizes the loss immediately.</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color w:val="auto"/>
        </w:rPr>
        <w:t>Changes in presentation and disclosure –</w:t>
      </w:r>
    </w:p>
    <w:p>
      <w:pPr>
        <w:spacing w:after="0" w:line="183" w:lineRule="exact"/>
        <w:rPr>
          <w:sz w:val="20"/>
          <w:szCs w:val="20"/>
          <w:color w:val="auto"/>
        </w:rPr>
      </w:pPr>
    </w:p>
    <w:p>
      <w:pPr>
        <w:ind w:left="3" w:right="300"/>
        <w:spacing w:after="0" w:line="280" w:lineRule="auto"/>
        <w:rPr>
          <w:sz w:val="20"/>
          <w:szCs w:val="20"/>
          <w:color w:val="auto"/>
        </w:rPr>
      </w:pPr>
      <w:r>
        <w:rPr>
          <w:rFonts w:ascii="Arial" w:cs="Arial" w:eastAsia="Arial" w:hAnsi="Arial"/>
          <w:sz w:val="16"/>
          <w:szCs w:val="16"/>
          <w:color w:val="auto"/>
        </w:rPr>
        <w:t>For presentation in the consolidated statement of financial position, the Group groups together the insurance and reinsurance contracts and presents them separately:</w:t>
      </w:r>
    </w:p>
    <w:p>
      <w:pPr>
        <w:spacing w:after="0" w:line="120" w:lineRule="exact"/>
        <w:rPr>
          <w:sz w:val="20"/>
          <w:szCs w:val="20"/>
          <w:color w:val="auto"/>
        </w:rPr>
      </w:pPr>
    </w:p>
    <w:p>
      <w:pPr>
        <w:ind w:left="303" w:hanging="303"/>
        <w:spacing w:after="0"/>
        <w:tabs>
          <w:tab w:leader="none" w:pos="303"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Reinsurance Contract Assets.</w:t>
      </w:r>
    </w:p>
    <w:p>
      <w:pPr>
        <w:spacing w:after="0" w:line="15" w:lineRule="exact"/>
        <w:rPr>
          <w:rFonts w:ascii="Arial" w:cs="Arial" w:eastAsia="Arial" w:hAnsi="Arial"/>
          <w:sz w:val="16"/>
          <w:szCs w:val="16"/>
          <w:color w:val="auto"/>
        </w:rPr>
      </w:pPr>
    </w:p>
    <w:p>
      <w:pPr>
        <w:ind w:left="303" w:hanging="303"/>
        <w:spacing w:after="0"/>
        <w:tabs>
          <w:tab w:leader="none" w:pos="303"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Insurance Contract Liability.</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portfolios mentioned above are those established on initial recognition in accordance with the requirements of IFRS 17.</w:t>
      </w:r>
    </w:p>
    <w:p>
      <w:pPr>
        <w:spacing w:after="0" w:line="341" w:lineRule="exact"/>
        <w:rPr>
          <w:sz w:val="20"/>
          <w:szCs w:val="20"/>
          <w:color w:val="auto"/>
        </w:rPr>
      </w:pPr>
    </w:p>
    <w:p>
      <w:pPr>
        <w:ind w:left="4643"/>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43"/>
          </w:cols>
          <w:pgMar w:left="1197" w:top="306" w:right="359" w:bottom="1440" w:gutter="0" w:footer="0" w:header="0"/>
        </w:sectPr>
      </w:pPr>
    </w:p>
    <w:bookmarkStart w:id="29" w:name="page30"/>
    <w:bookmarkEnd w:id="29"/>
    <w:p>
      <w:pPr>
        <w:ind w:left="3"/>
        <w:spacing w:after="0" w:line="280" w:lineRule="auto"/>
        <w:rPr>
          <w:sz w:val="20"/>
          <w:szCs w:val="20"/>
          <w:color w:val="auto"/>
        </w:rPr>
      </w:pPr>
      <w:r>
        <w:rPr>
          <w:rFonts w:ascii="Arial" w:cs="Arial" w:eastAsia="Arial" w:hAnsi="Arial"/>
          <w:sz w:val="16"/>
          <w:szCs w:val="16"/>
          <w:color w:val="auto"/>
        </w:rPr>
        <w:t>The descriptions of items in the income statement and other comprehensive income have changed compared to last year. Previously, the Group reported the following items:</w:t>
      </w:r>
    </w:p>
    <w:p>
      <w:pPr>
        <w:spacing w:after="0" w:line="120" w:lineRule="exact"/>
        <w:rPr>
          <w:sz w:val="20"/>
          <w:szCs w:val="20"/>
          <w:color w:val="auto"/>
        </w:rPr>
      </w:pPr>
    </w:p>
    <w:p>
      <w:pPr>
        <w:ind w:left="303" w:hanging="303"/>
        <w:spacing w:after="0"/>
        <w:tabs>
          <w:tab w:leader="none" w:pos="303"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Claims.</w:t>
      </w:r>
    </w:p>
    <w:p>
      <w:pPr>
        <w:spacing w:after="0" w:line="15" w:lineRule="exact"/>
        <w:rPr>
          <w:rFonts w:ascii="Arial" w:cs="Arial" w:eastAsia="Arial" w:hAnsi="Arial"/>
          <w:sz w:val="16"/>
          <w:szCs w:val="16"/>
          <w:color w:val="auto"/>
        </w:rPr>
      </w:pPr>
    </w:p>
    <w:p>
      <w:pPr>
        <w:ind w:left="303" w:hanging="303"/>
        <w:spacing w:after="0"/>
        <w:tabs>
          <w:tab w:leader="none" w:pos="303"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Incurred for life general and health insurance contracts.</w:t>
      </w:r>
    </w:p>
    <w:p>
      <w:pPr>
        <w:ind w:left="303" w:hanging="303"/>
        <w:spacing w:after="0"/>
        <w:tabs>
          <w:tab w:leader="none" w:pos="303"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Acquisition costs.</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color w:val="auto"/>
        </w:rPr>
        <w:t>Instead, IFRS 17 requires the separate presentation of:</w:t>
      </w:r>
    </w:p>
    <w:p>
      <w:pPr>
        <w:spacing w:after="0" w:line="183" w:lineRule="exact"/>
        <w:rPr>
          <w:sz w:val="20"/>
          <w:szCs w:val="20"/>
          <w:color w:val="auto"/>
        </w:rPr>
      </w:pPr>
    </w:p>
    <w:p>
      <w:pPr>
        <w:ind w:left="303" w:hanging="303"/>
        <w:spacing w:after="0"/>
        <w:tabs>
          <w:tab w:leader="none" w:pos="3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Insurance Service result of the insurance service (which includes income and expenses of the insurance service).</w:t>
      </w:r>
    </w:p>
    <w:p>
      <w:pPr>
        <w:spacing w:after="0" w:line="15" w:lineRule="exact"/>
        <w:rPr>
          <w:rFonts w:ascii="Arial" w:cs="Arial" w:eastAsia="Arial" w:hAnsi="Arial"/>
          <w:sz w:val="16"/>
          <w:szCs w:val="16"/>
          <w:color w:val="auto"/>
        </w:rPr>
      </w:pPr>
    </w:p>
    <w:p>
      <w:pPr>
        <w:ind w:left="303" w:hanging="303"/>
        <w:spacing w:after="0"/>
        <w:tabs>
          <w:tab w:leader="none" w:pos="3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Underwriting result (which includes income and expenses from reinsurance contracts).</w:t>
      </w:r>
    </w:p>
    <w:p>
      <w:pPr>
        <w:ind w:left="303" w:hanging="303"/>
        <w:spacing w:after="0"/>
        <w:tabs>
          <w:tab w:leader="none" w:pos="3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net financial expenses of the insurance activity, which are presented in the headings of interest and similar expenses, see note 19.</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Group provides disaggregated qualitative and quantitative information in the notes to the financial statements on:</w:t>
      </w:r>
    </w:p>
    <w:p>
      <w:pPr>
        <w:spacing w:after="0" w:line="183" w:lineRule="exact"/>
        <w:rPr>
          <w:sz w:val="20"/>
          <w:szCs w:val="20"/>
          <w:color w:val="auto"/>
        </w:rPr>
      </w:pPr>
    </w:p>
    <w:p>
      <w:pPr>
        <w:ind w:left="303" w:hanging="303"/>
        <w:spacing w:after="0"/>
        <w:tabs>
          <w:tab w:leader="none" w:pos="303"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recognized in their financial statements for insurance contracts.</w:t>
      </w:r>
    </w:p>
    <w:p>
      <w:pPr>
        <w:spacing w:after="0" w:line="15" w:lineRule="exact"/>
        <w:rPr>
          <w:rFonts w:ascii="Arial" w:cs="Arial" w:eastAsia="Arial" w:hAnsi="Arial"/>
          <w:sz w:val="16"/>
          <w:szCs w:val="16"/>
          <w:color w:val="auto"/>
        </w:rPr>
      </w:pPr>
    </w:p>
    <w:p>
      <w:pPr>
        <w:ind w:left="303" w:hanging="303"/>
        <w:spacing w:after="0"/>
        <w:tabs>
          <w:tab w:leader="none" w:pos="303"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Significant judgments, and changes in those judgments, when applying the standard.</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color w:val="auto"/>
        </w:rPr>
        <w:t>Transition settings. -</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6"/>
          <w:szCs w:val="16"/>
          <w:color w:val="auto"/>
        </w:rPr>
        <w:t>On the transition date, January 1, 2022, the Group:</w:t>
      </w:r>
    </w:p>
    <w:p>
      <w:pPr>
        <w:spacing w:after="0" w:line="183" w:lineRule="exact"/>
        <w:rPr>
          <w:sz w:val="20"/>
          <w:szCs w:val="20"/>
          <w:color w:val="auto"/>
        </w:rPr>
      </w:pPr>
    </w:p>
    <w:p>
      <w:pPr>
        <w:ind w:left="303" w:hanging="303"/>
        <w:spacing w:after="0"/>
        <w:tabs>
          <w:tab w:leader="none" w:pos="303"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Has identified, recognized, and measured each group of insurance contracts as if IFRS 17 had always been applied.</w:t>
      </w:r>
    </w:p>
    <w:p>
      <w:pPr>
        <w:spacing w:after="0" w:line="15" w:lineRule="exact"/>
        <w:rPr>
          <w:rFonts w:ascii="Arial" w:cs="Arial" w:eastAsia="Arial" w:hAnsi="Arial"/>
          <w:sz w:val="16"/>
          <w:szCs w:val="16"/>
          <w:color w:val="auto"/>
        </w:rPr>
      </w:pPr>
    </w:p>
    <w:p>
      <w:pPr>
        <w:ind w:left="303" w:hanging="303"/>
        <w:spacing w:after="0"/>
        <w:tabs>
          <w:tab w:leader="none" w:pos="303"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Existing balances that would not exist if IFRS 17 had always been applied were derecognized.</w:t>
      </w:r>
    </w:p>
    <w:p>
      <w:pPr>
        <w:ind w:left="303" w:hanging="303"/>
        <w:spacing w:after="0"/>
        <w:tabs>
          <w:tab w:leader="none" w:pos="303"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Recognized any resulting net difference in equity.</w:t>
      </w:r>
    </w:p>
    <w:p>
      <w:pPr>
        <w:spacing w:after="0" w:line="167" w:lineRule="exact"/>
        <w:rPr>
          <w:sz w:val="20"/>
          <w:szCs w:val="20"/>
          <w:color w:val="auto"/>
        </w:rPr>
      </w:pPr>
    </w:p>
    <w:p>
      <w:pPr>
        <w:ind w:left="3" w:right="60"/>
        <w:spacing w:after="0" w:line="245" w:lineRule="auto"/>
        <w:rPr>
          <w:sz w:val="20"/>
          <w:szCs w:val="20"/>
          <w:color w:val="auto"/>
        </w:rPr>
      </w:pPr>
      <w:r>
        <w:rPr>
          <w:rFonts w:ascii="Arial" w:cs="Arial" w:eastAsia="Arial" w:hAnsi="Arial"/>
          <w:sz w:val="16"/>
          <w:szCs w:val="16"/>
          <w:color w:val="auto"/>
        </w:rPr>
        <w:t>The Group decided to apply the fair value transition methodology as obtaining reasonable and supportable information to apply the full retrospective approach was impracticable without disproportionate cost or effort. The fair value method consists of obtaining the amount for which a portfolio of liabilities could be transferred to a third party. This amount was compared with the balance of the estimate of technical provisions (Best Estimation of Liabilities – “BEL”) and Risk Adjustment existing on the transition date, and the result was the CSM on said date. Likewise, the future benefit provided by the insurance contracts (Contractual Service Margin – “CSM”) was determined and will be released in the income statement to the extent that the Group provides its services to the insured. In determining the fair value, the Group has applied the requirements of IFRS 13 Fair Value Measurement.</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To apply the fair value approach, the Group has used reasonable and sustainable information available at the transition date in order to:</w:t>
      </w:r>
    </w:p>
    <w:p>
      <w:pPr>
        <w:spacing w:after="0" w:line="183" w:lineRule="exact"/>
        <w:rPr>
          <w:sz w:val="20"/>
          <w:szCs w:val="20"/>
          <w:color w:val="auto"/>
        </w:rPr>
      </w:pPr>
    </w:p>
    <w:p>
      <w:pPr>
        <w:ind w:left="303" w:hanging="303"/>
        <w:spacing w:after="0"/>
        <w:tabs>
          <w:tab w:leader="none" w:pos="303" w:val="left"/>
        </w:tabs>
        <w:numPr>
          <w:ilvl w:val="0"/>
          <w:numId w:val="25"/>
        </w:numPr>
        <w:rPr>
          <w:rFonts w:ascii="Arial" w:cs="Arial" w:eastAsia="Arial" w:hAnsi="Arial"/>
          <w:sz w:val="16"/>
          <w:szCs w:val="16"/>
          <w:color w:val="auto"/>
        </w:rPr>
      </w:pPr>
      <w:r>
        <w:rPr>
          <w:rFonts w:ascii="Arial" w:cs="Arial" w:eastAsia="Arial" w:hAnsi="Arial"/>
          <w:sz w:val="16"/>
          <w:szCs w:val="16"/>
          <w:color w:val="auto"/>
        </w:rPr>
        <w:t>Identify groups of insurance contracts.</w:t>
      </w:r>
    </w:p>
    <w:p>
      <w:pPr>
        <w:spacing w:after="0" w:line="15" w:lineRule="exact"/>
        <w:rPr>
          <w:rFonts w:ascii="Arial" w:cs="Arial" w:eastAsia="Arial" w:hAnsi="Arial"/>
          <w:sz w:val="16"/>
          <w:szCs w:val="16"/>
          <w:color w:val="auto"/>
        </w:rPr>
      </w:pPr>
    </w:p>
    <w:p>
      <w:pPr>
        <w:ind w:left="303" w:hanging="303"/>
        <w:spacing w:after="0"/>
        <w:tabs>
          <w:tab w:leader="none" w:pos="303"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Determine if any contract is a direct participation insurance contract.</w:t>
      </w:r>
    </w:p>
    <w:p>
      <w:pPr>
        <w:ind w:left="303" w:hanging="303"/>
        <w:spacing w:after="0"/>
        <w:tabs>
          <w:tab w:leader="none" w:pos="303" w:val="left"/>
        </w:tabs>
        <w:numPr>
          <w:ilvl w:val="0"/>
          <w:numId w:val="25"/>
        </w:numPr>
        <w:rPr>
          <w:rFonts w:ascii="Arial" w:cs="Arial" w:eastAsia="Arial" w:hAnsi="Arial"/>
          <w:sz w:val="16"/>
          <w:szCs w:val="16"/>
          <w:color w:val="auto"/>
        </w:rPr>
      </w:pPr>
      <w:r>
        <w:rPr>
          <w:rFonts w:ascii="Arial" w:cs="Arial" w:eastAsia="Arial" w:hAnsi="Arial"/>
          <w:sz w:val="16"/>
          <w:szCs w:val="16"/>
          <w:color w:val="auto"/>
        </w:rPr>
        <w:t>Identify any discretionary cash flows for insurance contracts without direct participation features.</w:t>
      </w:r>
    </w:p>
    <w:p>
      <w:pPr>
        <w:spacing w:after="0" w:line="167" w:lineRule="exact"/>
        <w:rPr>
          <w:sz w:val="20"/>
          <w:szCs w:val="20"/>
          <w:color w:val="auto"/>
        </w:rPr>
      </w:pPr>
    </w:p>
    <w:p>
      <w:pPr>
        <w:jc w:val="both"/>
        <w:ind w:left="3" w:right="420"/>
        <w:spacing w:after="0" w:line="280" w:lineRule="auto"/>
        <w:rPr>
          <w:sz w:val="20"/>
          <w:szCs w:val="20"/>
          <w:color w:val="auto"/>
        </w:rPr>
      </w:pPr>
      <w:r>
        <w:rPr>
          <w:rFonts w:ascii="Arial" w:cs="Arial" w:eastAsia="Arial" w:hAnsi="Arial"/>
          <w:sz w:val="16"/>
          <w:szCs w:val="16"/>
          <w:color w:val="auto"/>
        </w:rPr>
        <w:t>The discount rate for the group of contracts applying the fair value approach was determined on the transition date. Therefore, to measure compliance cash flows at the transition date, the discount rate (locked-in rate) was determined using the bottom-up approach at inception.</w:t>
      </w:r>
    </w:p>
    <w:p>
      <w:pPr>
        <w:spacing w:after="0" w:line="279" w:lineRule="exact"/>
        <w:rPr>
          <w:sz w:val="20"/>
          <w:szCs w:val="20"/>
          <w:color w:val="auto"/>
        </w:rPr>
      </w:pPr>
    </w:p>
    <w:p>
      <w:pPr>
        <w:ind w:left="4643"/>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43"/>
          </w:cols>
          <w:pgMar w:left="1197" w:top="306" w:right="359" w:bottom="1440" w:gutter="0" w:footer="0" w:header="0"/>
        </w:sectPr>
      </w:pPr>
    </w:p>
    <w:bookmarkStart w:id="30" w:name="page31"/>
    <w:bookmarkEnd w:id="30"/>
    <w:p>
      <w:pPr>
        <w:ind w:left="296" w:right="40"/>
        <w:spacing w:after="0" w:line="252" w:lineRule="auto"/>
        <w:rPr>
          <w:sz w:val="20"/>
          <w:szCs w:val="20"/>
          <w:color w:val="auto"/>
        </w:rPr>
      </w:pPr>
      <w:r>
        <w:rPr>
          <w:rFonts w:ascii="Arial" w:cs="Arial" w:eastAsia="Arial" w:hAnsi="Arial"/>
          <w:sz w:val="16"/>
          <w:szCs w:val="16"/>
          <w:color w:val="auto"/>
        </w:rPr>
        <w:t>The Group has chosen to disaggregate insurance financial income or expenses between the amounts included in results and the amounts included in other comprehensive income and readjust to zero the accumulated amount of insurance financial income or expenses recognized in other comprehensive income on the date of Transition. The Group used the fair value approach for those contracts with initial recognition prior to January 1, 2022, and the full retrospective approach for contracts recognized on this date or later.</w:t>
      </w:r>
    </w:p>
    <w:p>
      <w:pPr>
        <w:spacing w:after="0" w:line="144" w:lineRule="exact"/>
        <w:rPr>
          <w:sz w:val="20"/>
          <w:szCs w:val="20"/>
          <w:color w:val="auto"/>
        </w:rPr>
      </w:pPr>
    </w:p>
    <w:p>
      <w:pPr>
        <w:ind w:left="296" w:right="200"/>
        <w:spacing w:after="0" w:line="249" w:lineRule="auto"/>
        <w:rPr>
          <w:sz w:val="20"/>
          <w:szCs w:val="20"/>
          <w:color w:val="auto"/>
        </w:rPr>
      </w:pPr>
      <w:r>
        <w:rPr>
          <w:rFonts w:ascii="Arial" w:cs="Arial" w:eastAsia="Arial" w:hAnsi="Arial"/>
          <w:sz w:val="16"/>
          <w:szCs w:val="16"/>
          <w:color w:val="auto"/>
        </w:rPr>
        <w:t>As a result of the initial application of IFRS 17, the Group has restated its consolidated financial statements as of January 1, 2022, mainly recognizing a decrease in equity of S/210.8 million and as of December 31, 2022, an increase in equity of S/15.5 million and net income of S/14.7 million. Additionally, IFRS 17 requires that the net balances of insurance and reinsurance contract portfolios be presented as assets or liabilities, as appropriate, in the consolidated statement of financial position. In this sense, the amounts related to these accounts differ from what was previously presented under IFRS 4 as of December 31, 2022, and January 1, 2022 (transition date).</w:t>
      </w:r>
    </w:p>
    <w:p>
      <w:pPr>
        <w:spacing w:after="0" w:line="145" w:lineRule="exact"/>
        <w:rPr>
          <w:sz w:val="20"/>
          <w:szCs w:val="20"/>
          <w:color w:val="auto"/>
        </w:rPr>
      </w:pPr>
    </w:p>
    <w:p>
      <w:pPr>
        <w:ind w:left="296" w:right="8380" w:hanging="296"/>
        <w:spacing w:after="0" w:line="478" w:lineRule="auto"/>
        <w:tabs>
          <w:tab w:leader="none" w:pos="2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Basis of consolidation – Investment in subsidiaries -</w:t>
      </w:r>
    </w:p>
    <w:p>
      <w:pPr>
        <w:ind w:left="296"/>
        <w:spacing w:after="0"/>
        <w:rPr>
          <w:rFonts w:ascii="Arial" w:cs="Arial" w:eastAsia="Arial" w:hAnsi="Arial"/>
          <w:sz w:val="16"/>
          <w:szCs w:val="16"/>
          <w:color w:val="auto"/>
        </w:rPr>
      </w:pPr>
      <w:r>
        <w:rPr>
          <w:rFonts w:ascii="Arial" w:cs="Arial" w:eastAsia="Arial" w:hAnsi="Arial"/>
          <w:sz w:val="16"/>
          <w:szCs w:val="16"/>
          <w:color w:val="auto"/>
        </w:rPr>
        <w:t>The consolidated financial statements comprise the financial statements of Credicorp and its Subsidiaries for all the years presented.</w:t>
      </w:r>
    </w:p>
    <w:p>
      <w:pPr>
        <w:spacing w:after="0" w:line="182" w:lineRule="exact"/>
        <w:rPr>
          <w:rFonts w:ascii="Arial" w:cs="Arial" w:eastAsia="Arial" w:hAnsi="Arial"/>
          <w:sz w:val="16"/>
          <w:szCs w:val="16"/>
          <w:color w:val="auto"/>
        </w:rPr>
      </w:pPr>
    </w:p>
    <w:p>
      <w:pPr>
        <w:ind w:left="296"/>
        <w:spacing w:after="0" w:line="259" w:lineRule="auto"/>
        <w:rPr>
          <w:rFonts w:ascii="Arial" w:cs="Arial" w:eastAsia="Arial" w:hAnsi="Arial"/>
          <w:sz w:val="16"/>
          <w:szCs w:val="16"/>
          <w:color w:val="auto"/>
        </w:rPr>
      </w:pPr>
      <w:r>
        <w:rPr>
          <w:rFonts w:ascii="Arial" w:cs="Arial" w:eastAsia="Arial" w:hAnsi="Arial"/>
          <w:sz w:val="16"/>
          <w:szCs w:val="16"/>
          <w:color w:val="auto"/>
        </w:rPr>
        <w:t>Under IFRS 10 all entities over which the Group has control are subsidiaries. Control is achieved when the Group is exposed, or has rights, to variable returns from its involvement with the investee and has the ability to affect those returns through its power over the investee. Specifically, the Group controls an investee if and only if the Group has:</w:t>
      </w:r>
    </w:p>
    <w:p>
      <w:pPr>
        <w:spacing w:after="0" w:line="137" w:lineRule="exact"/>
        <w:rPr>
          <w:rFonts w:ascii="Arial" w:cs="Arial" w:eastAsia="Arial" w:hAnsi="Arial"/>
          <w:sz w:val="16"/>
          <w:szCs w:val="16"/>
          <w:color w:val="auto"/>
        </w:rPr>
      </w:pPr>
    </w:p>
    <w:p>
      <w:pPr>
        <w:ind w:left="596" w:hanging="303"/>
        <w:spacing w:after="0"/>
        <w:tabs>
          <w:tab w:leader="none" w:pos="596" w:val="left"/>
        </w:tabs>
        <w:numPr>
          <w:ilvl w:val="1"/>
          <w:numId w:val="26"/>
        </w:numPr>
        <w:rPr>
          <w:rFonts w:ascii="Arial" w:cs="Arial" w:eastAsia="Arial" w:hAnsi="Arial"/>
          <w:sz w:val="16"/>
          <w:szCs w:val="16"/>
          <w:color w:val="auto"/>
        </w:rPr>
      </w:pPr>
      <w:r>
        <w:rPr>
          <w:rFonts w:ascii="Arial" w:cs="Arial" w:eastAsia="Arial" w:hAnsi="Arial"/>
          <w:sz w:val="16"/>
          <w:szCs w:val="16"/>
          <w:color w:val="auto"/>
        </w:rPr>
        <w:t>Power over the investee (i.e., existing rights that give it the current ability to direct the relevant activities of the investee).</w:t>
      </w:r>
    </w:p>
    <w:p>
      <w:pPr>
        <w:spacing w:after="0" w:line="15" w:lineRule="exact"/>
        <w:rPr>
          <w:rFonts w:ascii="Arial" w:cs="Arial" w:eastAsia="Arial" w:hAnsi="Arial"/>
          <w:sz w:val="16"/>
          <w:szCs w:val="16"/>
          <w:color w:val="auto"/>
        </w:rPr>
      </w:pPr>
    </w:p>
    <w:p>
      <w:pPr>
        <w:ind w:left="596" w:hanging="303"/>
        <w:spacing w:after="0"/>
        <w:tabs>
          <w:tab w:leader="none" w:pos="596" w:val="left"/>
        </w:tabs>
        <w:numPr>
          <w:ilvl w:val="1"/>
          <w:numId w:val="26"/>
        </w:numPr>
        <w:rPr>
          <w:rFonts w:ascii="Arial" w:cs="Arial" w:eastAsia="Arial" w:hAnsi="Arial"/>
          <w:sz w:val="16"/>
          <w:szCs w:val="16"/>
          <w:color w:val="auto"/>
        </w:rPr>
      </w:pPr>
      <w:r>
        <w:rPr>
          <w:rFonts w:ascii="Arial" w:cs="Arial" w:eastAsia="Arial" w:hAnsi="Arial"/>
          <w:sz w:val="16"/>
          <w:szCs w:val="16"/>
          <w:color w:val="auto"/>
        </w:rPr>
        <w:t>Exposure, or rights, to variable returns from its involvement with the investee, and</w:t>
      </w:r>
    </w:p>
    <w:p>
      <w:pPr>
        <w:ind w:left="596" w:hanging="303"/>
        <w:spacing w:after="0"/>
        <w:tabs>
          <w:tab w:leader="none" w:pos="596"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ability to use its power over the investee to affect its returns.</w:t>
      </w:r>
    </w:p>
    <w:p>
      <w:pPr>
        <w:spacing w:after="0" w:line="167" w:lineRule="exact"/>
        <w:rPr>
          <w:sz w:val="20"/>
          <w:szCs w:val="20"/>
          <w:color w:val="auto"/>
        </w:rPr>
      </w:pPr>
    </w:p>
    <w:p>
      <w:pPr>
        <w:jc w:val="both"/>
        <w:ind w:left="296" w:right="280"/>
        <w:spacing w:after="0" w:line="259" w:lineRule="auto"/>
        <w:rPr>
          <w:sz w:val="20"/>
          <w:szCs w:val="20"/>
          <w:color w:val="auto"/>
        </w:rPr>
      </w:pPr>
      <w:r>
        <w:rPr>
          <w:rFonts w:ascii="Arial" w:cs="Arial" w:eastAsia="Arial" w:hAnsi="Arial"/>
          <w:sz w:val="16"/>
          <w:szCs w:val="16"/>
          <w:color w:val="auto"/>
        </w:rPr>
        <w:t>Generally, there is a presumption that a majority of voting rights results in control. To support this presumption and when the Group has less than a majority of the voting or similar rights of an investee, the Group considers all relevant facts and circumstances in assessing whether it has power over an investee, including:</w:t>
      </w:r>
    </w:p>
    <w:p>
      <w:pPr>
        <w:spacing w:after="0" w:line="137" w:lineRule="exact"/>
        <w:rPr>
          <w:sz w:val="20"/>
          <w:szCs w:val="20"/>
          <w:color w:val="auto"/>
        </w:rPr>
      </w:pPr>
    </w:p>
    <w:p>
      <w:pPr>
        <w:ind w:left="596" w:hanging="303"/>
        <w:spacing w:after="0"/>
        <w:tabs>
          <w:tab w:leader="none" w:pos="59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contractual arrangement with the other vote holders of the investee.</w:t>
      </w:r>
    </w:p>
    <w:p>
      <w:pPr>
        <w:spacing w:after="0" w:line="15" w:lineRule="exact"/>
        <w:rPr>
          <w:rFonts w:ascii="Arial" w:cs="Arial" w:eastAsia="Arial" w:hAnsi="Arial"/>
          <w:sz w:val="16"/>
          <w:szCs w:val="16"/>
          <w:color w:val="auto"/>
        </w:rPr>
      </w:pPr>
    </w:p>
    <w:p>
      <w:pPr>
        <w:ind w:left="596" w:hanging="303"/>
        <w:spacing w:after="0"/>
        <w:tabs>
          <w:tab w:leader="none" w:pos="596" w:val="left"/>
        </w:tabs>
        <w:numPr>
          <w:ilvl w:val="0"/>
          <w:numId w:val="27"/>
        </w:numPr>
        <w:rPr>
          <w:rFonts w:ascii="Arial" w:cs="Arial" w:eastAsia="Arial" w:hAnsi="Arial"/>
          <w:sz w:val="16"/>
          <w:szCs w:val="16"/>
          <w:color w:val="auto"/>
        </w:rPr>
      </w:pPr>
      <w:r>
        <w:rPr>
          <w:rFonts w:ascii="Arial" w:cs="Arial" w:eastAsia="Arial" w:hAnsi="Arial"/>
          <w:sz w:val="16"/>
          <w:szCs w:val="16"/>
          <w:color w:val="auto"/>
        </w:rPr>
        <w:t>Rights arising from other contractual arrangements.</w:t>
      </w:r>
    </w:p>
    <w:p>
      <w:pPr>
        <w:ind w:left="596" w:hanging="303"/>
        <w:spacing w:after="0"/>
        <w:tabs>
          <w:tab w:leader="none" w:pos="59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Group’s voting rights and potential voting rights.</w:t>
      </w:r>
    </w:p>
    <w:p>
      <w:pPr>
        <w:spacing w:after="0" w:line="167" w:lineRule="exact"/>
        <w:rPr>
          <w:sz w:val="20"/>
          <w:szCs w:val="20"/>
          <w:color w:val="auto"/>
        </w:rPr>
      </w:pPr>
    </w:p>
    <w:p>
      <w:pPr>
        <w:jc w:val="both"/>
        <w:ind w:left="296" w:right="40"/>
        <w:spacing w:after="0" w:line="259" w:lineRule="auto"/>
        <w:rPr>
          <w:sz w:val="20"/>
          <w:szCs w:val="20"/>
          <w:color w:val="auto"/>
        </w:rPr>
      </w:pPr>
      <w:r>
        <w:rPr>
          <w:rFonts w:ascii="Arial" w:cs="Arial" w:eastAsia="Arial" w:hAnsi="Arial"/>
          <w:sz w:val="16"/>
          <w:szCs w:val="16"/>
          <w:color w:val="auto"/>
        </w:rPr>
        <w:t>The Group assesses whether or not it controls an investee if the facts and circumstances indicate that there are changes in any of the elements of control. Consolidation of a subsidiary begins when the Group obtains control over the subsidiary and ceases when the Group loses control of the subsidiary. The consolidated financial statements include assets, liabilities, income and expenses of Credicorp and its subsidiaries.</w:t>
      </w:r>
    </w:p>
    <w:p>
      <w:pPr>
        <w:spacing w:after="0" w:line="137" w:lineRule="exact"/>
        <w:rPr>
          <w:sz w:val="20"/>
          <w:szCs w:val="20"/>
          <w:color w:val="auto"/>
        </w:rPr>
      </w:pPr>
    </w:p>
    <w:p>
      <w:pPr>
        <w:ind w:left="296" w:right="60"/>
        <w:spacing w:after="0" w:line="249" w:lineRule="auto"/>
        <w:rPr>
          <w:sz w:val="20"/>
          <w:szCs w:val="20"/>
          <w:color w:val="auto"/>
        </w:rPr>
      </w:pPr>
      <w:r>
        <w:rPr>
          <w:rFonts w:ascii="Arial" w:cs="Arial" w:eastAsia="Arial" w:hAnsi="Arial"/>
          <w:sz w:val="16"/>
          <w:szCs w:val="16"/>
          <w:color w:val="auto"/>
        </w:rPr>
        <w:t>Profit or loss for the period and each component of the other comprehensive income (OCI) are attributed to the equity holders of the parent of the Group and to the non-controlling interest, even if this results in the non-controlling interest with a negative balance. When necessary, adjustments are made to the financial statements of subsidiaries to bring their accounting policies into line with the Group’s accounting policies. All intra-group assets and liabilities, equity, income, expenses and cash flows relating to transactions between members of the Group are eliminated in full on consolidation.</w:t>
      </w:r>
    </w:p>
    <w:p>
      <w:pPr>
        <w:spacing w:after="0" w:line="304" w:lineRule="exact"/>
        <w:rPr>
          <w:sz w:val="20"/>
          <w:szCs w:val="20"/>
          <w:color w:val="auto"/>
        </w:rPr>
      </w:pPr>
    </w:p>
    <w:p>
      <w:pPr>
        <w:ind w:left="4936"/>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56"/>
          </w:cols>
          <w:pgMar w:left="904" w:top="306" w:right="339" w:bottom="1440" w:gutter="0" w:footer="0" w:header="0"/>
        </w:sectPr>
      </w:pPr>
    </w:p>
    <w:bookmarkStart w:id="31" w:name="page32"/>
    <w:bookmarkEnd w:id="31"/>
    <w:p>
      <w:pPr>
        <w:ind w:right="220"/>
        <w:spacing w:after="0" w:line="280" w:lineRule="auto"/>
        <w:rPr>
          <w:sz w:val="20"/>
          <w:szCs w:val="20"/>
          <w:color w:val="auto"/>
        </w:rPr>
      </w:pPr>
      <w:r>
        <w:rPr>
          <w:rFonts w:ascii="Arial" w:cs="Arial" w:eastAsia="Arial" w:hAnsi="Arial"/>
          <w:sz w:val="16"/>
          <w:szCs w:val="16"/>
          <w:color w:val="auto"/>
        </w:rPr>
        <w:t>Assets in custody or managed by the Group, such as investment funds and private pension funds (AFP funds) and others, are not part of the Group’s consolidated financial statements, note 3(x).</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with non-controlling interest -</w:t>
      </w:r>
    </w:p>
    <w:p>
      <w:pPr>
        <w:spacing w:after="0" w:line="183" w:lineRule="exact"/>
        <w:rPr>
          <w:sz w:val="20"/>
          <w:szCs w:val="20"/>
          <w:color w:val="auto"/>
        </w:rPr>
      </w:pPr>
    </w:p>
    <w:p>
      <w:pPr>
        <w:ind w:right="560"/>
        <w:spacing w:after="0" w:line="259" w:lineRule="auto"/>
        <w:rPr>
          <w:sz w:val="20"/>
          <w:szCs w:val="20"/>
          <w:color w:val="auto"/>
        </w:rPr>
      </w:pPr>
      <w:r>
        <w:rPr>
          <w:rFonts w:ascii="Arial" w:cs="Arial" w:eastAsia="Arial" w:hAnsi="Arial"/>
          <w:sz w:val="16"/>
          <w:szCs w:val="16"/>
          <w:color w:val="auto"/>
        </w:rPr>
        <w:t>A change in the ownership interest of a subsidiary, without a loss of control, is accounted for as an equity transaction and any resulting difference between the price paid and the price for which non-controlling interests are adjusted is recognized directly in the consolidated statement of changes in equity.</w:t>
      </w:r>
    </w:p>
    <w:p>
      <w:pPr>
        <w:spacing w:after="0" w:line="137"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The Group does not record any additional goodwill after the purchase of the non-controlling interest, nor does it recognize a gain or loss from the sale of the non-controlling interest.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Loss of control -</w:t>
      </w:r>
    </w:p>
    <w:p>
      <w:pPr>
        <w:spacing w:after="0" w:line="183"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If the Group loses control over a subsidiary, it derecognizes the carrying amount of the related assets (including goodwill) and liabilities, non-controlling interest and other components of equity, while any resultant gain or loss is recognized in profit or loss. Any residual investment retained is recognized at fair value.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associates -</w:t>
      </w:r>
    </w:p>
    <w:p>
      <w:pPr>
        <w:spacing w:after="0" w:line="183" w:lineRule="exact"/>
        <w:rPr>
          <w:sz w:val="20"/>
          <w:szCs w:val="20"/>
          <w:color w:val="auto"/>
        </w:rPr>
      </w:pPr>
    </w:p>
    <w:p>
      <w:pPr>
        <w:ind w:right="360"/>
        <w:spacing w:after="0" w:line="280" w:lineRule="auto"/>
        <w:rPr>
          <w:sz w:val="20"/>
          <w:szCs w:val="20"/>
          <w:color w:val="auto"/>
        </w:rPr>
      </w:pPr>
      <w:r>
        <w:rPr>
          <w:rFonts w:ascii="Arial" w:cs="Arial" w:eastAsia="Arial" w:hAnsi="Arial"/>
          <w:sz w:val="16"/>
          <w:szCs w:val="16"/>
          <w:color w:val="auto"/>
        </w:rPr>
        <w:t>An associate is an entity over which the Group has significant influence. Significant influence is the power to participate in the financial and operating policy decisions of the entity, but without exercising control over said policies.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Group’s investments in its associates are recognized initially at cost and are subsequently accounted for using the equity method. They are included in “Other assets” in the consolidated statement of financial position; the returns resulting from the use of the equity method of accounting are included in “Net gain on securities” of the consolidated statement of income.</w:t>
      </w:r>
    </w:p>
    <w:p>
      <w:pPr>
        <w:spacing w:after="0" w:line="29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41275</wp:posOffset>
            </wp:positionV>
            <wp:extent cx="714565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20"/>
          </w:cols>
          <w:pgMar w:left="1200" w:top="306" w:right="379" w:bottom="1440" w:gutter="0" w:footer="0" w:header="0"/>
        </w:sectPr>
      </w:pPr>
    </w:p>
    <w:bookmarkStart w:id="32" w:name="page33"/>
    <w:bookmarkEnd w:id="32"/>
    <w:p>
      <w:pPr>
        <w:ind w:left="2" w:right="380"/>
        <w:spacing w:after="0" w:line="259" w:lineRule="auto"/>
        <w:rPr>
          <w:sz w:val="20"/>
          <w:szCs w:val="20"/>
          <w:color w:val="auto"/>
        </w:rPr>
      </w:pPr>
      <w:r>
        <w:rPr>
          <w:rFonts w:ascii="Arial" w:cs="Arial" w:eastAsia="Arial" w:hAnsi="Arial"/>
          <w:sz w:val="16"/>
          <w:szCs w:val="16"/>
          <w:color w:val="auto"/>
        </w:rPr>
        <w:t>As of December 31, 2023, and 2022, the following entities comprise the Group (the individual or consolidated figures of their financial statements are presented in accordance with IFRS and before eliminations for consolidation purposes, except for the elimination of Credicorp’s treasury shares and its related dividends):</w:t>
      </w:r>
    </w:p>
    <w:p>
      <w:pPr>
        <w:spacing w:after="0" w:line="144"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Arial" w:cs="Arial" w:eastAsia="Arial" w:hAnsi="Arial"/>
                <w:sz w:val="13"/>
                <w:szCs w:val="13"/>
                <w:b w:val="1"/>
                <w:bCs w:val="1"/>
                <w:color w:val="auto"/>
              </w:rPr>
              <w:t>Activity and country of</w:t>
            </w:r>
          </w:p>
        </w:tc>
        <w:tc>
          <w:tcPr>
            <w:tcW w:w="1520" w:type="dxa"/>
            <w:vAlign w:val="bottom"/>
            <w:gridSpan w:val="5"/>
          </w:tcPr>
          <w:p>
            <w:pPr>
              <w:spacing w:after="0"/>
              <w:rPr>
                <w:sz w:val="20"/>
                <w:szCs w:val="20"/>
                <w:color w:val="auto"/>
              </w:rPr>
            </w:pPr>
            <w:r>
              <w:rPr>
                <w:rFonts w:ascii="Arial" w:cs="Arial" w:eastAsia="Arial" w:hAnsi="Arial"/>
                <w:sz w:val="13"/>
                <w:szCs w:val="13"/>
                <w:b w:val="1"/>
                <w:bCs w:val="1"/>
                <w:color w:val="auto"/>
              </w:rPr>
              <w:t>Percentage of interest</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540" w:type="dxa"/>
            <w:vAlign w:val="bottom"/>
            <w:gridSpan w:val="2"/>
          </w:tcPr>
          <w:p>
            <w:pPr>
              <w:spacing w:after="0"/>
              <w:rPr>
                <w:sz w:val="20"/>
                <w:szCs w:val="20"/>
                <w:color w:val="auto"/>
              </w:rPr>
            </w:pPr>
            <w:r>
              <w:rPr>
                <w:rFonts w:ascii="Arial" w:cs="Arial" w:eastAsia="Arial" w:hAnsi="Arial"/>
                <w:sz w:val="13"/>
                <w:szCs w:val="13"/>
                <w:b w:val="1"/>
                <w:bCs w:val="1"/>
                <w:color w:val="auto"/>
              </w:rPr>
              <w:t>Entity</w:t>
            </w:r>
          </w:p>
        </w:tc>
        <w:tc>
          <w:tcPr>
            <w:tcW w:w="1500" w:type="dxa"/>
            <w:vAlign w:val="bottom"/>
            <w:gridSpan w:val="2"/>
          </w:tcPr>
          <w:p>
            <w:pPr>
              <w:spacing w:after="0"/>
              <w:rPr>
                <w:sz w:val="20"/>
                <w:szCs w:val="20"/>
                <w:color w:val="auto"/>
              </w:rPr>
            </w:pPr>
            <w:r>
              <w:rPr>
                <w:rFonts w:ascii="Arial" w:cs="Arial" w:eastAsia="Arial" w:hAnsi="Arial"/>
                <w:sz w:val="13"/>
                <w:szCs w:val="13"/>
                <w:b w:val="1"/>
                <w:bCs w:val="1"/>
                <w:color w:val="auto"/>
              </w:rPr>
              <w:t>incorporation</w:t>
            </w:r>
          </w:p>
        </w:tc>
        <w:tc>
          <w:tcPr>
            <w:tcW w:w="1520" w:type="dxa"/>
            <w:vAlign w:val="bottom"/>
            <w:gridSpan w:val="5"/>
          </w:tcPr>
          <w:p>
            <w:pPr>
              <w:spacing w:after="0"/>
              <w:rPr>
                <w:sz w:val="20"/>
                <w:szCs w:val="20"/>
                <w:color w:val="auto"/>
              </w:rPr>
            </w:pPr>
            <w:r>
              <w:rPr>
                <w:rFonts w:ascii="Arial" w:cs="Arial" w:eastAsia="Arial" w:hAnsi="Arial"/>
                <w:sz w:val="13"/>
                <w:szCs w:val="13"/>
                <w:b w:val="1"/>
                <w:bCs w:val="1"/>
                <w:color w:val="auto"/>
              </w:rPr>
              <w:t>(direct and indirect)</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3"/>
              </w:rPr>
              <w:t>Assets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Equity</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Arial" w:cs="Arial" w:eastAsia="Arial" w:hAnsi="Arial"/>
                <w:sz w:val="13"/>
                <w:szCs w:val="13"/>
                <w:b w:val="1"/>
                <w:bCs w:val="1"/>
                <w:color w:val="auto"/>
              </w:rPr>
              <w:t>Net profit (loss)</w:t>
            </w:r>
          </w:p>
        </w:tc>
      </w:tr>
      <w:tr>
        <w:trPr>
          <w:trHeight w:val="151"/>
        </w:trPr>
        <w:tc>
          <w:tcPr>
            <w:tcW w:w="1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3"/>
                <w:szCs w:val="13"/>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3"/>
                <w:szCs w:val="13"/>
                <w:color w:val="auto"/>
              </w:rPr>
            </w:pPr>
          </w:p>
        </w:tc>
      </w:tr>
      <w:tr>
        <w:trPr>
          <w:trHeight w:val="170"/>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r>
      <w:tr>
        <w:trPr>
          <w:trHeight w:val="254"/>
        </w:trPr>
        <w:tc>
          <w:tcPr>
            <w:tcW w:w="1540" w:type="dxa"/>
            <w:vAlign w:val="bottom"/>
            <w:gridSpan w:val="2"/>
          </w:tcPr>
          <w:p>
            <w:pPr>
              <w:ind w:left="40"/>
              <w:spacing w:after="0"/>
              <w:rPr>
                <w:sz w:val="20"/>
                <w:szCs w:val="20"/>
                <w:color w:val="auto"/>
              </w:rPr>
            </w:pPr>
            <w:r>
              <w:rPr>
                <w:rFonts w:ascii="Arial" w:cs="Arial" w:eastAsia="Arial" w:hAnsi="Arial"/>
                <w:sz w:val="13"/>
                <w:szCs w:val="13"/>
                <w:color w:val="auto"/>
              </w:rPr>
              <w:t>Grupo Crédito S.A. and</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Holding, Peru</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100.00</w:t>
            </w: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100.00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w w:val="94"/>
              </w:rPr>
              <w:t>213,520,111</w:t>
            </w: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211,585,283</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181,336,108</w:t>
            </w: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181,786,223</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32,184,003</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w w:val="98"/>
              </w:rPr>
              <w:t>29,799,060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4,562,831</w:t>
            </w:r>
          </w:p>
        </w:tc>
        <w:tc>
          <w:tcPr>
            <w:tcW w:w="18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4,598,002</w:t>
            </w:r>
          </w:p>
        </w:tc>
      </w:tr>
      <w:tr>
        <w:trPr>
          <w:trHeight w:val="172"/>
        </w:trPr>
        <w:tc>
          <w:tcPr>
            <w:tcW w:w="1540" w:type="dxa"/>
            <w:vAlign w:val="bottom"/>
            <w:gridSpan w:val="2"/>
          </w:tcPr>
          <w:p>
            <w:pPr>
              <w:ind w:left="40"/>
              <w:spacing w:after="0"/>
              <w:rPr>
                <w:sz w:val="20"/>
                <w:szCs w:val="20"/>
                <w:color w:val="auto"/>
              </w:rPr>
            </w:pPr>
            <w:r>
              <w:rPr>
                <w:rFonts w:ascii="Arial" w:cs="Arial" w:eastAsia="Arial" w:hAnsi="Arial"/>
                <w:sz w:val="13"/>
                <w:szCs w:val="13"/>
                <w:color w:val="auto"/>
              </w:rPr>
              <w:t>Subsidiaries (i)</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8"/>
        </w:trPr>
        <w:tc>
          <w:tcPr>
            <w:tcW w:w="1540" w:type="dxa"/>
            <w:vAlign w:val="bottom"/>
            <w:gridSpan w:val="2"/>
          </w:tcPr>
          <w:p>
            <w:pPr>
              <w:ind w:left="40"/>
              <w:spacing w:after="0"/>
              <w:rPr>
                <w:sz w:val="20"/>
                <w:szCs w:val="20"/>
                <w:color w:val="auto"/>
              </w:rPr>
            </w:pPr>
            <w:r>
              <w:rPr>
                <w:rFonts w:ascii="Arial" w:cs="Arial" w:eastAsia="Arial" w:hAnsi="Arial"/>
                <w:sz w:val="13"/>
                <w:szCs w:val="13"/>
                <w:color w:val="auto"/>
              </w:rPr>
              <w:t>Pacífico Compañía de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Insurance, Peru</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98.86</w:t>
            </w: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98.86</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16,549,171</w:t>
            </w: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15,895,361</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13,443,688</w:t>
            </w: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13,486,189</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3,105,483</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2,409,172</w:t>
            </w:r>
          </w:p>
        </w:tc>
        <w:tc>
          <w:tcPr>
            <w:tcW w:w="580" w:type="dxa"/>
            <w:vAlign w:val="bottom"/>
          </w:tcPr>
          <w:p>
            <w:pPr>
              <w:jc w:val="right"/>
              <w:spacing w:after="0"/>
              <w:rPr>
                <w:sz w:val="20"/>
                <w:szCs w:val="20"/>
                <w:color w:val="auto"/>
              </w:rPr>
            </w:pPr>
            <w:r>
              <w:rPr>
                <w:rFonts w:ascii="Arial" w:cs="Arial" w:eastAsia="Arial" w:hAnsi="Arial"/>
                <w:sz w:val="13"/>
                <w:szCs w:val="13"/>
                <w:color w:val="auto"/>
              </w:rPr>
              <w:t>803,384</w:t>
            </w:r>
          </w:p>
        </w:tc>
        <w:tc>
          <w:tcPr>
            <w:tcW w:w="180" w:type="dxa"/>
            <w:vAlign w:val="bottom"/>
          </w:tcPr>
          <w:p>
            <w:pPr>
              <w:spacing w:after="0"/>
              <w:rPr>
                <w:sz w:val="23"/>
                <w:szCs w:val="2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460,326</w:t>
            </w:r>
          </w:p>
        </w:tc>
      </w:tr>
      <w:tr>
        <w:trPr>
          <w:trHeight w:val="147"/>
        </w:trPr>
        <w:tc>
          <w:tcPr>
            <w:tcW w:w="15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Seguros y Reaseguros</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540" w:type="dxa"/>
            <w:vAlign w:val="bottom"/>
            <w:gridSpan w:val="2"/>
          </w:tcPr>
          <w:p>
            <w:pPr>
              <w:ind w:left="40"/>
              <w:spacing w:after="0"/>
              <w:rPr>
                <w:sz w:val="20"/>
                <w:szCs w:val="20"/>
                <w:color w:val="auto"/>
              </w:rPr>
            </w:pPr>
            <w:r>
              <w:rPr>
                <w:rFonts w:ascii="Arial" w:cs="Arial" w:eastAsia="Arial" w:hAnsi="Arial"/>
                <w:sz w:val="13"/>
                <w:szCs w:val="13"/>
                <w:color w:val="auto"/>
              </w:rPr>
              <w:t>S.A and Subsidiaries (ii)</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8"/>
        </w:trPr>
        <w:tc>
          <w:tcPr>
            <w:tcW w:w="1540" w:type="dxa"/>
            <w:vAlign w:val="bottom"/>
            <w:gridSpan w:val="2"/>
          </w:tcPr>
          <w:p>
            <w:pPr>
              <w:ind w:left="40"/>
              <w:spacing w:after="0"/>
              <w:rPr>
                <w:sz w:val="20"/>
                <w:szCs w:val="20"/>
                <w:color w:val="auto"/>
              </w:rPr>
            </w:pPr>
            <w:r>
              <w:rPr>
                <w:rFonts w:ascii="Arial" w:cs="Arial" w:eastAsia="Arial" w:hAnsi="Arial"/>
                <w:sz w:val="13"/>
                <w:szCs w:val="13"/>
                <w:color w:val="auto"/>
              </w:rPr>
              <w:t>Atlantic Security</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Capital Markets,</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100.00</w:t>
            </w: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100.00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6,870,781</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9,536,197</w:t>
            </w:r>
          </w:p>
        </w:tc>
        <w:tc>
          <w:tcPr>
            <w:tcW w:w="16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5,729,744</w:t>
            </w: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7,643,879</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1,141,037</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1,892,318</w:t>
            </w:r>
          </w:p>
        </w:tc>
        <w:tc>
          <w:tcPr>
            <w:tcW w:w="580" w:type="dxa"/>
            <w:vAlign w:val="bottom"/>
          </w:tcPr>
          <w:p>
            <w:pPr>
              <w:jc w:val="right"/>
              <w:spacing w:after="0"/>
              <w:rPr>
                <w:sz w:val="20"/>
                <w:szCs w:val="20"/>
                <w:color w:val="auto"/>
              </w:rPr>
            </w:pPr>
            <w:r>
              <w:rPr>
                <w:rFonts w:ascii="Arial" w:cs="Arial" w:eastAsia="Arial" w:hAnsi="Arial"/>
                <w:sz w:val="13"/>
                <w:szCs w:val="13"/>
                <w:color w:val="auto"/>
              </w:rPr>
              <w:t>474,780</w:t>
            </w:r>
          </w:p>
        </w:tc>
        <w:tc>
          <w:tcPr>
            <w:tcW w:w="180" w:type="dxa"/>
            <w:vAlign w:val="bottom"/>
          </w:tcPr>
          <w:p>
            <w:pPr>
              <w:spacing w:after="0"/>
              <w:rPr>
                <w:sz w:val="23"/>
                <w:szCs w:val="2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228,474</w:t>
            </w:r>
          </w:p>
        </w:tc>
      </w:tr>
      <w:tr>
        <w:trPr>
          <w:trHeight w:val="147"/>
        </w:trPr>
        <w:tc>
          <w:tcPr>
            <w:tcW w:w="15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Holding Corporation</w:t>
            </w:r>
          </w:p>
        </w:tc>
        <w:tc>
          <w:tcPr>
            <w:tcW w:w="15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Cayman Islands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15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and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540" w:type="dxa"/>
            <w:vAlign w:val="bottom"/>
            <w:gridSpan w:val="2"/>
          </w:tcPr>
          <w:p>
            <w:pPr>
              <w:ind w:left="40"/>
              <w:spacing w:after="0"/>
              <w:rPr>
                <w:sz w:val="20"/>
                <w:szCs w:val="20"/>
                <w:color w:val="auto"/>
              </w:rPr>
            </w:pPr>
            <w:r>
              <w:rPr>
                <w:rFonts w:ascii="Arial" w:cs="Arial" w:eastAsia="Arial" w:hAnsi="Arial"/>
                <w:sz w:val="13"/>
                <w:szCs w:val="13"/>
                <w:color w:val="auto"/>
              </w:rPr>
              <w:t>Subsidiaries (iii)</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8"/>
        </w:trPr>
        <w:tc>
          <w:tcPr>
            <w:tcW w:w="1540" w:type="dxa"/>
            <w:vAlign w:val="bottom"/>
            <w:gridSpan w:val="2"/>
          </w:tcPr>
          <w:p>
            <w:pPr>
              <w:ind w:left="40"/>
              <w:spacing w:after="0"/>
              <w:rPr>
                <w:sz w:val="20"/>
                <w:szCs w:val="20"/>
                <w:color w:val="auto"/>
              </w:rPr>
            </w:pPr>
            <w:r>
              <w:rPr>
                <w:rFonts w:ascii="Arial" w:cs="Arial" w:eastAsia="Arial" w:hAnsi="Arial"/>
                <w:sz w:val="13"/>
                <w:szCs w:val="13"/>
                <w:color w:val="auto"/>
              </w:rPr>
              <w:t>Credicorp Capital Ltd.</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Capital Markets and</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100.00</w:t>
            </w: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100.00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5,817,259</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4,504,629</w:t>
            </w:r>
          </w:p>
        </w:tc>
        <w:tc>
          <w:tcPr>
            <w:tcW w:w="16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4,655,097</w:t>
            </w: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3,559,262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1,162,162</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945,367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(135,495)</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31,089</w:t>
            </w:r>
          </w:p>
        </w:tc>
      </w:tr>
      <w:tr>
        <w:trPr>
          <w:trHeight w:val="147"/>
        </w:trPr>
        <w:tc>
          <w:tcPr>
            <w:tcW w:w="15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and Subsidiaries (iv)</w:t>
            </w:r>
          </w:p>
        </w:tc>
        <w:tc>
          <w:tcPr>
            <w:tcW w:w="15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asset management,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Bermuda</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8"/>
        </w:trPr>
        <w:tc>
          <w:tcPr>
            <w:tcW w:w="1540" w:type="dxa"/>
            <w:vAlign w:val="bottom"/>
            <w:gridSpan w:val="2"/>
          </w:tcPr>
          <w:p>
            <w:pPr>
              <w:ind w:left="40"/>
              <w:spacing w:after="0"/>
              <w:rPr>
                <w:sz w:val="20"/>
                <w:szCs w:val="20"/>
                <w:color w:val="auto"/>
              </w:rPr>
            </w:pPr>
            <w:r>
              <w:rPr>
                <w:rFonts w:ascii="Arial" w:cs="Arial" w:eastAsia="Arial" w:hAnsi="Arial"/>
                <w:sz w:val="13"/>
                <w:szCs w:val="13"/>
                <w:color w:val="auto"/>
              </w:rPr>
              <w:t>CCR Inc.(v)</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Special purpose Entity,</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100.00</w:t>
            </w: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100.00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347</w:t>
            </w: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388</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69</w:t>
            </w: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4</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278</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384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(106)</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(646)</w:t>
            </w:r>
          </w:p>
        </w:tc>
      </w:tr>
      <w:tr>
        <w:trPr>
          <w:trHeight w:val="172"/>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Bahamas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149" w:lineRule="exact"/>
        <w:rPr>
          <w:sz w:val="20"/>
          <w:szCs w:val="20"/>
          <w:color w:val="auto"/>
        </w:rPr>
      </w:pPr>
    </w:p>
    <w:p>
      <w:pPr>
        <w:jc w:val="both"/>
        <w:ind w:left="342" w:hanging="342"/>
        <w:spacing w:after="0" w:line="259" w:lineRule="auto"/>
        <w:tabs>
          <w:tab w:leader="none" w:pos="342" w:val="left"/>
        </w:tabs>
        <w:numPr>
          <w:ilvl w:val="0"/>
          <w:numId w:val="28"/>
        </w:numPr>
        <w:rPr>
          <w:rFonts w:ascii="Arial" w:cs="Arial" w:eastAsia="Arial" w:hAnsi="Arial"/>
          <w:sz w:val="16"/>
          <w:szCs w:val="16"/>
          <w:color w:val="auto"/>
        </w:rPr>
      </w:pPr>
      <w:r>
        <w:rPr>
          <w:rFonts w:ascii="Arial" w:cs="Arial" w:eastAsia="Arial" w:hAnsi="Arial"/>
          <w:sz w:val="16"/>
          <w:szCs w:val="16"/>
          <w:color w:val="auto"/>
        </w:rPr>
        <w:t>Grupo Crédito is a company whose main activities are to carry out management and administration activities of the Credicorp Group’s subsidiaries and invest in shares listed on the Peruvian Stock Exchange and unlisted shares of Peruvian companies. we present the individual or consolidated figures of their financial statements are presented in accordance with IFRS and before eliminations for consolidation purposes:</w:t>
      </w:r>
    </w:p>
    <w:p>
      <w:pPr>
        <w:spacing w:after="0" w:line="144"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Arial" w:cs="Arial" w:eastAsia="Arial" w:hAnsi="Arial"/>
                <w:sz w:val="13"/>
                <w:szCs w:val="13"/>
                <w:b w:val="1"/>
                <w:bCs w:val="1"/>
                <w:color w:val="auto"/>
              </w:rPr>
              <w:t>Activity and country of</w:t>
            </w:r>
          </w:p>
        </w:tc>
        <w:tc>
          <w:tcPr>
            <w:tcW w:w="1440" w:type="dxa"/>
            <w:vAlign w:val="bottom"/>
            <w:gridSpan w:val="5"/>
          </w:tcPr>
          <w:p>
            <w:pPr>
              <w:spacing w:after="0"/>
              <w:rPr>
                <w:sz w:val="20"/>
                <w:szCs w:val="20"/>
                <w:color w:val="auto"/>
              </w:rPr>
            </w:pPr>
            <w:r>
              <w:rPr>
                <w:rFonts w:ascii="Arial" w:cs="Arial" w:eastAsia="Arial" w:hAnsi="Arial"/>
                <w:sz w:val="13"/>
                <w:szCs w:val="13"/>
                <w:b w:val="1"/>
                <w:bCs w:val="1"/>
                <w:color w:val="auto"/>
              </w:rPr>
              <w:t>Percentage of interest</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500" w:type="dxa"/>
            <w:vAlign w:val="bottom"/>
            <w:gridSpan w:val="2"/>
          </w:tcPr>
          <w:p>
            <w:pPr>
              <w:spacing w:after="0"/>
              <w:rPr>
                <w:sz w:val="20"/>
                <w:szCs w:val="20"/>
                <w:color w:val="auto"/>
              </w:rPr>
            </w:pPr>
            <w:r>
              <w:rPr>
                <w:rFonts w:ascii="Arial" w:cs="Arial" w:eastAsia="Arial" w:hAnsi="Arial"/>
                <w:sz w:val="13"/>
                <w:szCs w:val="13"/>
                <w:b w:val="1"/>
                <w:bCs w:val="1"/>
                <w:color w:val="auto"/>
              </w:rPr>
              <w:t>Entity</w:t>
            </w:r>
          </w:p>
        </w:tc>
        <w:tc>
          <w:tcPr>
            <w:tcW w:w="1500" w:type="dxa"/>
            <w:vAlign w:val="bottom"/>
            <w:gridSpan w:val="2"/>
          </w:tcPr>
          <w:p>
            <w:pPr>
              <w:spacing w:after="0"/>
              <w:rPr>
                <w:sz w:val="20"/>
                <w:szCs w:val="20"/>
                <w:color w:val="auto"/>
              </w:rPr>
            </w:pPr>
            <w:r>
              <w:rPr>
                <w:rFonts w:ascii="Arial" w:cs="Arial" w:eastAsia="Arial" w:hAnsi="Arial"/>
                <w:sz w:val="13"/>
                <w:szCs w:val="13"/>
                <w:b w:val="1"/>
                <w:bCs w:val="1"/>
                <w:color w:val="auto"/>
              </w:rPr>
              <w:t>incorporation</w:t>
            </w:r>
          </w:p>
        </w:tc>
        <w:tc>
          <w:tcPr>
            <w:tcW w:w="1440" w:type="dxa"/>
            <w:vAlign w:val="bottom"/>
            <w:gridSpan w:val="5"/>
          </w:tcPr>
          <w:p>
            <w:pPr>
              <w:spacing w:after="0"/>
              <w:rPr>
                <w:sz w:val="20"/>
                <w:szCs w:val="20"/>
                <w:color w:val="auto"/>
              </w:rPr>
            </w:pPr>
            <w:r>
              <w:rPr>
                <w:rFonts w:ascii="Arial" w:cs="Arial" w:eastAsia="Arial" w:hAnsi="Arial"/>
                <w:sz w:val="13"/>
                <w:szCs w:val="13"/>
                <w:b w:val="1"/>
                <w:bCs w:val="1"/>
                <w:color w:val="auto"/>
              </w:rPr>
              <w:t>(direct and indirect)</w:t>
            </w: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rPr>
              <w:t>Assets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Equity</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Arial" w:cs="Arial" w:eastAsia="Arial" w:hAnsi="Arial"/>
                <w:sz w:val="13"/>
                <w:szCs w:val="13"/>
                <w:b w:val="1"/>
                <w:bCs w:val="1"/>
                <w:color w:val="auto"/>
              </w:rPr>
              <w:t>Net profit (loss)</w:t>
            </w:r>
          </w:p>
        </w:tc>
      </w:tr>
      <w:tr>
        <w:trPr>
          <w:trHeight w:val="151"/>
        </w:trPr>
        <w:tc>
          <w:tcPr>
            <w:tcW w:w="1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3"/>
                <w:szCs w:val="13"/>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3"/>
                <w:szCs w:val="13"/>
                <w:color w:val="auto"/>
              </w:rPr>
            </w:pPr>
          </w:p>
        </w:tc>
      </w:tr>
      <w:tr>
        <w:trPr>
          <w:trHeight w:val="170"/>
        </w:trPr>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40" w:type="dxa"/>
            <w:vAlign w:val="bottom"/>
          </w:tcPr>
          <w:p>
            <w:pPr>
              <w:spacing w:after="0"/>
              <w:rPr>
                <w:sz w:val="14"/>
                <w:szCs w:val="14"/>
                <w:color w:val="auto"/>
              </w:rPr>
            </w:pPr>
          </w:p>
        </w:tc>
      </w:tr>
      <w:tr>
        <w:trPr>
          <w:trHeight w:val="254"/>
        </w:trPr>
        <w:tc>
          <w:tcPr>
            <w:tcW w:w="1500" w:type="dxa"/>
            <w:vAlign w:val="bottom"/>
            <w:gridSpan w:val="2"/>
          </w:tcPr>
          <w:p>
            <w:pPr>
              <w:spacing w:after="0"/>
              <w:rPr>
                <w:sz w:val="20"/>
                <w:szCs w:val="20"/>
                <w:color w:val="auto"/>
              </w:rPr>
            </w:pPr>
            <w:r>
              <w:rPr>
                <w:rFonts w:ascii="Arial" w:cs="Arial" w:eastAsia="Arial" w:hAnsi="Arial"/>
                <w:sz w:val="13"/>
                <w:szCs w:val="13"/>
                <w:color w:val="auto"/>
              </w:rPr>
              <w:t>Banco de Crédito del</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Banking, Peru</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97.74</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97.74</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193,804,856</w:t>
            </w: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193,278,232</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168,645,448</w:t>
            </w: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170,005,995</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25,159,408</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w w:val="98"/>
              </w:rPr>
              <w:t>23,272,237</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4,583,662</w:t>
            </w:r>
          </w:p>
        </w:tc>
        <w:tc>
          <w:tcPr>
            <w:tcW w:w="18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4,683,775</w:t>
            </w:r>
          </w:p>
        </w:tc>
      </w:tr>
      <w:tr>
        <w:trPr>
          <w:trHeight w:val="147"/>
        </w:trPr>
        <w:tc>
          <w:tcPr>
            <w:tcW w:w="1500" w:type="dxa"/>
            <w:vAlign w:val="bottom"/>
            <w:gridSpan w:val="2"/>
          </w:tcPr>
          <w:p>
            <w:pPr>
              <w:ind w:left="160"/>
              <w:spacing w:after="0" w:line="147" w:lineRule="exact"/>
              <w:rPr>
                <w:sz w:val="20"/>
                <w:szCs w:val="20"/>
                <w:color w:val="auto"/>
              </w:rPr>
            </w:pPr>
            <w:r>
              <w:rPr>
                <w:rFonts w:ascii="Arial" w:cs="Arial" w:eastAsia="Arial" w:hAnsi="Arial"/>
                <w:sz w:val="13"/>
                <w:szCs w:val="13"/>
                <w:color w:val="auto"/>
              </w:rPr>
              <w:t>Perú and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500" w:type="dxa"/>
            <w:vAlign w:val="bottom"/>
            <w:gridSpan w:val="2"/>
          </w:tcPr>
          <w:p>
            <w:pPr>
              <w:ind w:left="160"/>
              <w:spacing w:after="0"/>
              <w:rPr>
                <w:sz w:val="20"/>
                <w:szCs w:val="20"/>
                <w:color w:val="auto"/>
              </w:rPr>
            </w:pPr>
            <w:r>
              <w:rPr>
                <w:rFonts w:ascii="Arial" w:cs="Arial" w:eastAsia="Arial" w:hAnsi="Arial"/>
                <w:sz w:val="13"/>
                <w:szCs w:val="13"/>
                <w:color w:val="auto"/>
              </w:rPr>
              <w:t>Subsidiaries (a)</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8"/>
        </w:trPr>
        <w:tc>
          <w:tcPr>
            <w:tcW w:w="1500" w:type="dxa"/>
            <w:vAlign w:val="bottom"/>
            <w:gridSpan w:val="2"/>
          </w:tcPr>
          <w:p>
            <w:pPr>
              <w:spacing w:after="0"/>
              <w:rPr>
                <w:sz w:val="20"/>
                <w:szCs w:val="20"/>
                <w:color w:val="auto"/>
              </w:rPr>
            </w:pPr>
            <w:r>
              <w:rPr>
                <w:rFonts w:ascii="Arial" w:cs="Arial" w:eastAsia="Arial" w:hAnsi="Arial"/>
                <w:sz w:val="13"/>
                <w:szCs w:val="13"/>
                <w:color w:val="auto"/>
              </w:rPr>
              <w:t>Inversiones Credicorp</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Banking, Bolivia</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99.92</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99.92</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13,558,260</w:t>
            </w: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12,740,036</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12,740,067</w:t>
            </w: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11,826,789</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818,193</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913,247</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84,898</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80,377</w:t>
            </w:r>
          </w:p>
        </w:tc>
      </w:tr>
      <w:tr>
        <w:trPr>
          <w:trHeight w:val="147"/>
        </w:trPr>
        <w:tc>
          <w:tcPr>
            <w:tcW w:w="1500" w:type="dxa"/>
            <w:vAlign w:val="bottom"/>
            <w:gridSpan w:val="2"/>
          </w:tcPr>
          <w:p>
            <w:pPr>
              <w:ind w:left="160"/>
              <w:spacing w:after="0" w:line="147" w:lineRule="exact"/>
              <w:rPr>
                <w:sz w:val="20"/>
                <w:szCs w:val="20"/>
                <w:color w:val="auto"/>
              </w:rPr>
            </w:pPr>
            <w:r>
              <w:rPr>
                <w:rFonts w:ascii="Arial" w:cs="Arial" w:eastAsia="Arial" w:hAnsi="Arial"/>
                <w:sz w:val="13"/>
                <w:szCs w:val="13"/>
                <w:color w:val="auto"/>
              </w:rPr>
              <w:t>Bolivia S.A. and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500" w:type="dxa"/>
            <w:vAlign w:val="bottom"/>
            <w:gridSpan w:val="2"/>
          </w:tcPr>
          <w:p>
            <w:pPr>
              <w:ind w:left="160"/>
              <w:spacing w:after="0"/>
              <w:rPr>
                <w:sz w:val="20"/>
                <w:szCs w:val="20"/>
                <w:color w:val="auto"/>
              </w:rPr>
            </w:pPr>
            <w:r>
              <w:rPr>
                <w:rFonts w:ascii="Arial" w:cs="Arial" w:eastAsia="Arial" w:hAnsi="Arial"/>
                <w:sz w:val="13"/>
                <w:szCs w:val="13"/>
                <w:color w:val="auto"/>
              </w:rPr>
              <w:t>Subsidiaries (b)</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8"/>
        </w:trPr>
        <w:tc>
          <w:tcPr>
            <w:tcW w:w="1500" w:type="dxa"/>
            <w:vAlign w:val="bottom"/>
            <w:gridSpan w:val="2"/>
          </w:tcPr>
          <w:p>
            <w:pPr>
              <w:spacing w:after="0"/>
              <w:rPr>
                <w:sz w:val="20"/>
                <w:szCs w:val="20"/>
                <w:color w:val="auto"/>
              </w:rPr>
            </w:pPr>
            <w:r>
              <w:rPr>
                <w:rFonts w:ascii="Arial" w:cs="Arial" w:eastAsia="Arial" w:hAnsi="Arial"/>
                <w:sz w:val="13"/>
                <w:szCs w:val="13"/>
                <w:color w:val="auto"/>
              </w:rPr>
              <w:t>Prima AFP (c)</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Private pension fund</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100.00</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100.00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740,728</w:t>
            </w: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734,966</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240,656</w:t>
            </w: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238,177</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500,072</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496,789</w:t>
            </w:r>
          </w:p>
        </w:tc>
        <w:tc>
          <w:tcPr>
            <w:tcW w:w="580" w:type="dxa"/>
            <w:vAlign w:val="bottom"/>
          </w:tcPr>
          <w:p>
            <w:pPr>
              <w:jc w:val="right"/>
              <w:spacing w:after="0"/>
              <w:rPr>
                <w:sz w:val="20"/>
                <w:szCs w:val="20"/>
                <w:color w:val="auto"/>
              </w:rPr>
            </w:pPr>
            <w:r>
              <w:rPr>
                <w:rFonts w:ascii="Arial" w:cs="Arial" w:eastAsia="Arial" w:hAnsi="Arial"/>
                <w:sz w:val="13"/>
                <w:szCs w:val="13"/>
                <w:color w:val="auto"/>
              </w:rPr>
              <w:t>149,549</w:t>
            </w:r>
          </w:p>
        </w:tc>
        <w:tc>
          <w:tcPr>
            <w:tcW w:w="180" w:type="dxa"/>
            <w:vAlign w:val="bottom"/>
          </w:tcPr>
          <w:p>
            <w:pPr>
              <w:spacing w:after="0"/>
              <w:rPr>
                <w:sz w:val="23"/>
                <w:szCs w:val="2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109,511</w:t>
            </w:r>
          </w:p>
        </w:tc>
      </w:tr>
      <w:tr>
        <w:trPr>
          <w:trHeight w:val="172"/>
        </w:trPr>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administrator, Peru</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8"/>
        </w:trPr>
        <w:tc>
          <w:tcPr>
            <w:tcW w:w="1500" w:type="dxa"/>
            <w:vAlign w:val="bottom"/>
            <w:gridSpan w:val="2"/>
          </w:tcPr>
          <w:p>
            <w:pPr>
              <w:spacing w:after="0"/>
              <w:rPr>
                <w:sz w:val="20"/>
                <w:szCs w:val="20"/>
                <w:color w:val="auto"/>
              </w:rPr>
            </w:pPr>
            <w:r>
              <w:rPr>
                <w:rFonts w:ascii="Arial" w:cs="Arial" w:eastAsia="Arial" w:hAnsi="Arial"/>
                <w:sz w:val="13"/>
                <w:szCs w:val="13"/>
                <w:color w:val="auto"/>
              </w:rPr>
              <w:t>Tenpo SpA and</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Holding, Chile</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100.00</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100.00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387,355</w:t>
            </w: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242,754</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185,502</w:t>
            </w: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90,186</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201,853</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152,568</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(111,692)</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(124,748)</w:t>
            </w:r>
          </w:p>
        </w:tc>
      </w:tr>
      <w:tr>
        <w:trPr>
          <w:trHeight w:val="172"/>
        </w:trPr>
        <w:tc>
          <w:tcPr>
            <w:tcW w:w="1500" w:type="dxa"/>
            <w:vAlign w:val="bottom"/>
            <w:gridSpan w:val="2"/>
          </w:tcPr>
          <w:p>
            <w:pPr>
              <w:ind w:left="160"/>
              <w:spacing w:after="0"/>
              <w:rPr>
                <w:sz w:val="20"/>
                <w:szCs w:val="20"/>
                <w:color w:val="auto"/>
              </w:rPr>
            </w:pPr>
            <w:r>
              <w:rPr>
                <w:rFonts w:ascii="Arial" w:cs="Arial" w:eastAsia="Arial" w:hAnsi="Arial"/>
                <w:sz w:val="13"/>
                <w:szCs w:val="13"/>
                <w:color w:val="auto"/>
              </w:rPr>
              <w:t>Subsidiaries (d)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149" w:lineRule="exact"/>
        <w:rPr>
          <w:sz w:val="20"/>
          <w:szCs w:val="20"/>
          <w:color w:val="auto"/>
        </w:rPr>
      </w:pPr>
    </w:p>
    <w:p>
      <w:pPr>
        <w:ind w:left="682" w:right="100" w:hanging="340"/>
        <w:spacing w:after="0" w:line="280" w:lineRule="auto"/>
        <w:tabs>
          <w:tab w:leader="none" w:pos="682" w:val="left"/>
        </w:tabs>
        <w:numPr>
          <w:ilvl w:val="0"/>
          <w:numId w:val="29"/>
        </w:numPr>
        <w:rPr>
          <w:rFonts w:ascii="Arial" w:cs="Arial" w:eastAsia="Arial" w:hAnsi="Arial"/>
          <w:sz w:val="16"/>
          <w:szCs w:val="16"/>
          <w:color w:val="auto"/>
        </w:rPr>
      </w:pPr>
      <w:r>
        <w:rPr>
          <w:rFonts w:ascii="Arial" w:cs="Arial" w:eastAsia="Arial" w:hAnsi="Arial"/>
          <w:sz w:val="16"/>
          <w:szCs w:val="16"/>
          <w:color w:val="auto"/>
        </w:rPr>
        <w:t>BCP was established in 1889 and its activities are regulated by the Superintendency of Banks, Insurance and Pension Funds -Perú (the authority that regulates banking, insurance and pension funds activities in Perú, hereinafter “the SBS”).</w:t>
      </w:r>
    </w:p>
    <w:p>
      <w:pPr>
        <w:spacing w:after="0" w:line="120" w:lineRule="exact"/>
        <w:rPr>
          <w:rFonts w:ascii="Arial" w:cs="Arial" w:eastAsia="Arial" w:hAnsi="Arial"/>
          <w:sz w:val="16"/>
          <w:szCs w:val="16"/>
          <w:color w:val="auto"/>
        </w:rPr>
      </w:pPr>
    </w:p>
    <w:p>
      <w:pPr>
        <w:ind w:left="702" w:right="160"/>
        <w:spacing w:after="0" w:line="252" w:lineRule="auto"/>
        <w:rPr>
          <w:rFonts w:ascii="Arial" w:cs="Arial" w:eastAsia="Arial" w:hAnsi="Arial"/>
          <w:sz w:val="16"/>
          <w:szCs w:val="16"/>
          <w:color w:val="auto"/>
        </w:rPr>
      </w:pPr>
      <w:r>
        <w:rPr>
          <w:rFonts w:ascii="Arial" w:cs="Arial" w:eastAsia="Arial" w:hAnsi="Arial"/>
          <w:sz w:val="16"/>
          <w:szCs w:val="16"/>
          <w:color w:val="auto"/>
        </w:rPr>
        <w:t>Its main Subsidiary is Mibanco, Banco de la Microempresa S.A. (hereinafter “MiBanco”), a banking entity in Perú oriented towards the micro and small business sector. As of December 31, 2023, the assets, liabilities, equity and net result of Mibanco amount to approximately S/16,897.8 million, S/13,902.2 million, S/2,995.6 million and S/203.8 million, respectively (S/17,225.4 million, S/14,444.8 million, S/2,780.6 million, and S/424.9 million, respectively December 31, 2022).</w:t>
      </w:r>
    </w:p>
    <w:p>
      <w:pPr>
        <w:spacing w:after="0" w:line="302"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2"/>
          </w:cols>
          <w:pgMar w:left="318" w:top="306" w:right="359" w:bottom="1440" w:gutter="0" w:footer="0" w:header="0"/>
        </w:sectPr>
      </w:pPr>
    </w:p>
    <w:bookmarkStart w:id="33" w:name="page34"/>
    <w:bookmarkEnd w:id="33"/>
    <w:p>
      <w:pPr>
        <w:ind w:left="682" w:right="160" w:hanging="340"/>
        <w:spacing w:after="0" w:line="252" w:lineRule="auto"/>
        <w:tabs>
          <w:tab w:leader="none" w:pos="682"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Inversiones Credicorp Bolivia S.A. (hereinafter “ICBSA”) was established in February 2013 and its objective is to make capital investments for its own account or for the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43" w:lineRule="exact"/>
        <w:rPr>
          <w:rFonts w:ascii="Arial" w:cs="Arial" w:eastAsia="Arial" w:hAnsi="Arial"/>
          <w:sz w:val="16"/>
          <w:szCs w:val="16"/>
          <w:color w:val="auto"/>
        </w:rPr>
      </w:pPr>
    </w:p>
    <w:p>
      <w:pPr>
        <w:ind w:left="702"/>
        <w:spacing w:after="0" w:line="259" w:lineRule="auto"/>
        <w:rPr>
          <w:rFonts w:ascii="Arial" w:cs="Arial" w:eastAsia="Arial" w:hAnsi="Arial"/>
          <w:sz w:val="16"/>
          <w:szCs w:val="16"/>
          <w:color w:val="auto"/>
        </w:rPr>
      </w:pPr>
      <w:r>
        <w:rPr>
          <w:rFonts w:ascii="Arial" w:cs="Arial" w:eastAsia="Arial" w:hAnsi="Arial"/>
          <w:sz w:val="16"/>
          <w:szCs w:val="16"/>
          <w:color w:val="auto"/>
        </w:rPr>
        <w:t>Its principal Subsidiary is Banco de Crédito de Bolivia (hereinafter “BCB”), a commercial bank which operates in Bolivia. As of December 31, 2023, the assets, liabilities, equity and net result of BCB were approximately S/13,500.9 million, S/12,612.3 million, S/888.6 million and S/83.1 million, respectively (S/12,697.8 million, S/11,838.0 million, S/859.8 million and S/68.0 million, respectively as of December 31, 2022).</w:t>
      </w:r>
    </w:p>
    <w:p>
      <w:pPr>
        <w:spacing w:after="0" w:line="137" w:lineRule="exact"/>
        <w:rPr>
          <w:rFonts w:ascii="Arial" w:cs="Arial" w:eastAsia="Arial" w:hAnsi="Arial"/>
          <w:sz w:val="16"/>
          <w:szCs w:val="16"/>
          <w:color w:val="auto"/>
        </w:rPr>
      </w:pPr>
    </w:p>
    <w:p>
      <w:pPr>
        <w:ind w:left="682" w:hanging="340"/>
        <w:spacing w:after="0"/>
        <w:tabs>
          <w:tab w:leader="none" w:pos="682" w:val="left"/>
        </w:tabs>
        <w:numPr>
          <w:ilvl w:val="1"/>
          <w:numId w:val="30"/>
        </w:numPr>
        <w:rPr>
          <w:rFonts w:ascii="Arial" w:cs="Arial" w:eastAsia="Arial" w:hAnsi="Arial"/>
          <w:sz w:val="16"/>
          <w:szCs w:val="16"/>
          <w:color w:val="auto"/>
        </w:rPr>
      </w:pPr>
      <w:r>
        <w:rPr>
          <w:rFonts w:ascii="Arial" w:cs="Arial" w:eastAsia="Arial" w:hAnsi="Arial"/>
          <w:sz w:val="16"/>
          <w:szCs w:val="16"/>
          <w:color w:val="auto"/>
        </w:rPr>
        <w:t>Prima AFP is a private pension fund and its activities are regulated by the SBS.</w:t>
      </w:r>
    </w:p>
    <w:p>
      <w:pPr>
        <w:spacing w:after="0" w:line="182" w:lineRule="exact"/>
        <w:rPr>
          <w:rFonts w:ascii="Arial" w:cs="Arial" w:eastAsia="Arial" w:hAnsi="Arial"/>
          <w:sz w:val="16"/>
          <w:szCs w:val="16"/>
          <w:color w:val="auto"/>
        </w:rPr>
      </w:pPr>
    </w:p>
    <w:p>
      <w:pPr>
        <w:ind w:left="682" w:hanging="340"/>
        <w:spacing w:after="0" w:line="259" w:lineRule="auto"/>
        <w:tabs>
          <w:tab w:leader="none" w:pos="682" w:val="left"/>
        </w:tabs>
        <w:numPr>
          <w:ilvl w:val="1"/>
          <w:numId w:val="30"/>
        </w:numPr>
        <w:rPr>
          <w:rFonts w:ascii="Arial" w:cs="Arial" w:eastAsia="Arial" w:hAnsi="Arial"/>
          <w:sz w:val="16"/>
          <w:szCs w:val="16"/>
          <w:color w:val="auto"/>
        </w:rPr>
      </w:pPr>
      <w:r>
        <w:rPr>
          <w:rFonts w:ascii="Arial" w:cs="Arial" w:eastAsia="Arial" w:hAnsi="Arial"/>
          <w:sz w:val="16"/>
          <w:szCs w:val="16"/>
          <w:color w:val="auto"/>
        </w:rPr>
        <w:t>Tenpo SpA (hereinafter “Tenpo”, before “Krealo SpA”) was established in Chile in January 2019; and is oriented to make capital investments outside the country. On July 1, 2019, Tenpo (Krealo SpA) acquired Tenpo Technologies SpA (before “Tenpo SpA”) and Tenpo Prepago S.A. (before “Multicaja Prepago S.A.”).</w:t>
      </w:r>
    </w:p>
    <w:p>
      <w:pPr>
        <w:spacing w:after="0" w:line="137" w:lineRule="exact"/>
        <w:rPr>
          <w:rFonts w:ascii="Arial" w:cs="Arial" w:eastAsia="Arial" w:hAnsi="Arial"/>
          <w:sz w:val="16"/>
          <w:szCs w:val="16"/>
          <w:color w:val="auto"/>
        </w:rPr>
      </w:pPr>
    </w:p>
    <w:p>
      <w:pPr>
        <w:ind w:left="342" w:right="140" w:hanging="342"/>
        <w:spacing w:after="0" w:line="252" w:lineRule="auto"/>
        <w:tabs>
          <w:tab w:leader="none" w:pos="342"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Pacífico Seguros is an entity regulated by the SBS and its activities comprise the contracting and management of all types of general risk and life insurance, reinsurance and property investment and financial operations. Its Subsidiaries are Crediseguro Seguros Personales, Crediseguro Seguros Generales and Pacifico Asiste and it has Pacífico EPS as an associate, which are dynamic participants in the business of multiple and health insurance, respectively.</w:t>
      </w:r>
    </w:p>
    <w:p>
      <w:pPr>
        <w:spacing w:after="0" w:line="143" w:lineRule="exact"/>
        <w:rPr>
          <w:rFonts w:ascii="Arial" w:cs="Arial" w:eastAsia="Arial" w:hAnsi="Arial"/>
          <w:sz w:val="16"/>
          <w:szCs w:val="16"/>
          <w:color w:val="auto"/>
        </w:rPr>
      </w:pPr>
    </w:p>
    <w:p>
      <w:pPr>
        <w:ind w:left="342" w:right="120" w:hanging="342"/>
        <w:spacing w:after="0" w:line="280" w:lineRule="auto"/>
        <w:tabs>
          <w:tab w:leader="none" w:pos="34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Its most important subsidiary is ASB Bank Corp. (merged with Atlantic Security Bank on August 2021, was established in September 9, 2020 in the Republic of Panama; its main activities are private and institutional banking services and trustee administration, mainly for BCP’s Peruvian customers.</w:t>
      </w:r>
    </w:p>
    <w:p>
      <w:pPr>
        <w:spacing w:after="0" w:line="120" w:lineRule="exact"/>
        <w:rPr>
          <w:rFonts w:ascii="Arial" w:cs="Arial" w:eastAsia="Arial" w:hAnsi="Arial"/>
          <w:sz w:val="16"/>
          <w:szCs w:val="16"/>
          <w:color w:val="auto"/>
        </w:rPr>
      </w:pPr>
    </w:p>
    <w:p>
      <w:pPr>
        <w:ind w:left="342" w:hanging="342"/>
        <w:spacing w:after="0" w:line="252" w:lineRule="auto"/>
        <w:tabs>
          <w:tab w:leader="none" w:pos="342" w:val="left"/>
        </w:tabs>
        <w:numPr>
          <w:ilvl w:val="0"/>
          <w:numId w:val="31"/>
        </w:numPr>
        <w:rPr>
          <w:rFonts w:ascii="Arial" w:cs="Arial" w:eastAsia="Arial" w:hAnsi="Arial"/>
          <w:sz w:val="16"/>
          <w:szCs w:val="16"/>
          <w:color w:val="auto"/>
        </w:rPr>
      </w:pPr>
      <w:r>
        <w:rPr>
          <w:rFonts w:ascii="Arial" w:cs="Arial" w:eastAsia="Arial" w:hAnsi="Arial"/>
          <w:sz w:val="16"/>
          <w:szCs w:val="16"/>
          <w:color w:val="auto"/>
        </w:rPr>
        <w:t>Credicorp Capital Ltd. was formed in 2012, and its main subsidiaries are Credicorp Capital Holding Peru (owner of Credicorp Capital Perú S.A.A.), Credicorp Holding Colombia (owner of Credicorp Capital Colombia and Mibanco – Banco de la Microempresa de Colombia S.A.), and Credicorp Capital Holding Chile (owner of Credicorp Capital Chile), which carry out their activities in Peru, Colombia and Chile, respectively. We present below the consolidated financial statements in accordance with IFRS and before eliminations for consolidation purposes:</w:t>
      </w:r>
    </w:p>
    <w:p>
      <w:pPr>
        <w:spacing w:after="0" w:line="150" w:lineRule="exact"/>
        <w:rPr>
          <w:sz w:val="20"/>
          <w:szCs w:val="20"/>
          <w:color w:val="auto"/>
        </w:rPr>
      </w:pPr>
    </w:p>
    <w:tbl>
      <w:tblPr>
        <w:tblLayout w:type="fixed"/>
        <w:tblInd w:w="342"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3"/>
                <w:szCs w:val="13"/>
                <w:b w:val="1"/>
                <w:bCs w:val="1"/>
                <w:color w:val="auto"/>
              </w:rPr>
              <w:t>Percentage of interest</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800" w:type="dxa"/>
            <w:vAlign w:val="bottom"/>
            <w:gridSpan w:val="2"/>
          </w:tcPr>
          <w:p>
            <w:pPr>
              <w:spacing w:after="0"/>
              <w:rPr>
                <w:sz w:val="20"/>
                <w:szCs w:val="20"/>
                <w:color w:val="auto"/>
              </w:rPr>
            </w:pPr>
            <w:r>
              <w:rPr>
                <w:rFonts w:ascii="Arial" w:cs="Arial" w:eastAsia="Arial" w:hAnsi="Arial"/>
                <w:sz w:val="13"/>
                <w:szCs w:val="13"/>
                <w:b w:val="1"/>
                <w:bCs w:val="1"/>
                <w:color w:val="auto"/>
              </w:rPr>
              <w:t>Entity</w:t>
            </w:r>
          </w:p>
        </w:tc>
        <w:tc>
          <w:tcPr>
            <w:tcW w:w="1760" w:type="dxa"/>
            <w:vAlign w:val="bottom"/>
            <w:gridSpan w:val="4"/>
          </w:tcPr>
          <w:p>
            <w:pPr>
              <w:ind w:left="20"/>
              <w:spacing w:after="0"/>
              <w:rPr>
                <w:sz w:val="20"/>
                <w:szCs w:val="20"/>
                <w:color w:val="auto"/>
              </w:rPr>
            </w:pPr>
            <w:r>
              <w:rPr>
                <w:rFonts w:ascii="Arial" w:cs="Arial" w:eastAsia="Arial" w:hAnsi="Arial"/>
                <w:sz w:val="13"/>
                <w:szCs w:val="13"/>
                <w:b w:val="1"/>
                <w:bCs w:val="1"/>
                <w:color w:val="auto"/>
              </w:rPr>
              <w:t>(direct and indirect)</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Assets</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9"/>
              </w:rPr>
              <w:t>Liabilities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5"/>
              </w:rPr>
              <w:t>Equity</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7"/>
              </w:rPr>
              <w:t>Net profit (loss)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r>
      <w:tr>
        <w:trPr>
          <w:trHeight w:val="170"/>
        </w:trPr>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r>
      <w:tr>
        <w:trPr>
          <w:trHeight w:val="254"/>
        </w:trPr>
        <w:tc>
          <w:tcPr>
            <w:tcW w:w="1800" w:type="dxa"/>
            <w:vAlign w:val="bottom"/>
            <w:gridSpan w:val="2"/>
          </w:tcPr>
          <w:p>
            <w:pPr>
              <w:ind w:left="60"/>
              <w:spacing w:after="0"/>
              <w:rPr>
                <w:sz w:val="20"/>
                <w:szCs w:val="20"/>
                <w:color w:val="auto"/>
              </w:rPr>
            </w:pPr>
            <w:r>
              <w:rPr>
                <w:rFonts w:ascii="Arial" w:cs="Arial" w:eastAsia="Arial" w:hAnsi="Arial"/>
                <w:sz w:val="13"/>
                <w:szCs w:val="13"/>
                <w:color w:val="auto"/>
              </w:rPr>
              <w:t>Credicorp Holding Colombia</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100.00</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100.00</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4,803,072</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2,889,479</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3,997,781</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2,322,263</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805,291</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567,216</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(163,342)</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16,198</w:t>
            </w:r>
          </w:p>
        </w:tc>
      </w:tr>
      <w:tr>
        <w:trPr>
          <w:trHeight w:val="172"/>
        </w:trPr>
        <w:tc>
          <w:tcPr>
            <w:tcW w:w="1800" w:type="dxa"/>
            <w:vAlign w:val="bottom"/>
            <w:gridSpan w:val="2"/>
          </w:tcPr>
          <w:p>
            <w:pPr>
              <w:ind w:left="60"/>
              <w:spacing w:after="0"/>
              <w:rPr>
                <w:sz w:val="20"/>
                <w:szCs w:val="20"/>
                <w:color w:val="auto"/>
              </w:rPr>
            </w:pPr>
            <w:r>
              <w:rPr>
                <w:rFonts w:ascii="Arial" w:cs="Arial" w:eastAsia="Arial" w:hAnsi="Arial"/>
                <w:sz w:val="13"/>
                <w:szCs w:val="13"/>
                <w:color w:val="auto"/>
              </w:rPr>
              <w:t>S.A.S. and Subsidiaries (a)</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5"/>
        </w:trPr>
        <w:tc>
          <w:tcPr>
            <w:tcW w:w="1800" w:type="dxa"/>
            <w:vAlign w:val="bottom"/>
            <w:gridSpan w:val="2"/>
          </w:tcPr>
          <w:p>
            <w:pPr>
              <w:ind w:left="60"/>
              <w:spacing w:after="0"/>
              <w:rPr>
                <w:sz w:val="20"/>
                <w:szCs w:val="20"/>
                <w:color w:val="auto"/>
              </w:rPr>
            </w:pPr>
            <w:r>
              <w:rPr>
                <w:rFonts w:ascii="Arial" w:cs="Arial" w:eastAsia="Arial" w:hAnsi="Arial"/>
                <w:sz w:val="13"/>
                <w:szCs w:val="13"/>
                <w:color w:val="auto"/>
              </w:rPr>
              <w:t>Credicorp Capital Holding</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100.00</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100.00</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681,338</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1,194,663</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502,248</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1,000,676</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179,090</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193,987</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(10,716)</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12,658</w:t>
            </w:r>
          </w:p>
        </w:tc>
      </w:tr>
      <w:tr>
        <w:trPr>
          <w:trHeight w:val="172"/>
        </w:trPr>
        <w:tc>
          <w:tcPr>
            <w:tcW w:w="1800" w:type="dxa"/>
            <w:vAlign w:val="bottom"/>
            <w:gridSpan w:val="2"/>
          </w:tcPr>
          <w:p>
            <w:pPr>
              <w:ind w:left="60"/>
              <w:spacing w:after="0"/>
              <w:rPr>
                <w:sz w:val="20"/>
                <w:szCs w:val="20"/>
                <w:color w:val="auto"/>
              </w:rPr>
            </w:pPr>
            <w:r>
              <w:rPr>
                <w:rFonts w:ascii="Arial" w:cs="Arial" w:eastAsia="Arial" w:hAnsi="Arial"/>
                <w:sz w:val="13"/>
                <w:szCs w:val="13"/>
                <w:color w:val="auto"/>
              </w:rPr>
              <w:t>Chile and Subsidiaries (b)</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5"/>
        </w:trPr>
        <w:tc>
          <w:tcPr>
            <w:tcW w:w="1800" w:type="dxa"/>
            <w:vAlign w:val="bottom"/>
            <w:gridSpan w:val="2"/>
          </w:tcPr>
          <w:p>
            <w:pPr>
              <w:ind w:left="60"/>
              <w:spacing w:after="0"/>
              <w:rPr>
                <w:sz w:val="20"/>
                <w:szCs w:val="20"/>
                <w:color w:val="auto"/>
              </w:rPr>
            </w:pPr>
            <w:r>
              <w:rPr>
                <w:rFonts w:ascii="Arial" w:cs="Arial" w:eastAsia="Arial" w:hAnsi="Arial"/>
                <w:sz w:val="13"/>
                <w:szCs w:val="13"/>
                <w:color w:val="auto"/>
              </w:rPr>
              <w:t>Credicorp Capital Holding</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100.00</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100.00</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296,083</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374,768</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149,459</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230,261</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146,624</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144,507</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4,318</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5,268</w:t>
            </w:r>
          </w:p>
        </w:tc>
      </w:tr>
      <w:tr>
        <w:trPr>
          <w:trHeight w:val="147"/>
        </w:trPr>
        <w:tc>
          <w:tcPr>
            <w:tcW w:w="180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Perú S.A. and Subsidiaries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2"/>
        </w:trPr>
        <w:tc>
          <w:tcPr>
            <w:tcW w:w="1800" w:type="dxa"/>
            <w:vAlign w:val="bottom"/>
            <w:gridSpan w:val="2"/>
          </w:tcPr>
          <w:p>
            <w:pPr>
              <w:ind w:left="60"/>
              <w:spacing w:after="0"/>
              <w:rPr>
                <w:sz w:val="20"/>
                <w:szCs w:val="20"/>
                <w:color w:val="auto"/>
              </w:rPr>
            </w:pPr>
            <w:r>
              <w:rPr>
                <w:rFonts w:ascii="Arial" w:cs="Arial" w:eastAsia="Arial" w:hAnsi="Arial"/>
                <w:sz w:val="13"/>
                <w:szCs w:val="13"/>
                <w:color w:val="auto"/>
              </w:rPr>
              <w:t>(c)</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149" w:lineRule="exact"/>
        <w:rPr>
          <w:sz w:val="20"/>
          <w:szCs w:val="20"/>
          <w:color w:val="auto"/>
        </w:rPr>
      </w:pPr>
    </w:p>
    <w:p>
      <w:pPr>
        <w:ind w:left="642" w:right="620" w:hanging="300"/>
        <w:spacing w:after="0" w:line="280" w:lineRule="auto"/>
        <w:tabs>
          <w:tab w:leader="none" w:pos="642" w:val="left"/>
        </w:tabs>
        <w:numPr>
          <w:ilvl w:val="0"/>
          <w:numId w:val="32"/>
        </w:numPr>
        <w:rPr>
          <w:rFonts w:ascii="Arial" w:cs="Arial" w:eastAsia="Arial" w:hAnsi="Arial"/>
          <w:sz w:val="16"/>
          <w:szCs w:val="16"/>
          <w:color w:val="auto"/>
        </w:rPr>
      </w:pPr>
      <w:r>
        <w:rPr>
          <w:rFonts w:ascii="Arial" w:cs="Arial" w:eastAsia="Arial" w:hAnsi="Arial"/>
          <w:sz w:val="16"/>
          <w:szCs w:val="16"/>
          <w:color w:val="auto"/>
        </w:rPr>
        <w:t>Credicorp Holding Colombia was incorporated in Colombia on March 5, 2012, and its main purpose is the administration, management and increase of its equity through the promotion of industrial and commercial activity, through investment in other companies or legal persons.</w:t>
      </w:r>
    </w:p>
    <w:p>
      <w:pPr>
        <w:spacing w:after="0" w:line="279"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306" w:right="339" w:bottom="1440" w:gutter="0" w:footer="0" w:header="0"/>
        </w:sectPr>
      </w:pPr>
    </w:p>
    <w:bookmarkStart w:id="34" w:name="page35"/>
    <w:bookmarkEnd w:id="34"/>
    <w:p>
      <w:pPr>
        <w:ind w:left="642" w:right="40"/>
        <w:spacing w:after="0" w:line="247" w:lineRule="auto"/>
        <w:rPr>
          <w:sz w:val="20"/>
          <w:szCs w:val="20"/>
          <w:color w:val="auto"/>
        </w:rPr>
      </w:pPr>
      <w:r>
        <w:rPr>
          <w:rFonts w:ascii="Arial" w:cs="Arial" w:eastAsia="Arial" w:hAnsi="Arial"/>
          <w:sz w:val="16"/>
          <w:szCs w:val="16"/>
          <w:color w:val="auto"/>
        </w:rPr>
        <w:t>Its main subsidiaries are Credicorp Capital Colombia S.A, which was acquired in Colombia in 2012 and merged with Ultraserfinco S.A. In June 2020, this subsidiary is oriented to the activities of commission agents and securities brokers. Likewise, Mibanco Colombia (before Banco Compartir S.A.) was acquired in 2019 and merged with Edyficar S.A.S. in October 2020, this subsidiary is oriented to grant credits to the micro and small business sector. As of December 31, 2023, Credicorp Holding Colombia has recognized an impairment of the goodwill of Mibanco Colombia for S/64.1 million (Credicorp’s equity holders), see note 10(b). As of December 31, 2023, and 2022, the direct and indirect interest held by Credicorp and the assets, liabilities, equity and net income were:</w:t>
      </w:r>
    </w:p>
    <w:p>
      <w:pPr>
        <w:spacing w:after="0" w:line="153" w:lineRule="exact"/>
        <w:rPr>
          <w:sz w:val="20"/>
          <w:szCs w:val="20"/>
          <w:color w:val="auto"/>
        </w:rPr>
      </w:pPr>
    </w:p>
    <w:tbl>
      <w:tblPr>
        <w:tblLayout w:type="fixed"/>
        <w:tblInd w:w="642"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spacing w:after="0"/>
              <w:rPr>
                <w:sz w:val="20"/>
                <w:szCs w:val="20"/>
                <w:color w:val="auto"/>
              </w:rPr>
            </w:pPr>
            <w:r>
              <w:rPr>
                <w:rFonts w:ascii="Arial" w:cs="Arial" w:eastAsia="Arial" w:hAnsi="Arial"/>
                <w:sz w:val="13"/>
                <w:szCs w:val="13"/>
                <w:b w:val="1"/>
                <w:bCs w:val="1"/>
                <w:color w:val="auto"/>
              </w:rPr>
              <w:t>Percentage of interest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2180" w:type="dxa"/>
            <w:vAlign w:val="bottom"/>
            <w:gridSpan w:val="2"/>
          </w:tcPr>
          <w:p>
            <w:pPr>
              <w:spacing w:after="0"/>
              <w:rPr>
                <w:sz w:val="20"/>
                <w:szCs w:val="20"/>
                <w:color w:val="auto"/>
              </w:rPr>
            </w:pPr>
            <w:r>
              <w:rPr>
                <w:rFonts w:ascii="Arial" w:cs="Arial" w:eastAsia="Arial" w:hAnsi="Arial"/>
                <w:sz w:val="13"/>
                <w:szCs w:val="13"/>
                <w:b w:val="1"/>
                <w:bCs w:val="1"/>
                <w:color w:val="auto"/>
              </w:rPr>
              <w:t>Entity</w:t>
            </w:r>
          </w:p>
        </w:tc>
        <w:tc>
          <w:tcPr>
            <w:tcW w:w="1680" w:type="dxa"/>
            <w:vAlign w:val="bottom"/>
            <w:gridSpan w:val="4"/>
          </w:tcPr>
          <w:p>
            <w:pPr>
              <w:spacing w:after="0"/>
              <w:rPr>
                <w:sz w:val="20"/>
                <w:szCs w:val="20"/>
                <w:color w:val="auto"/>
              </w:rPr>
            </w:pPr>
            <w:r>
              <w:rPr>
                <w:rFonts w:ascii="Arial" w:cs="Arial" w:eastAsia="Arial" w:hAnsi="Arial"/>
                <w:sz w:val="13"/>
                <w:szCs w:val="13"/>
                <w:b w:val="1"/>
                <w:bCs w:val="1"/>
                <w:color w:val="auto"/>
              </w:rPr>
              <w:t>(direct and indirect)</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Assets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Liabilities</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Equity</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4"/>
          </w:tcPr>
          <w:p>
            <w:pPr>
              <w:ind w:left="20"/>
              <w:spacing w:after="0"/>
              <w:rPr>
                <w:sz w:val="20"/>
                <w:szCs w:val="20"/>
                <w:color w:val="auto"/>
              </w:rPr>
            </w:pPr>
            <w:r>
              <w:rPr>
                <w:rFonts w:ascii="Arial" w:cs="Arial" w:eastAsia="Arial" w:hAnsi="Arial"/>
                <w:sz w:val="13"/>
                <w:szCs w:val="13"/>
                <w:b w:val="1"/>
                <w:bCs w:val="1"/>
                <w:color w:val="auto"/>
              </w:rPr>
              <w:t>Net profit (loss)</w:t>
            </w:r>
          </w:p>
        </w:tc>
      </w:tr>
      <w:tr>
        <w:trPr>
          <w:trHeight w:val="151"/>
        </w:trPr>
        <w:tc>
          <w:tcPr>
            <w:tcW w:w="2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r>
      <w:tr>
        <w:trPr>
          <w:trHeight w:val="170"/>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b w:val="1"/>
                <w:bCs w:val="1"/>
                <w:color w:val="auto"/>
              </w:rPr>
              <w:t>S/000</w:t>
            </w:r>
          </w:p>
        </w:tc>
        <w:tc>
          <w:tcPr>
            <w:tcW w:w="1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4"/>
                <w:szCs w:val="14"/>
                <w:color w:val="auto"/>
              </w:rPr>
            </w:pPr>
          </w:p>
        </w:tc>
      </w:tr>
      <w:tr>
        <w:trPr>
          <w:trHeight w:val="254"/>
        </w:trPr>
        <w:tc>
          <w:tcPr>
            <w:tcW w:w="2180" w:type="dxa"/>
            <w:vAlign w:val="bottom"/>
            <w:gridSpan w:val="2"/>
          </w:tcPr>
          <w:p>
            <w:pPr>
              <w:spacing w:after="0"/>
              <w:rPr>
                <w:sz w:val="20"/>
                <w:szCs w:val="20"/>
                <w:color w:val="auto"/>
              </w:rPr>
            </w:pPr>
            <w:r>
              <w:rPr>
                <w:rFonts w:ascii="Arial" w:cs="Arial" w:eastAsia="Arial" w:hAnsi="Arial"/>
                <w:sz w:val="13"/>
                <w:szCs w:val="13"/>
                <w:color w:val="auto"/>
              </w:rPr>
              <w:t>Credicorp Capital Colombia S.A.</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100.00</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100.00</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2,328,169</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1,050,130</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2,123,915</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898,518</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204,254</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151,612</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37,120</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33,045</w:t>
            </w:r>
          </w:p>
        </w:tc>
      </w:tr>
      <w:tr>
        <w:trPr>
          <w:trHeight w:val="147"/>
        </w:trPr>
        <w:tc>
          <w:tcPr>
            <w:tcW w:w="2180" w:type="dxa"/>
            <w:vAlign w:val="bottom"/>
            <w:gridSpan w:val="2"/>
          </w:tcPr>
          <w:p>
            <w:pPr>
              <w:spacing w:after="0" w:line="147" w:lineRule="exact"/>
              <w:rPr>
                <w:sz w:val="20"/>
                <w:szCs w:val="20"/>
                <w:color w:val="auto"/>
              </w:rPr>
            </w:pPr>
            <w:r>
              <w:rPr>
                <w:rFonts w:ascii="Arial" w:cs="Arial" w:eastAsia="Arial" w:hAnsi="Arial"/>
                <w:sz w:val="13"/>
                <w:szCs w:val="13"/>
                <w:color w:val="auto"/>
              </w:rPr>
              <w:t>MiBanco – Banco de la</w:t>
            </w:r>
          </w:p>
        </w:tc>
        <w:tc>
          <w:tcPr>
            <w:tcW w:w="84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85.58</w:t>
            </w:r>
          </w:p>
        </w:tc>
        <w:tc>
          <w:tcPr>
            <w:tcW w:w="8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85.58</w:t>
            </w:r>
          </w:p>
        </w:tc>
        <w:tc>
          <w:tcPr>
            <w:tcW w:w="8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2,113,333</w:t>
            </w:r>
          </w:p>
        </w:tc>
        <w:tc>
          <w:tcPr>
            <w:tcW w:w="86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1,530,270</w:t>
            </w:r>
          </w:p>
        </w:tc>
        <w:tc>
          <w:tcPr>
            <w:tcW w:w="84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1,848,607</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1,289,569</w:t>
            </w:r>
          </w:p>
        </w:tc>
        <w:tc>
          <w:tcPr>
            <w:tcW w:w="80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264,726</w:t>
            </w:r>
          </w:p>
        </w:tc>
        <w:tc>
          <w:tcPr>
            <w:tcW w:w="80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240,701</w:t>
            </w:r>
          </w:p>
        </w:tc>
        <w:tc>
          <w:tcPr>
            <w:tcW w:w="82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(72,608)</w:t>
            </w:r>
          </w:p>
        </w:tc>
        <w:tc>
          <w:tcPr>
            <w:tcW w:w="62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13,513</w:t>
            </w:r>
          </w:p>
        </w:tc>
      </w:tr>
      <w:tr>
        <w:trPr>
          <w:trHeight w:val="172"/>
        </w:trPr>
        <w:tc>
          <w:tcPr>
            <w:tcW w:w="2180" w:type="dxa"/>
            <w:vAlign w:val="bottom"/>
            <w:gridSpan w:val="2"/>
          </w:tcPr>
          <w:p>
            <w:pPr>
              <w:ind w:left="140"/>
              <w:spacing w:after="0"/>
              <w:rPr>
                <w:sz w:val="20"/>
                <w:szCs w:val="20"/>
                <w:color w:val="auto"/>
              </w:rPr>
            </w:pPr>
            <w:r>
              <w:rPr>
                <w:rFonts w:ascii="Arial" w:cs="Arial" w:eastAsia="Arial" w:hAnsi="Arial"/>
                <w:sz w:val="13"/>
                <w:szCs w:val="13"/>
                <w:color w:val="auto"/>
              </w:rPr>
              <w:t>Microempresa de Colombia S.A.</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149" w:lineRule="exact"/>
        <w:rPr>
          <w:sz w:val="20"/>
          <w:szCs w:val="20"/>
          <w:color w:val="auto"/>
        </w:rPr>
      </w:pPr>
    </w:p>
    <w:p>
      <w:pPr>
        <w:ind w:left="642" w:right="540" w:hanging="300"/>
        <w:spacing w:after="0" w:line="280" w:lineRule="auto"/>
        <w:tabs>
          <w:tab w:leader="none" w:pos="642" w:val="left"/>
        </w:tabs>
        <w:numPr>
          <w:ilvl w:val="1"/>
          <w:numId w:val="33"/>
        </w:numPr>
        <w:rPr>
          <w:rFonts w:ascii="Arial" w:cs="Arial" w:eastAsia="Arial" w:hAnsi="Arial"/>
          <w:sz w:val="16"/>
          <w:szCs w:val="16"/>
          <w:color w:val="auto"/>
        </w:rPr>
      </w:pPr>
      <w:r>
        <w:rPr>
          <w:rFonts w:ascii="Arial" w:cs="Arial" w:eastAsia="Arial" w:hAnsi="Arial"/>
          <w:sz w:val="16"/>
          <w:szCs w:val="16"/>
          <w:color w:val="auto"/>
        </w:rPr>
        <w:t>Credicorp Holding Chile was incorporated in Chile on July 18, 2012, and aims to invest for long-term profitable purposes, in corporeal goods (movable and immovable property) and incorporeal, located in Chile or abroad. Its main subsidiary is Credicorp Capital Chile S.A.</w:t>
      </w:r>
    </w:p>
    <w:p>
      <w:pPr>
        <w:spacing w:after="0" w:line="120" w:lineRule="exact"/>
        <w:rPr>
          <w:rFonts w:ascii="Arial" w:cs="Arial" w:eastAsia="Arial" w:hAnsi="Arial"/>
          <w:sz w:val="16"/>
          <w:szCs w:val="16"/>
          <w:color w:val="auto"/>
        </w:rPr>
      </w:pPr>
    </w:p>
    <w:p>
      <w:pPr>
        <w:ind w:left="642" w:right="60" w:hanging="300"/>
        <w:spacing w:after="0" w:line="259" w:lineRule="auto"/>
        <w:tabs>
          <w:tab w:leader="none" w:pos="642" w:val="left"/>
        </w:tabs>
        <w:numPr>
          <w:ilvl w:val="1"/>
          <w:numId w:val="33"/>
        </w:numPr>
        <w:rPr>
          <w:rFonts w:ascii="Arial" w:cs="Arial" w:eastAsia="Arial" w:hAnsi="Arial"/>
          <w:sz w:val="16"/>
          <w:szCs w:val="16"/>
          <w:color w:val="auto"/>
        </w:rPr>
      </w:pPr>
      <w:r>
        <w:rPr>
          <w:rFonts w:ascii="Arial" w:cs="Arial" w:eastAsia="Arial" w:hAnsi="Arial"/>
          <w:sz w:val="16"/>
          <w:szCs w:val="16"/>
          <w:color w:val="auto"/>
        </w:rPr>
        <w:t>Credicorp Capital Holding Perú S.A. was incorporated in Peru on October 30, 2014, and aims to be the Peruvian holding of investment banking. Its main subsidiary Credicorp Capital Perú S.A.A.; which has as its main activity the function of holding shares, participations and transferable securities in general, providing advisory services in corporate and financial matters, and investment in real estate.</w:t>
      </w:r>
    </w:p>
    <w:p>
      <w:pPr>
        <w:spacing w:after="0" w:line="137" w:lineRule="exact"/>
        <w:rPr>
          <w:rFonts w:ascii="Arial" w:cs="Arial" w:eastAsia="Arial" w:hAnsi="Arial"/>
          <w:sz w:val="16"/>
          <w:szCs w:val="16"/>
          <w:color w:val="auto"/>
        </w:rPr>
      </w:pPr>
    </w:p>
    <w:p>
      <w:pPr>
        <w:ind w:left="342" w:hanging="342"/>
        <w:spacing w:after="0" w:line="280" w:lineRule="auto"/>
        <w:tabs>
          <w:tab w:leader="none" w:pos="342" w:val="left"/>
        </w:tabs>
        <w:numPr>
          <w:ilvl w:val="0"/>
          <w:numId w:val="34"/>
        </w:numPr>
        <w:rPr>
          <w:rFonts w:ascii="Arial" w:cs="Arial" w:eastAsia="Arial" w:hAnsi="Arial"/>
          <w:sz w:val="16"/>
          <w:szCs w:val="16"/>
          <w:color w:val="auto"/>
        </w:rPr>
      </w:pPr>
      <w:r>
        <w:rPr>
          <w:rFonts w:ascii="Arial" w:cs="Arial" w:eastAsia="Arial" w:hAnsi="Arial"/>
          <w:sz w:val="16"/>
          <w:szCs w:val="16"/>
          <w:color w:val="auto"/>
        </w:rPr>
        <w:t>CCR Inc. was incorporated in the year 2000. Its main activity is to manage funding granted to BCP by foreign financial entities or investors. These loans matured in the course of 2022 and were guaranteed by transactions carried out by BCP.</w:t>
      </w:r>
    </w:p>
    <w:p>
      <w:pPr>
        <w:spacing w:after="0" w:line="120" w:lineRule="exact"/>
        <w:rPr>
          <w:sz w:val="20"/>
          <w:szCs w:val="20"/>
          <w:color w:val="auto"/>
        </w:rPr>
      </w:pPr>
    </w:p>
    <w:p>
      <w:pPr>
        <w:ind w:left="2" w:right="440"/>
        <w:spacing w:after="0" w:line="280" w:lineRule="auto"/>
        <w:rPr>
          <w:sz w:val="20"/>
          <w:szCs w:val="20"/>
          <w:color w:val="auto"/>
        </w:rPr>
      </w:pPr>
      <w:r>
        <w:rPr>
          <w:rFonts w:ascii="Arial" w:cs="Arial" w:eastAsia="Arial" w:hAnsi="Arial"/>
          <w:sz w:val="16"/>
          <w:szCs w:val="16"/>
          <w:color w:val="auto"/>
        </w:rPr>
        <w:t>The information presented is based on the legal structure of the Group. The information grouped according to the business lines is revealed in note 27 Operating segments.</w:t>
      </w:r>
    </w:p>
    <w:p>
      <w:pPr>
        <w:spacing w:after="0" w:line="279"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306" w:right="339" w:bottom="1440" w:gutter="0" w:footer="0" w:header="0"/>
        </w:sectPr>
      </w:pPr>
    </w:p>
    <w:bookmarkStart w:id="35" w:name="page36"/>
    <w:bookmarkEnd w:id="35"/>
    <w:p>
      <w:pPr>
        <w:ind w:left="302" w:hanging="302"/>
        <w:spacing w:after="0"/>
        <w:tabs>
          <w:tab w:leader="none" w:pos="302" w:val="left"/>
        </w:tabs>
        <w:numPr>
          <w:ilvl w:val="0"/>
          <w:numId w:val="35"/>
        </w:numPr>
        <w:rPr>
          <w:rFonts w:ascii="Arial" w:cs="Arial" w:eastAsia="Arial" w:hAnsi="Arial"/>
          <w:sz w:val="16"/>
          <w:szCs w:val="16"/>
          <w:color w:val="auto"/>
        </w:rPr>
      </w:pPr>
      <w:r>
        <w:rPr>
          <w:rFonts w:ascii="Arial" w:cs="Arial" w:eastAsia="Arial" w:hAnsi="Arial"/>
          <w:sz w:val="16"/>
          <w:szCs w:val="16"/>
          <w:color w:val="auto"/>
        </w:rPr>
        <w:t>Functional, presentation and foreign currency transactions –</w:t>
      </w:r>
    </w:p>
    <w:p>
      <w:pPr>
        <w:spacing w:after="0" w:line="182" w:lineRule="exact"/>
        <w:rPr>
          <w:rFonts w:ascii="Arial" w:cs="Arial" w:eastAsia="Arial" w:hAnsi="Arial"/>
          <w:sz w:val="16"/>
          <w:szCs w:val="16"/>
          <w:color w:val="auto"/>
        </w:rPr>
      </w:pPr>
    </w:p>
    <w:p>
      <w:pPr>
        <w:ind w:left="682" w:hanging="389"/>
        <w:spacing w:after="0"/>
        <w:tabs>
          <w:tab w:leader="none" w:pos="682" w:val="left"/>
        </w:tabs>
        <w:numPr>
          <w:ilvl w:val="1"/>
          <w:numId w:val="35"/>
        </w:numPr>
        <w:rPr>
          <w:rFonts w:ascii="Arial" w:cs="Arial" w:eastAsia="Arial" w:hAnsi="Arial"/>
          <w:sz w:val="16"/>
          <w:szCs w:val="16"/>
          <w:color w:val="auto"/>
        </w:rPr>
      </w:pPr>
      <w:r>
        <w:rPr>
          <w:rFonts w:ascii="Arial" w:cs="Arial" w:eastAsia="Arial" w:hAnsi="Arial"/>
          <w:sz w:val="16"/>
          <w:szCs w:val="16"/>
          <w:color w:val="auto"/>
        </w:rPr>
        <w:t>Functional and presentation currency -</w:t>
      </w:r>
    </w:p>
    <w:p>
      <w:pPr>
        <w:spacing w:after="0" w:line="182" w:lineRule="exact"/>
        <w:rPr>
          <w:rFonts w:ascii="Arial" w:cs="Arial" w:eastAsia="Arial" w:hAnsi="Arial"/>
          <w:sz w:val="16"/>
          <w:szCs w:val="16"/>
          <w:color w:val="auto"/>
        </w:rPr>
      </w:pPr>
    </w:p>
    <w:p>
      <w:pPr>
        <w:ind w:left="682" w:right="40"/>
        <w:spacing w:after="0" w:line="252" w:lineRule="auto"/>
        <w:rPr>
          <w:rFonts w:ascii="Arial" w:cs="Arial" w:eastAsia="Arial" w:hAnsi="Arial"/>
          <w:sz w:val="16"/>
          <w:szCs w:val="16"/>
          <w:color w:val="auto"/>
        </w:rPr>
      </w:pPr>
      <w:r>
        <w:rPr>
          <w:rFonts w:ascii="Arial" w:cs="Arial" w:eastAsia="Arial" w:hAnsi="Arial"/>
          <w:sz w:val="16"/>
          <w:szCs w:val="16"/>
          <w:color w:val="auto"/>
        </w:rPr>
        <w:t>Credicorp and its Subsidiaries which operate in Peru consider the sol as their functional and presentation currency since it reflects the nature of the economic events and relevant circumstances for most of the Group´s entities, given the fact their major transactions and/operations, such as: loans granted, financing obtained, sale of insurance premiums, interests and similar income, interest and similar expenses, as well as a significant percentage of their purchases; they are agreed and settled in soles.</w:t>
      </w:r>
    </w:p>
    <w:p>
      <w:pPr>
        <w:spacing w:after="0" w:line="143" w:lineRule="exact"/>
        <w:rPr>
          <w:rFonts w:ascii="Arial" w:cs="Arial" w:eastAsia="Arial" w:hAnsi="Arial"/>
          <w:sz w:val="16"/>
          <w:szCs w:val="16"/>
          <w:color w:val="auto"/>
        </w:rPr>
      </w:pPr>
    </w:p>
    <w:p>
      <w:pPr>
        <w:ind w:left="682" w:hanging="389"/>
        <w:spacing w:after="0"/>
        <w:tabs>
          <w:tab w:leader="none" w:pos="682" w:val="left"/>
        </w:tabs>
        <w:numPr>
          <w:ilvl w:val="1"/>
          <w:numId w:val="35"/>
        </w:numPr>
        <w:rPr>
          <w:rFonts w:ascii="Arial" w:cs="Arial" w:eastAsia="Arial" w:hAnsi="Arial"/>
          <w:sz w:val="16"/>
          <w:szCs w:val="16"/>
          <w:color w:val="auto"/>
        </w:rPr>
      </w:pPr>
      <w:r>
        <w:rPr>
          <w:rFonts w:ascii="Arial" w:cs="Arial" w:eastAsia="Arial" w:hAnsi="Arial"/>
          <w:sz w:val="16"/>
          <w:szCs w:val="16"/>
          <w:color w:val="auto"/>
        </w:rPr>
        <w:t>Transactions and balances in foreign currency -</w:t>
      </w:r>
    </w:p>
    <w:p>
      <w:pPr>
        <w:spacing w:after="0" w:line="182" w:lineRule="exact"/>
        <w:rPr>
          <w:rFonts w:ascii="Arial" w:cs="Arial" w:eastAsia="Arial" w:hAnsi="Arial"/>
          <w:sz w:val="16"/>
          <w:szCs w:val="16"/>
          <w:color w:val="auto"/>
        </w:rPr>
      </w:pPr>
    </w:p>
    <w:p>
      <w:pPr>
        <w:jc w:val="both"/>
        <w:ind w:left="682" w:right="120"/>
        <w:spacing w:after="0" w:line="259" w:lineRule="auto"/>
        <w:rPr>
          <w:rFonts w:ascii="Arial" w:cs="Arial" w:eastAsia="Arial" w:hAnsi="Arial"/>
          <w:sz w:val="16"/>
          <w:szCs w:val="16"/>
          <w:color w:val="auto"/>
        </w:rPr>
      </w:pPr>
      <w:r>
        <w:rPr>
          <w:rFonts w:ascii="Arial" w:cs="Arial" w:eastAsia="Arial" w:hAnsi="Arial"/>
          <w:sz w:val="16"/>
          <w:szCs w:val="16"/>
          <w:color w:val="auto"/>
        </w:rPr>
        <w:t>Foreign currency transactions are those entered into in currencies other than the functional currency. These transactions are initially recorded by Group entities at the exchange rates of their functional currencies at the transaction dates. Monetary assets and liabilities denominated in foreign currency are adjusted at the exchange rate of the functional currency prevailing at the date of the consolidated statement of financial position.</w:t>
      </w:r>
    </w:p>
    <w:p>
      <w:pPr>
        <w:spacing w:after="0" w:line="137" w:lineRule="exact"/>
        <w:rPr>
          <w:rFonts w:ascii="Arial" w:cs="Arial" w:eastAsia="Arial" w:hAnsi="Arial"/>
          <w:sz w:val="16"/>
          <w:szCs w:val="16"/>
          <w:color w:val="auto"/>
        </w:rPr>
      </w:pPr>
    </w:p>
    <w:p>
      <w:pPr>
        <w:ind w:left="682" w:right="60"/>
        <w:spacing w:after="0" w:line="247" w:lineRule="auto"/>
        <w:rPr>
          <w:rFonts w:ascii="Arial" w:cs="Arial" w:eastAsia="Arial" w:hAnsi="Arial"/>
          <w:sz w:val="16"/>
          <w:szCs w:val="16"/>
          <w:color w:val="auto"/>
        </w:rPr>
      </w:pPr>
      <w:r>
        <w:rPr>
          <w:rFonts w:ascii="Arial" w:cs="Arial" w:eastAsia="Arial" w:hAnsi="Arial"/>
          <w:sz w:val="16"/>
          <w:szCs w:val="16"/>
          <w:color w:val="auto"/>
        </w:rPr>
        <w:t>The differences arising from the exchange rate prevailing at the date of each consolidated statement of financial position presented and the exchange rate initially used in recording transactions are recognized in the consolidated statement of income in the period in which they occur, in “Exchange differences result”, except for those that correspond to monetary items that are part of a hedging strategy for a net investment abroad, said accumulated difference is recognized in the caption “Exchange differences on translation of foreign operations” in the consolidated statement of comprehensive income. Non-monetary assets and liabilities acquired in foreign currency are recorded at the exchange rate prevailing at the initial transaction date and are not subsequently adjusted.</w:t>
      </w:r>
    </w:p>
    <w:p>
      <w:pPr>
        <w:spacing w:after="0" w:line="146" w:lineRule="exact"/>
        <w:rPr>
          <w:rFonts w:ascii="Arial" w:cs="Arial" w:eastAsia="Arial" w:hAnsi="Arial"/>
          <w:sz w:val="16"/>
          <w:szCs w:val="16"/>
          <w:color w:val="auto"/>
        </w:rPr>
      </w:pPr>
    </w:p>
    <w:p>
      <w:pPr>
        <w:ind w:left="682" w:hanging="389"/>
        <w:spacing w:after="0"/>
        <w:tabs>
          <w:tab w:leader="none" w:pos="682" w:val="left"/>
        </w:tabs>
        <w:numPr>
          <w:ilvl w:val="1"/>
          <w:numId w:val="35"/>
        </w:numPr>
        <w:rPr>
          <w:rFonts w:ascii="Arial" w:cs="Arial" w:eastAsia="Arial" w:hAnsi="Arial"/>
          <w:sz w:val="16"/>
          <w:szCs w:val="16"/>
          <w:color w:val="auto"/>
        </w:rPr>
      </w:pPr>
      <w:r>
        <w:rPr>
          <w:rFonts w:ascii="Arial" w:cs="Arial" w:eastAsia="Arial" w:hAnsi="Arial"/>
          <w:sz w:val="16"/>
          <w:szCs w:val="16"/>
          <w:color w:val="auto"/>
        </w:rPr>
        <w:t>Group entities with functional currency other than the presentation currency -</w:t>
      </w:r>
    </w:p>
    <w:p>
      <w:pPr>
        <w:spacing w:after="0" w:line="182" w:lineRule="exact"/>
        <w:rPr>
          <w:rFonts w:ascii="Arial" w:cs="Arial" w:eastAsia="Arial" w:hAnsi="Arial"/>
          <w:sz w:val="16"/>
          <w:szCs w:val="16"/>
          <w:color w:val="auto"/>
        </w:rPr>
      </w:pPr>
    </w:p>
    <w:p>
      <w:pPr>
        <w:jc w:val="both"/>
        <w:ind w:left="682" w:right="380"/>
        <w:spacing w:after="0" w:line="259" w:lineRule="auto"/>
        <w:rPr>
          <w:rFonts w:ascii="Arial" w:cs="Arial" w:eastAsia="Arial" w:hAnsi="Arial"/>
          <w:sz w:val="16"/>
          <w:szCs w:val="16"/>
          <w:color w:val="auto"/>
        </w:rPr>
      </w:pPr>
      <w:r>
        <w:rPr>
          <w:rFonts w:ascii="Arial" w:cs="Arial" w:eastAsia="Arial" w:hAnsi="Arial"/>
          <w:sz w:val="16"/>
          <w:szCs w:val="16"/>
          <w:color w:val="auto"/>
        </w:rPr>
        <w:t>Given that the Group’s entities in Colombia, Chile, Cayman Islands, Panama and Bolivia, Mexico, United States of America and Spain have a functional currency different from the sol, the balances were translated into Soles for consolidation purposes in accordance with IAS 21, “The Effects of Changes in Foreign Exchange Rates” as follows:</w:t>
      </w:r>
    </w:p>
    <w:p>
      <w:pPr>
        <w:spacing w:after="0" w:line="137" w:lineRule="exact"/>
        <w:rPr>
          <w:rFonts w:ascii="Arial" w:cs="Arial" w:eastAsia="Arial" w:hAnsi="Arial"/>
          <w:sz w:val="16"/>
          <w:szCs w:val="16"/>
          <w:color w:val="auto"/>
        </w:rPr>
      </w:pPr>
    </w:p>
    <w:p>
      <w:pPr>
        <w:ind w:left="922" w:hanging="238"/>
        <w:spacing w:after="0"/>
        <w:tabs>
          <w:tab w:leader="none" w:pos="922" w:val="left"/>
        </w:tabs>
        <w:numPr>
          <w:ilvl w:val="2"/>
          <w:numId w:val="35"/>
        </w:numPr>
        <w:rPr>
          <w:rFonts w:ascii="Arial" w:cs="Arial" w:eastAsia="Arial" w:hAnsi="Arial"/>
          <w:sz w:val="16"/>
          <w:szCs w:val="16"/>
          <w:color w:val="auto"/>
        </w:rPr>
      </w:pPr>
      <w:r>
        <w:rPr>
          <w:rFonts w:ascii="Arial" w:cs="Arial" w:eastAsia="Arial" w:hAnsi="Arial"/>
          <w:sz w:val="16"/>
          <w:szCs w:val="16"/>
          <w:color w:val="auto"/>
        </w:rPr>
        <w:t>Assets and liabilities, at the closing rate prevailing at the date of each consolidated statement of financial position.</w:t>
      </w:r>
    </w:p>
    <w:p>
      <w:pPr>
        <w:spacing w:after="0" w:line="15" w:lineRule="exact"/>
        <w:rPr>
          <w:rFonts w:ascii="Arial" w:cs="Arial" w:eastAsia="Arial" w:hAnsi="Arial"/>
          <w:sz w:val="16"/>
          <w:szCs w:val="16"/>
          <w:color w:val="auto"/>
        </w:rPr>
      </w:pPr>
    </w:p>
    <w:p>
      <w:pPr>
        <w:ind w:left="922" w:hanging="238"/>
        <w:spacing w:after="0"/>
        <w:tabs>
          <w:tab w:leader="none" w:pos="922" w:val="left"/>
        </w:tabs>
        <w:numPr>
          <w:ilvl w:val="2"/>
          <w:numId w:val="35"/>
        </w:numPr>
        <w:rPr>
          <w:rFonts w:ascii="Arial" w:cs="Arial" w:eastAsia="Arial" w:hAnsi="Arial"/>
          <w:sz w:val="16"/>
          <w:szCs w:val="16"/>
          <w:color w:val="auto"/>
        </w:rPr>
      </w:pPr>
      <w:r>
        <w:rPr>
          <w:rFonts w:ascii="Arial" w:cs="Arial" w:eastAsia="Arial" w:hAnsi="Arial"/>
          <w:sz w:val="16"/>
          <w:szCs w:val="16"/>
          <w:color w:val="auto"/>
        </w:rPr>
        <w:t>Income and expense, at the average exchange rate for each month of the year.</w:t>
      </w:r>
    </w:p>
    <w:p>
      <w:pPr>
        <w:spacing w:after="0" w:line="167" w:lineRule="exact"/>
        <w:rPr>
          <w:sz w:val="20"/>
          <w:szCs w:val="20"/>
          <w:color w:val="auto"/>
        </w:rPr>
      </w:pPr>
    </w:p>
    <w:p>
      <w:pPr>
        <w:ind w:left="682" w:right="120"/>
        <w:spacing w:after="0" w:line="280" w:lineRule="auto"/>
        <w:rPr>
          <w:sz w:val="20"/>
          <w:szCs w:val="20"/>
          <w:color w:val="auto"/>
        </w:rPr>
      </w:pPr>
      <w:r>
        <w:rPr>
          <w:rFonts w:ascii="Arial" w:cs="Arial" w:eastAsia="Arial" w:hAnsi="Arial"/>
          <w:sz w:val="16"/>
          <w:szCs w:val="16"/>
          <w:color w:val="auto"/>
        </w:rPr>
        <w:t>All resulting exchange differences were recognized within “Exchange differences on translation of foreign operations”, including the differences in financial instruments designated as accounting hedges of said investments, in the consolidated statement of comprehensive income.</w:t>
      </w:r>
    </w:p>
    <w:p>
      <w:pPr>
        <w:spacing w:after="0" w:line="120" w:lineRule="exact"/>
        <w:rPr>
          <w:sz w:val="20"/>
          <w:szCs w:val="20"/>
          <w:color w:val="auto"/>
        </w:rPr>
      </w:pPr>
    </w:p>
    <w:p>
      <w:pPr>
        <w:ind w:left="282" w:right="6500" w:hanging="282"/>
        <w:spacing w:after="0" w:line="478" w:lineRule="auto"/>
        <w:tabs>
          <w:tab w:leader="none" w:pos="2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Recognition of income and expenses from banking activities - Effective interest rate method:</w:t>
      </w:r>
    </w:p>
    <w:p>
      <w:pPr>
        <w:jc w:val="both"/>
        <w:ind w:left="282" w:right="460"/>
        <w:spacing w:after="0" w:line="280" w:lineRule="auto"/>
        <w:rPr>
          <w:rFonts w:ascii="Arial" w:cs="Arial" w:eastAsia="Arial" w:hAnsi="Arial"/>
          <w:sz w:val="16"/>
          <w:szCs w:val="16"/>
          <w:color w:val="auto"/>
        </w:rPr>
      </w:pPr>
      <w:r>
        <w:rPr>
          <w:rFonts w:ascii="Arial" w:cs="Arial" w:eastAsia="Arial" w:hAnsi="Arial"/>
          <w:sz w:val="16"/>
          <w:szCs w:val="16"/>
          <w:color w:val="auto"/>
        </w:rPr>
        <w:t>Interest income is recorded using the effective interest rate (EIR) method for all financial instruments measured at amortized cost and at fair value through other comprehensive income. Interest expenses corresponding to liabilities measured at amortized cost are also recorded using the EIR.</w:t>
      </w:r>
    </w:p>
    <w:p>
      <w:pPr>
        <w:spacing w:after="0" w:line="120" w:lineRule="exact"/>
        <w:rPr>
          <w:rFonts w:ascii="Arial" w:cs="Arial" w:eastAsia="Arial" w:hAnsi="Arial"/>
          <w:sz w:val="16"/>
          <w:szCs w:val="16"/>
          <w:color w:val="auto"/>
        </w:rPr>
      </w:pPr>
    </w:p>
    <w:p>
      <w:pPr>
        <w:ind w:left="282"/>
        <w:spacing w:after="0" w:line="252" w:lineRule="auto"/>
        <w:rPr>
          <w:rFonts w:ascii="Arial" w:cs="Arial" w:eastAsia="Arial" w:hAnsi="Arial"/>
          <w:sz w:val="16"/>
          <w:szCs w:val="16"/>
          <w:color w:val="auto"/>
        </w:rPr>
      </w:pPr>
      <w:r>
        <w:rPr>
          <w:rFonts w:ascii="Arial" w:cs="Arial" w:eastAsia="Arial" w:hAnsi="Arial"/>
          <w:sz w:val="16"/>
          <w:szCs w:val="16"/>
          <w:color w:val="auto"/>
        </w:rPr>
        <w:t>The EIR is the rate that exactly discounts future cash flows that are estimated to be paid or received during the life of the instrument or a shorter period, if appropriate, to the gross carrying amount of the financial asset or financial liability. The EIR (and, therefore, the amortized cost of the financial asset or liability) is calculated taking into account any discount, premium and transaction costs that are an integral part of the effective interest rate of the financial instrument, but the expected credit loss are not included.</w:t>
      </w:r>
    </w:p>
    <w:p>
      <w:pPr>
        <w:spacing w:after="0" w:line="302"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2"/>
          </w:cols>
          <w:pgMar w:left="318" w:top="306" w:right="359" w:bottom="1440" w:gutter="0" w:footer="0" w:header="0"/>
        </w:sectPr>
      </w:pPr>
    </w:p>
    <w:bookmarkStart w:id="36" w:name="page37"/>
    <w:bookmarkEnd w:id="36"/>
    <w:p>
      <w:pPr>
        <w:ind w:left="282"/>
        <w:spacing w:after="0"/>
        <w:rPr>
          <w:sz w:val="20"/>
          <w:szCs w:val="20"/>
          <w:color w:val="auto"/>
        </w:rPr>
      </w:pPr>
      <w:r>
        <w:rPr>
          <w:rFonts w:ascii="Arial" w:cs="Arial" w:eastAsia="Arial" w:hAnsi="Arial"/>
          <w:sz w:val="16"/>
          <w:szCs w:val="16"/>
          <w:color w:val="auto"/>
        </w:rPr>
        <w:t>Interest income and expenses:</w:t>
      </w:r>
    </w:p>
    <w:p>
      <w:pPr>
        <w:spacing w:after="0" w:line="183" w:lineRule="exact"/>
        <w:rPr>
          <w:sz w:val="20"/>
          <w:szCs w:val="20"/>
          <w:color w:val="auto"/>
        </w:rPr>
      </w:pPr>
    </w:p>
    <w:p>
      <w:pPr>
        <w:ind w:left="282"/>
        <w:spacing w:after="0"/>
        <w:rPr>
          <w:sz w:val="20"/>
          <w:szCs w:val="20"/>
          <w:color w:val="auto"/>
        </w:rPr>
      </w:pPr>
      <w:r>
        <w:rPr>
          <w:rFonts w:ascii="Arial" w:cs="Arial" w:eastAsia="Arial" w:hAnsi="Arial"/>
          <w:sz w:val="16"/>
          <w:szCs w:val="16"/>
          <w:color w:val="auto"/>
        </w:rPr>
        <w:t>The Group calculates interest income by applying the EIR to the gross carrying amount of those financial assets that are not impaired.</w:t>
      </w:r>
    </w:p>
    <w:p>
      <w:pPr>
        <w:spacing w:after="0" w:line="183" w:lineRule="exact"/>
        <w:rPr>
          <w:sz w:val="20"/>
          <w:szCs w:val="20"/>
          <w:color w:val="auto"/>
        </w:rPr>
      </w:pPr>
    </w:p>
    <w:p>
      <w:pPr>
        <w:jc w:val="both"/>
        <w:ind w:left="282" w:right="240"/>
        <w:spacing w:after="0" w:line="259" w:lineRule="auto"/>
        <w:rPr>
          <w:sz w:val="20"/>
          <w:szCs w:val="20"/>
          <w:color w:val="auto"/>
        </w:rPr>
      </w:pPr>
      <w:r>
        <w:rPr>
          <w:rFonts w:ascii="Arial" w:cs="Arial" w:eastAsia="Arial" w:hAnsi="Arial"/>
          <w:sz w:val="16"/>
          <w:szCs w:val="16"/>
          <w:color w:val="auto"/>
        </w:rPr>
        <w:t>When a financial asset becomes impaired and, therefore, is considered in Stage 3 (as set out in Note 3(j) impairment of financial assets), the Group calculates interest income by applying the interest rate effective at the carrying amount of the asset, net of its provision for credit loss. If the evidence that the criteria for the recognition of the financial asset in Stage 3 are no longer met, the Group recalculates interest income in gross terms.</w:t>
      </w:r>
    </w:p>
    <w:p>
      <w:pPr>
        <w:spacing w:after="0" w:line="137" w:lineRule="exact"/>
        <w:rPr>
          <w:sz w:val="20"/>
          <w:szCs w:val="20"/>
          <w:color w:val="auto"/>
        </w:rPr>
      </w:pPr>
    </w:p>
    <w:p>
      <w:pPr>
        <w:ind w:left="282" w:right="20"/>
        <w:spacing w:after="0" w:line="259" w:lineRule="auto"/>
        <w:rPr>
          <w:sz w:val="20"/>
          <w:szCs w:val="20"/>
          <w:color w:val="auto"/>
        </w:rPr>
      </w:pPr>
      <w:r>
        <w:rPr>
          <w:rFonts w:ascii="Arial" w:cs="Arial" w:eastAsia="Arial" w:hAnsi="Arial"/>
          <w:sz w:val="16"/>
          <w:szCs w:val="16"/>
          <w:color w:val="auto"/>
        </w:rPr>
        <w:t>Interest income and expenses accrued from all financial instruments that generate interest, including those related to financial instruments carried at fair value through profit or loss, are recorded under the heading “Interest and similar income” and “Interest and similar expenses” of the consolidated statement of income.</w:t>
      </w:r>
    </w:p>
    <w:p>
      <w:pPr>
        <w:spacing w:after="0" w:line="137" w:lineRule="exact"/>
        <w:rPr>
          <w:sz w:val="20"/>
          <w:szCs w:val="20"/>
          <w:color w:val="auto"/>
        </w:rPr>
      </w:pPr>
    </w:p>
    <w:p>
      <w:pPr>
        <w:ind w:left="282"/>
        <w:spacing w:after="0"/>
        <w:rPr>
          <w:sz w:val="20"/>
          <w:szCs w:val="20"/>
          <w:color w:val="auto"/>
        </w:rPr>
      </w:pPr>
      <w:r>
        <w:rPr>
          <w:rFonts w:ascii="Arial" w:cs="Arial" w:eastAsia="Arial" w:hAnsi="Arial"/>
          <w:sz w:val="16"/>
          <w:szCs w:val="16"/>
          <w:color w:val="auto"/>
        </w:rPr>
        <w:t>Dividends:</w:t>
      </w:r>
    </w:p>
    <w:p>
      <w:pPr>
        <w:spacing w:after="0" w:line="183" w:lineRule="exact"/>
        <w:rPr>
          <w:sz w:val="20"/>
          <w:szCs w:val="20"/>
          <w:color w:val="auto"/>
        </w:rPr>
      </w:pPr>
    </w:p>
    <w:p>
      <w:pPr>
        <w:ind w:left="282"/>
        <w:spacing w:after="0"/>
        <w:rPr>
          <w:sz w:val="20"/>
          <w:szCs w:val="20"/>
          <w:color w:val="auto"/>
        </w:rPr>
      </w:pPr>
      <w:r>
        <w:rPr>
          <w:rFonts w:ascii="Arial" w:cs="Arial" w:eastAsia="Arial" w:hAnsi="Arial"/>
          <w:sz w:val="16"/>
          <w:szCs w:val="16"/>
          <w:color w:val="auto"/>
        </w:rPr>
        <w:t>Dividends are recorded as income when they are declared.</w:t>
      </w:r>
    </w:p>
    <w:p>
      <w:pPr>
        <w:spacing w:after="0" w:line="183" w:lineRule="exact"/>
        <w:rPr>
          <w:sz w:val="20"/>
          <w:szCs w:val="20"/>
          <w:color w:val="auto"/>
        </w:rPr>
      </w:pPr>
    </w:p>
    <w:p>
      <w:pPr>
        <w:ind w:left="282"/>
        <w:spacing w:after="0"/>
        <w:rPr>
          <w:sz w:val="20"/>
          <w:szCs w:val="20"/>
          <w:color w:val="auto"/>
        </w:rPr>
      </w:pPr>
      <w:r>
        <w:rPr>
          <w:rFonts w:ascii="Arial" w:cs="Arial" w:eastAsia="Arial" w:hAnsi="Arial"/>
          <w:sz w:val="16"/>
          <w:szCs w:val="16"/>
          <w:color w:val="auto"/>
        </w:rPr>
        <w:t>Commissions and fees:</w:t>
      </w:r>
    </w:p>
    <w:p>
      <w:pPr>
        <w:spacing w:after="0" w:line="183" w:lineRule="exact"/>
        <w:rPr>
          <w:sz w:val="20"/>
          <w:szCs w:val="20"/>
          <w:color w:val="auto"/>
        </w:rPr>
      </w:pPr>
    </w:p>
    <w:p>
      <w:pPr>
        <w:ind w:left="282" w:right="80"/>
        <w:spacing w:after="0" w:line="259" w:lineRule="auto"/>
        <w:rPr>
          <w:sz w:val="20"/>
          <w:szCs w:val="20"/>
          <w:color w:val="auto"/>
        </w:rPr>
      </w:pPr>
      <w:r>
        <w:rPr>
          <w:rFonts w:ascii="Arial" w:cs="Arial" w:eastAsia="Arial" w:hAnsi="Arial"/>
          <w:sz w:val="16"/>
          <w:szCs w:val="16"/>
          <w:color w:val="auto"/>
        </w:rPr>
        <w:t>Income from commissions (which are not an integral part of the TIE) and fees are recognized as they are earned. Commissions and fees include, among others, the commission charged for the banking service in general such as account maintenance, shipping, transfers, loan syndication fees and fees for contingent credits.</w:t>
      </w:r>
    </w:p>
    <w:p>
      <w:pPr>
        <w:spacing w:after="0" w:line="137" w:lineRule="exact"/>
        <w:rPr>
          <w:sz w:val="20"/>
          <w:szCs w:val="20"/>
          <w:color w:val="auto"/>
        </w:rPr>
      </w:pPr>
    </w:p>
    <w:p>
      <w:pPr>
        <w:ind w:left="282" w:right="40"/>
        <w:spacing w:after="0" w:line="259" w:lineRule="auto"/>
        <w:rPr>
          <w:sz w:val="20"/>
          <w:szCs w:val="20"/>
          <w:color w:val="auto"/>
        </w:rPr>
      </w:pPr>
      <w:r>
        <w:rPr>
          <w:rFonts w:ascii="Arial" w:cs="Arial" w:eastAsia="Arial" w:hAnsi="Arial"/>
          <w:sz w:val="16"/>
          <w:szCs w:val="16"/>
          <w:color w:val="auto"/>
        </w:rPr>
        <w:t>Income from commissions and fees is recognized at an amount that reflects the consideration to which the Group expects to be entitled in exchange for providing the services. Performance obligations, as well as the timing of their satisfaction, are identified and determined at the time of contract. The Group’s revenue contracts do not include multiple performance obligations.</w:t>
      </w:r>
    </w:p>
    <w:p>
      <w:pPr>
        <w:spacing w:after="0" w:line="137" w:lineRule="exact"/>
        <w:rPr>
          <w:sz w:val="20"/>
          <w:szCs w:val="20"/>
          <w:color w:val="auto"/>
        </w:rPr>
      </w:pPr>
    </w:p>
    <w:p>
      <w:pPr>
        <w:ind w:left="282" w:right="180"/>
        <w:spacing w:after="0" w:line="280" w:lineRule="auto"/>
        <w:rPr>
          <w:sz w:val="20"/>
          <w:szCs w:val="20"/>
          <w:color w:val="auto"/>
        </w:rPr>
      </w:pPr>
      <w:r>
        <w:rPr>
          <w:rFonts w:ascii="Arial" w:cs="Arial" w:eastAsia="Arial" w:hAnsi="Arial"/>
          <w:sz w:val="16"/>
          <w:szCs w:val="16"/>
          <w:color w:val="auto"/>
        </w:rPr>
        <w:t>When the Group provides a service to its clients, the consideration is invoiced and generally collected immediately after the provision of a service at a given time or at the end of the contract period for a service provided over time.</w:t>
      </w:r>
    </w:p>
    <w:p>
      <w:pPr>
        <w:spacing w:after="0" w:line="120" w:lineRule="exact"/>
        <w:rPr>
          <w:sz w:val="20"/>
          <w:szCs w:val="20"/>
          <w:color w:val="auto"/>
        </w:rPr>
      </w:pPr>
    </w:p>
    <w:p>
      <w:pPr>
        <w:ind w:left="282"/>
        <w:spacing w:after="0" w:line="280" w:lineRule="auto"/>
        <w:rPr>
          <w:sz w:val="20"/>
          <w:szCs w:val="20"/>
          <w:color w:val="auto"/>
        </w:rPr>
      </w:pPr>
      <w:r>
        <w:rPr>
          <w:rFonts w:ascii="Arial" w:cs="Arial" w:eastAsia="Arial" w:hAnsi="Arial"/>
          <w:sz w:val="16"/>
          <w:szCs w:val="16"/>
          <w:color w:val="auto"/>
        </w:rPr>
        <w:t>The Group has generally concluded that it is the principal in its revenue arrangements because it normally controls the services before transferring them to the client.</w:t>
      </w:r>
    </w:p>
    <w:p>
      <w:pPr>
        <w:spacing w:after="0" w:line="120" w:lineRule="exact"/>
        <w:rPr>
          <w:sz w:val="20"/>
          <w:szCs w:val="20"/>
          <w:color w:val="auto"/>
        </w:rPr>
      </w:pPr>
    </w:p>
    <w:p>
      <w:pPr>
        <w:ind w:left="282"/>
        <w:spacing w:after="0"/>
        <w:rPr>
          <w:sz w:val="20"/>
          <w:szCs w:val="20"/>
          <w:color w:val="auto"/>
        </w:rPr>
      </w:pPr>
      <w:r>
        <w:rPr>
          <w:rFonts w:ascii="Arial" w:cs="Arial" w:eastAsia="Arial" w:hAnsi="Arial"/>
          <w:sz w:val="16"/>
          <w:szCs w:val="16"/>
          <w:color w:val="auto"/>
        </w:rPr>
        <w:t>Other income and expenses:</w:t>
      </w:r>
    </w:p>
    <w:p>
      <w:pPr>
        <w:spacing w:after="0" w:line="183" w:lineRule="exact"/>
        <w:rPr>
          <w:sz w:val="20"/>
          <w:szCs w:val="20"/>
          <w:color w:val="auto"/>
        </w:rPr>
      </w:pPr>
    </w:p>
    <w:p>
      <w:pPr>
        <w:ind w:left="282"/>
        <w:spacing w:after="0"/>
        <w:rPr>
          <w:sz w:val="20"/>
          <w:szCs w:val="20"/>
          <w:color w:val="auto"/>
        </w:rPr>
      </w:pPr>
      <w:r>
        <w:rPr>
          <w:rFonts w:ascii="Arial" w:cs="Arial" w:eastAsia="Arial" w:hAnsi="Arial"/>
          <w:sz w:val="16"/>
          <w:szCs w:val="16"/>
          <w:color w:val="auto"/>
        </w:rPr>
        <w:t>All other income and expenses are recorded in the period in which the performance obligation is satisfied.</w:t>
      </w:r>
    </w:p>
    <w:p>
      <w:pPr>
        <w:spacing w:after="0" w:line="183" w:lineRule="exact"/>
        <w:rPr>
          <w:sz w:val="20"/>
          <w:szCs w:val="20"/>
          <w:color w:val="auto"/>
        </w:rPr>
      </w:pPr>
    </w:p>
    <w:p>
      <w:pPr>
        <w:ind w:left="302" w:hanging="302"/>
        <w:spacing w:after="0"/>
        <w:tabs>
          <w:tab w:leader="none" w:pos="302"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Insurance activities –</w:t>
      </w:r>
    </w:p>
    <w:p>
      <w:pPr>
        <w:spacing w:after="0" w:line="182" w:lineRule="exact"/>
        <w:rPr>
          <w:rFonts w:ascii="Arial" w:cs="Arial" w:eastAsia="Arial" w:hAnsi="Arial"/>
          <w:sz w:val="16"/>
          <w:szCs w:val="16"/>
          <w:color w:val="auto"/>
        </w:rPr>
      </w:pPr>
    </w:p>
    <w:p>
      <w:pPr>
        <w:ind w:left="282" w:right="3400"/>
        <w:spacing w:after="0" w:line="478" w:lineRule="auto"/>
        <w:rPr>
          <w:rFonts w:ascii="Arial" w:cs="Arial" w:eastAsia="Arial" w:hAnsi="Arial"/>
          <w:sz w:val="16"/>
          <w:szCs w:val="16"/>
          <w:color w:val="auto"/>
        </w:rPr>
      </w:pPr>
      <w:r>
        <w:rPr>
          <w:rFonts w:ascii="Arial" w:cs="Arial" w:eastAsia="Arial" w:hAnsi="Arial"/>
          <w:sz w:val="16"/>
          <w:szCs w:val="16"/>
          <w:color w:val="auto"/>
        </w:rPr>
        <w:t>Below is the accounting policy for the insurance activity applying IFRS 17 for the periods 2023 and 2022: Classification of insurance and reinsurance contracts:</w:t>
      </w:r>
    </w:p>
    <w:p>
      <w:pPr>
        <w:jc w:val="both"/>
        <w:ind w:left="302" w:right="100"/>
        <w:spacing w:after="0" w:line="259" w:lineRule="auto"/>
        <w:rPr>
          <w:rFonts w:ascii="Arial" w:cs="Arial" w:eastAsia="Arial" w:hAnsi="Arial"/>
          <w:sz w:val="16"/>
          <w:szCs w:val="16"/>
          <w:color w:val="auto"/>
        </w:rPr>
      </w:pPr>
      <w:r>
        <w:rPr>
          <w:rFonts w:ascii="Arial" w:cs="Arial" w:eastAsia="Arial" w:hAnsi="Arial"/>
          <w:sz w:val="16"/>
          <w:szCs w:val="16"/>
          <w:color w:val="auto"/>
        </w:rPr>
        <w:t>Insurance contracts are those contracts when the Group (the insurer) has accepted a significant insurance risk from another party (the policyholder) by agreeing to compensate the policyholder if a specified uncertain future event (the insured event) adversely affects the policyholder. This definition also includes reinsurance contracts that the Group holds.</w:t>
      </w:r>
    </w:p>
    <w:p>
      <w:pPr>
        <w:spacing w:after="0" w:line="296"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2"/>
          </w:cols>
          <w:pgMar w:left="318" w:top="306" w:right="359" w:bottom="1440" w:gutter="0" w:footer="0" w:header="0"/>
        </w:sectPr>
      </w:pPr>
    </w:p>
    <w:bookmarkStart w:id="37" w:name="page38"/>
    <w:bookmarkEnd w:id="37"/>
    <w:p>
      <w:pPr>
        <w:spacing w:after="0" w:line="252" w:lineRule="auto"/>
        <w:rPr>
          <w:sz w:val="20"/>
          <w:szCs w:val="20"/>
          <w:color w:val="auto"/>
        </w:rPr>
      </w:pPr>
      <w:r>
        <w:rPr>
          <w:rFonts w:ascii="Arial" w:cs="Arial" w:eastAsia="Arial" w:hAnsi="Arial"/>
          <w:sz w:val="16"/>
          <w:szCs w:val="16"/>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 Life insurance contracts offered by the Group include retirement, disability and survival insurance, annuities and individual life which includes Investment Link insurance contracts. The non-life insurance contracts issued by the Group mainly include automobile, fire and allied lines, technical branches and healthcare.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Accounting treatment of insurance and reinsurance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Separation of the components of insurance and reinsurance contracts-</w:t>
      </w:r>
    </w:p>
    <w:p>
      <w:pPr>
        <w:spacing w:after="0" w:line="183"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The Group evaluates its insurance and reinsurance products to determine if they contain components that must be accounted for under another IFRS instead of IFRS 17.</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After separating the various components, an entity must apply IFRS 17 to all remaining components of the (host) insurance contract.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Currently, the Group’s products do not include differentiated components that require separation.</w:t>
      </w:r>
    </w:p>
    <w:p>
      <w:pPr>
        <w:spacing w:after="0" w:line="183"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Investment components are the amounts that an insurance contract requires an insurer to reimburse a policyholder, even if an insured event does not occur.</w:t>
      </w:r>
    </w:p>
    <w:p>
      <w:pPr>
        <w:spacing w:after="0" w:line="120" w:lineRule="exact"/>
        <w:rPr>
          <w:sz w:val="20"/>
          <w:szCs w:val="20"/>
          <w:color w:val="auto"/>
        </w:rPr>
      </w:pPr>
    </w:p>
    <w:p>
      <w:pPr>
        <w:ind w:right="540"/>
        <w:spacing w:after="0" w:line="259" w:lineRule="auto"/>
        <w:rPr>
          <w:sz w:val="20"/>
          <w:szCs w:val="20"/>
          <w:color w:val="auto"/>
        </w:rPr>
      </w:pPr>
      <w:r>
        <w:rPr>
          <w:rFonts w:ascii="Arial" w:cs="Arial" w:eastAsia="Arial" w:hAnsi="Arial"/>
          <w:sz w:val="16"/>
          <w:szCs w:val="16"/>
          <w:color w:val="auto"/>
        </w:rPr>
        <w:t>Investment components that are highly interrelated with the insurance contract of which they are a part are considered non-distinct and are not accounted for separately. However, the receipts and payments of the investment components are excluded from the income and expenses of the insurance activity.</w:t>
      </w:r>
    </w:p>
    <w:p>
      <w:pPr>
        <w:spacing w:after="0" w:line="137"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Some reinsurance contracts issued contain profit commission arrangements. Under these agreements, there is a guaranteed minimum amount that the policyholder will always receive, whether in the form of profit commission, claims, or other contractual payment, regardless of whether the insured event occurs.</w:t>
      </w:r>
    </w:p>
    <w:p>
      <w:pPr>
        <w:spacing w:after="0" w:line="137" w:lineRule="exact"/>
        <w:rPr>
          <w:sz w:val="20"/>
          <w:szCs w:val="20"/>
          <w:color w:val="auto"/>
        </w:rPr>
      </w:pPr>
    </w:p>
    <w:p>
      <w:pPr>
        <w:jc w:val="both"/>
        <w:ind w:right="60"/>
        <w:spacing w:after="0" w:line="280" w:lineRule="auto"/>
        <w:rPr>
          <w:sz w:val="20"/>
          <w:szCs w:val="20"/>
          <w:color w:val="auto"/>
        </w:rPr>
      </w:pPr>
      <w:r>
        <w:rPr>
          <w:rFonts w:ascii="Arial" w:cs="Arial" w:eastAsia="Arial" w:hAnsi="Arial"/>
          <w:sz w:val="16"/>
          <w:szCs w:val="16"/>
          <w:color w:val="auto"/>
        </w:rPr>
        <w:t>The components of the profit commission are assessed to be highly interrelated with the insurance component of reinsurance contracts so that they are considered non-distinct investment components so that separate accounting is not required.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Aggregation level and classification -</w:t>
      </w:r>
    </w:p>
    <w:p>
      <w:pPr>
        <w:spacing w:after="0" w:line="183"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 grouping of contracts into units of account is carried out based on the types of products, currency, cost and year of subscription; because they have similar risks, they are managed jointly and no contract portfolio can contain contracts issued more than one year apart.</w:t>
      </w:r>
    </w:p>
    <w:p>
      <w:pPr>
        <w:spacing w:after="0" w:line="120"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The Group classifies a portfolio of insurance contracts into two categories based on the expected profitability at the policy or contract level at the time of its recognition based on reasonable and sustainable information in:</w:t>
      </w:r>
    </w:p>
    <w:p>
      <w:pPr>
        <w:spacing w:after="0" w:line="120" w:lineRule="exact"/>
        <w:rPr>
          <w:sz w:val="20"/>
          <w:szCs w:val="20"/>
          <w:color w:val="auto"/>
        </w:rPr>
      </w:pPr>
    </w:p>
    <w:p>
      <w:pPr>
        <w:ind w:left="260" w:right="300" w:hanging="220"/>
        <w:spacing w:after="0" w:line="280" w:lineRule="auto"/>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Onerous contracts: A contract will be classified as onerous on the initial recognition date as long as the present value of the expected outflows is greater than the inflows.</w:t>
      </w:r>
    </w:p>
    <w:p>
      <w:pPr>
        <w:spacing w:after="0" w:line="120" w:lineRule="exact"/>
        <w:rPr>
          <w:rFonts w:ascii="Arial" w:cs="Arial" w:eastAsia="Arial" w:hAnsi="Arial"/>
          <w:sz w:val="16"/>
          <w:szCs w:val="16"/>
          <w:color w:val="auto"/>
        </w:rPr>
      </w:pPr>
    </w:p>
    <w:p>
      <w:pPr>
        <w:ind w:left="260" w:right="140" w:hanging="220"/>
        <w:spacing w:after="0" w:line="280" w:lineRule="auto"/>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Non-onerous contracts: Will contain contracts for which, upon initial recognition, the present value of the expected outflows is less than the present value of the inflows.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color w:val="202124"/>
        </w:rPr>
        <w:t>It should be noted that a contract for accounting purposes may differ from what is considered a contract for other purposes (i.e. legal or management).</w:t>
      </w:r>
    </w:p>
    <w:p>
      <w:pPr>
        <w:spacing w:after="0" w:line="34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41275</wp:posOffset>
            </wp:positionV>
            <wp:extent cx="714565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40"/>
          </w:cols>
          <w:pgMar w:left="620" w:top="306" w:right="339" w:bottom="1440" w:gutter="0" w:footer="0" w:header="0"/>
        </w:sectPr>
      </w:pPr>
    </w:p>
    <w:bookmarkStart w:id="38" w:name="page39"/>
    <w:bookmarkEnd w:id="38"/>
    <w:p>
      <w:pPr>
        <w:ind w:right="140"/>
        <w:spacing w:after="0" w:line="280" w:lineRule="auto"/>
        <w:rPr>
          <w:sz w:val="20"/>
          <w:szCs w:val="20"/>
          <w:color w:val="auto"/>
        </w:rPr>
      </w:pPr>
      <w:r>
        <w:rPr>
          <w:rFonts w:ascii="Arial" w:cs="Arial" w:eastAsia="Arial" w:hAnsi="Arial"/>
          <w:sz w:val="16"/>
          <w:szCs w:val="16"/>
          <w:color w:val="auto"/>
        </w:rPr>
        <w:t>The expected return of these portfolios at inception is determined based on existing actuarial valuation models that take into account new and existing businesses.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Recognition of insurance and reinsurance contracts -</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Group recognizes the groups of insurance contracts it issues starting from the first of the following:</w:t>
      </w:r>
    </w:p>
    <w:p>
      <w:pPr>
        <w:spacing w:after="0" w:line="183" w:lineRule="exact"/>
        <w:rPr>
          <w:sz w:val="20"/>
          <w:szCs w:val="20"/>
          <w:color w:val="auto"/>
        </w:rPr>
      </w:pPr>
    </w:p>
    <w:p>
      <w:pPr>
        <w:ind w:left="260" w:hanging="220"/>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beginning of the coverage period of the group of contracts.</w:t>
      </w:r>
    </w:p>
    <w:p>
      <w:pPr>
        <w:spacing w:after="0" w:line="15" w:lineRule="exact"/>
        <w:rPr>
          <w:rFonts w:ascii="Arial" w:cs="Arial" w:eastAsia="Arial" w:hAnsi="Arial"/>
          <w:sz w:val="16"/>
          <w:szCs w:val="16"/>
          <w:color w:val="auto"/>
        </w:rPr>
      </w:pPr>
    </w:p>
    <w:p>
      <w:pPr>
        <w:ind w:left="260" w:hanging="220"/>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due date of the first payment of an insured group, or when the first payment is received if there is no due date.</w:t>
      </w:r>
    </w:p>
    <w:p>
      <w:pPr>
        <w:ind w:left="260" w:hanging="220"/>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 a group of onerous contracts, as soon as the facts and circumstances indicate that the group is onerous.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Group recognizes a group of reinsurance contracts that it has entered into as follows:</w:t>
      </w:r>
    </w:p>
    <w:p>
      <w:pPr>
        <w:spacing w:after="0" w:line="183" w:lineRule="exact"/>
        <w:rPr>
          <w:sz w:val="20"/>
          <w:szCs w:val="20"/>
          <w:color w:val="auto"/>
        </w:rPr>
      </w:pPr>
    </w:p>
    <w:p>
      <w:pPr>
        <w:ind w:left="260" w:right="60" w:hanging="220"/>
        <w:spacing w:after="0" w:line="249" w:lineRule="auto"/>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Whether the reinsurance contracts held provide proportional coverage at the beginning of the coverage period of the group of reinsurance contracts held or at the initial recognition of any underlying contract, whichever is later.</w:t>
      </w:r>
    </w:p>
    <w:p>
      <w:pPr>
        <w:ind w:left="260" w:hanging="220"/>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all other cases from the beginning of the coverage period of the group of reinsurance contracts maintained.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Contract limit -</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Group includes in the measurement of a group of insurance contracts all future cash flows within the limit of each contract in the group. Cash flows are within the limits of an insurance contract if they arise from substantive rights and obligations that exist during the reporting period in which the Group has a substantive obligation to provide the policyholder with insurance services. insurance contract.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substantive obligation to provide the services of the insurance contract ends when:</w:t>
      </w:r>
    </w:p>
    <w:p>
      <w:pPr>
        <w:spacing w:after="0" w:line="183" w:lineRule="exact"/>
        <w:rPr>
          <w:sz w:val="20"/>
          <w:szCs w:val="20"/>
          <w:color w:val="auto"/>
        </w:rPr>
      </w:pPr>
    </w:p>
    <w:p>
      <w:pPr>
        <w:ind w:left="260" w:right="160" w:hanging="220"/>
        <w:spacing w:after="0" w:line="249" w:lineRule="auto"/>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Group has the practical ability to reassess the risks of the particular policyholder and, as a result, can establish a price or level of benefits that fully reflects those risks.</w:t>
      </w:r>
    </w:p>
    <w:p>
      <w:pPr>
        <w:ind w:left="260" w:hanging="220"/>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following two criteria are met:</w:t>
      </w:r>
    </w:p>
    <w:p>
      <w:pPr>
        <w:spacing w:after="0" w:line="166" w:lineRule="exact"/>
        <w:rPr>
          <w:rFonts w:ascii="Arial" w:cs="Arial" w:eastAsia="Arial" w:hAnsi="Arial"/>
          <w:sz w:val="16"/>
          <w:szCs w:val="16"/>
          <w:color w:val="auto"/>
        </w:rPr>
      </w:pPr>
    </w:p>
    <w:p>
      <w:pPr>
        <w:ind w:left="500" w:right="380" w:hanging="228"/>
        <w:spacing w:after="0" w:line="280" w:lineRule="auto"/>
        <w:tabs>
          <w:tab w:leader="none" w:pos="5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Group has the practical ability to reassess the risks of the portfolio of insurance contracts contained in the contract and, as a result, can establish a price or profit level that fully reflects the risk of that portfolio.</w:t>
      </w:r>
    </w:p>
    <w:p>
      <w:pPr>
        <w:spacing w:after="0" w:line="120" w:lineRule="exact"/>
        <w:rPr>
          <w:rFonts w:ascii="Arial" w:cs="Arial" w:eastAsia="Arial" w:hAnsi="Arial"/>
          <w:sz w:val="16"/>
          <w:szCs w:val="16"/>
          <w:color w:val="auto"/>
        </w:rPr>
      </w:pPr>
    </w:p>
    <w:p>
      <w:pPr>
        <w:ind w:left="500" w:right="80" w:hanging="228"/>
        <w:spacing w:after="0" w:line="280" w:lineRule="auto"/>
        <w:tabs>
          <w:tab w:leader="none" w:pos="5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price of the premium until the date of re-evaluation of the risks does not take into account the risks that relate to periods after the date of re-evaluation.</w:t>
      </w:r>
    </w:p>
    <w:p>
      <w:pPr>
        <w:spacing w:after="0" w:line="120" w:lineRule="exact"/>
        <w:rPr>
          <w:sz w:val="20"/>
          <w:szCs w:val="20"/>
          <w:color w:val="auto"/>
        </w:rPr>
      </w:pPr>
    </w:p>
    <w:p>
      <w:pPr>
        <w:ind w:right="260"/>
        <w:spacing w:after="0" w:line="280" w:lineRule="auto"/>
        <w:rPr>
          <w:sz w:val="20"/>
          <w:szCs w:val="20"/>
          <w:color w:val="auto"/>
        </w:rPr>
      </w:pPr>
      <w:r>
        <w:rPr>
          <w:rFonts w:ascii="Arial" w:cs="Arial" w:eastAsia="Arial" w:hAnsi="Arial"/>
          <w:sz w:val="16"/>
          <w:szCs w:val="16"/>
          <w:color w:val="auto"/>
        </w:rPr>
        <w:t>A liability or asset related to expected premiums or claims outside the limit of the insurance contract is not recognized. These amounts refer to future insurance contracts.</w:t>
      </w:r>
    </w:p>
    <w:p>
      <w:pPr>
        <w:spacing w:after="0" w:line="120"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For life contracts with renewal periods, the Group assesses whether the premiums and related cash flows arising from the renewed contract are within the limits of the contract.</w:t>
      </w:r>
    </w:p>
    <w:p>
      <w:pPr>
        <w:spacing w:after="0" w:line="120"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Renewal prices are established by the Group considering all risks covered for the insured that would be considered when signing equivalent contracts on the renewal dates of the remaining service.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Group re-evaluates each group’s contract limit at the end of each reporting period.</w:t>
      </w:r>
    </w:p>
    <w:p>
      <w:pPr>
        <w:spacing w:after="0" w:line="34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41275</wp:posOffset>
            </wp:positionV>
            <wp:extent cx="714565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20"/>
          </w:cols>
          <w:pgMar w:left="620" w:top="306"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Measurement at initial recognition -</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General model – Insurance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general model measures a group of insurance contracts as the total of:</w:t>
      </w:r>
    </w:p>
    <w:p>
      <w:pPr>
        <w:spacing w:after="0" w:line="183" w:lineRule="exact"/>
        <w:rPr>
          <w:sz w:val="20"/>
          <w:szCs w:val="20"/>
          <w:color w:val="auto"/>
        </w:rPr>
      </w:pPr>
    </w:p>
    <w:p>
      <w:pPr>
        <w:ind w:left="260" w:hanging="220"/>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Fulfillment cash flows.</w:t>
      </w:r>
    </w:p>
    <w:p>
      <w:pPr>
        <w:spacing w:after="0" w:line="15" w:lineRule="exact"/>
        <w:rPr>
          <w:rFonts w:ascii="Arial" w:cs="Arial" w:eastAsia="Arial" w:hAnsi="Arial"/>
          <w:sz w:val="16"/>
          <w:szCs w:val="16"/>
          <w:color w:val="auto"/>
        </w:rPr>
      </w:pPr>
    </w:p>
    <w:p>
      <w:pPr>
        <w:ind w:left="260" w:hanging="220"/>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risk adjustment for non-financial risk</w:t>
      </w:r>
    </w:p>
    <w:p>
      <w:pPr>
        <w:ind w:left="260" w:right="360" w:hanging="220"/>
        <w:spacing w:after="0" w:line="259" w:lineRule="auto"/>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contractual service margin (CSM) which represents the unearned technical profit that the Group will recognize as it provides services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Compliance cash flows comprise:</w:t>
      </w:r>
    </w:p>
    <w:p>
      <w:pPr>
        <w:spacing w:after="0" w:line="183" w:lineRule="exact"/>
        <w:rPr>
          <w:sz w:val="20"/>
          <w:szCs w:val="20"/>
          <w:color w:val="auto"/>
        </w:rPr>
      </w:pPr>
    </w:p>
    <w:p>
      <w:pPr>
        <w:ind w:left="260" w:hanging="220"/>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Estimates of future cash flows considering their probability of occurrence.</w:t>
      </w:r>
    </w:p>
    <w:p>
      <w:pPr>
        <w:spacing w:after="0" w:line="15" w:lineRule="exact"/>
        <w:rPr>
          <w:rFonts w:ascii="Arial" w:cs="Arial" w:eastAsia="Arial" w:hAnsi="Arial"/>
          <w:sz w:val="16"/>
          <w:szCs w:val="16"/>
          <w:color w:val="auto"/>
        </w:rPr>
      </w:pPr>
    </w:p>
    <w:p>
      <w:pPr>
        <w:ind w:left="260" w:hanging="220"/>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adjustment to reflect the time value of money and the financial risks related to future cash flows.</w:t>
      </w:r>
    </w:p>
    <w:p>
      <w:pPr>
        <w:spacing w:after="0" w:line="16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The cash flows for each scenario are weighted according to the probability of their occurrence based on the experience of the Group’s portfolio and are discounted using current interest rate assumptions (risk-free curve + Matching Adjustment).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When estimating future cash flows, the Group includes all cash flows that are within the contract limit, including:</w:t>
      </w:r>
    </w:p>
    <w:p>
      <w:pPr>
        <w:spacing w:after="0" w:line="183" w:lineRule="exact"/>
        <w:rPr>
          <w:sz w:val="20"/>
          <w:szCs w:val="20"/>
          <w:color w:val="auto"/>
        </w:rPr>
      </w:pPr>
    </w:p>
    <w:p>
      <w:pPr>
        <w:ind w:left="260" w:hanging="220"/>
        <w:spacing w:after="0"/>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Premiums and related cash flows.</w:t>
      </w:r>
    </w:p>
    <w:p>
      <w:pPr>
        <w:spacing w:after="0" w:line="15" w:lineRule="exact"/>
        <w:rPr>
          <w:rFonts w:ascii="Arial" w:cs="Arial" w:eastAsia="Arial" w:hAnsi="Arial"/>
          <w:sz w:val="16"/>
          <w:szCs w:val="16"/>
          <w:color w:val="auto"/>
        </w:rPr>
      </w:pPr>
    </w:p>
    <w:p>
      <w:pPr>
        <w:ind w:left="260" w:hanging="220"/>
        <w:spacing w:after="0"/>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Expected future claims and benefits:</w:t>
      </w:r>
    </w:p>
    <w:p>
      <w:pPr>
        <w:spacing w:after="0" w:line="166" w:lineRule="exact"/>
        <w:rPr>
          <w:rFonts w:ascii="Arial" w:cs="Arial" w:eastAsia="Arial" w:hAnsi="Arial"/>
          <w:sz w:val="16"/>
          <w:szCs w:val="16"/>
          <w:color w:val="auto"/>
        </w:rPr>
      </w:pPr>
    </w:p>
    <w:p>
      <w:pPr>
        <w:ind w:left="500" w:hanging="228"/>
        <w:spacing w:after="0"/>
        <w:tabs>
          <w:tab w:leader="none" w:pos="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Payments to beneficiaries for the occurrence of insured events.</w:t>
      </w:r>
    </w:p>
    <w:p>
      <w:pPr>
        <w:spacing w:after="0" w:line="15" w:lineRule="exact"/>
        <w:rPr>
          <w:rFonts w:ascii="Arial" w:cs="Arial" w:eastAsia="Arial" w:hAnsi="Arial"/>
          <w:sz w:val="16"/>
          <w:szCs w:val="16"/>
          <w:color w:val="auto"/>
        </w:rPr>
      </w:pPr>
    </w:p>
    <w:p>
      <w:pPr>
        <w:ind w:left="500" w:hanging="228"/>
        <w:spacing w:after="0"/>
        <w:tabs>
          <w:tab w:leader="none" w:pos="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Payments to policyholders resulting from the incorporated surrender and maturity options.</w:t>
      </w:r>
    </w:p>
    <w:p>
      <w:pPr>
        <w:ind w:left="500" w:hanging="228"/>
        <w:spacing w:after="0"/>
        <w:tabs>
          <w:tab w:leader="none" w:pos="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Acquisition expenses attributable to the portfolio to which the contract belongs.</w:t>
      </w:r>
    </w:p>
    <w:p>
      <w:pPr>
        <w:ind w:left="500" w:hanging="228"/>
        <w:spacing w:after="0"/>
        <w:tabs>
          <w:tab w:leader="none" w:pos="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Claim settlement expenses.</w:t>
      </w:r>
    </w:p>
    <w:p>
      <w:pPr>
        <w:ind w:left="500" w:hanging="228"/>
        <w:spacing w:after="0"/>
        <w:tabs>
          <w:tab w:leader="none" w:pos="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Attributable policy maintenance expenses, including recurring commissions expected to be paid to intermediaries.</w:t>
      </w:r>
    </w:p>
    <w:p>
      <w:pPr>
        <w:ind w:left="500" w:hanging="228"/>
        <w:spacing w:after="0"/>
        <w:tabs>
          <w:tab w:leader="none" w:pos="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 allocation of fixed and variable overhead expenses directly attributable to compliance with insurance contracts.</w:t>
      </w:r>
    </w:p>
    <w:p>
      <w:pPr>
        <w:spacing w:after="0" w:line="167"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If at the time of initially estimating the fulfillment flows of a group of contracts a net outflow is obtained, these contracts become onerous contracts and a liability will be recognized at that initial time in the statement of financial position. This amount is what we call the “loss component”.</w:t>
      </w:r>
    </w:p>
    <w:p>
      <w:pPr>
        <w:spacing w:after="0" w:line="120" w:lineRule="exact"/>
        <w:rPr>
          <w:sz w:val="20"/>
          <w:szCs w:val="20"/>
          <w:color w:val="auto"/>
        </w:rPr>
      </w:pPr>
    </w:p>
    <w:p>
      <w:pPr>
        <w:ind w:right="840"/>
        <w:spacing w:after="0" w:line="280" w:lineRule="auto"/>
        <w:rPr>
          <w:sz w:val="20"/>
          <w:szCs w:val="20"/>
          <w:color w:val="auto"/>
        </w:rPr>
      </w:pPr>
      <w:r>
        <w:rPr>
          <w:rFonts w:ascii="Arial" w:cs="Arial" w:eastAsia="Arial" w:hAnsi="Arial"/>
          <w:sz w:val="16"/>
          <w:szCs w:val="16"/>
          <w:color w:val="auto"/>
        </w:rPr>
        <w:t>A group of contracts that were not onerous on initial recognition may subsequently become onerous if assumptions change, even though the classification of their grouping or Unit of Account remains unchanged.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Simplified Model – initial recognition</w:t>
      </w:r>
    </w:p>
    <w:p>
      <w:pPr>
        <w:spacing w:after="0" w:line="183"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The simplified model of the general method is the Premium Allocation Approach (PAA), which is applied by the Group for contracts with a duration equal to or less than one year or for which the amount of the provision does not differ significantly. of the general model.</w:t>
      </w:r>
    </w:p>
    <w:p>
      <w:pPr>
        <w:spacing w:after="0" w:line="120" w:lineRule="exact"/>
        <w:rPr>
          <w:sz w:val="20"/>
          <w:szCs w:val="20"/>
          <w:color w:val="auto"/>
        </w:rPr>
      </w:pPr>
    </w:p>
    <w:p>
      <w:pPr>
        <w:ind w:right="440"/>
        <w:spacing w:after="0" w:line="280" w:lineRule="auto"/>
        <w:rPr>
          <w:sz w:val="20"/>
          <w:szCs w:val="20"/>
          <w:color w:val="auto"/>
        </w:rPr>
      </w:pPr>
      <w:r>
        <w:rPr>
          <w:rFonts w:ascii="Arial" w:cs="Arial" w:eastAsia="Arial" w:hAnsi="Arial"/>
          <w:sz w:val="16"/>
          <w:szCs w:val="16"/>
          <w:color w:val="auto"/>
        </w:rPr>
        <w:t>If significant variability in cash flows from compliance is initially expected that would affect the measurement of the remaining coverage liability, the simplified method cannot be applied.</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Under the premium allocation approach, the Group will assume that no contract is onerous unless the facts and circumstances indicate otherwise, which is why initially all contracts are grouped based on risk and how they are managed. To evaluate this possibility, a premium sufficiency test will be used that will evaluate the need to provide an additional provision and classify the Group of contracts as onerous (Onerousness Test).</w:t>
      </w:r>
    </w:p>
    <w:p>
      <w:pPr>
        <w:spacing w:after="0" w:line="296"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41275</wp:posOffset>
            </wp:positionV>
            <wp:extent cx="714565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40"/>
          </w:cols>
          <w:pgMar w:left="620" w:top="306" w:right="339" w:bottom="1440" w:gutter="0" w:footer="0" w:header="0"/>
        </w:sectPr>
      </w:pPr>
    </w:p>
    <w:bookmarkStart w:id="40" w:name="page41"/>
    <w:bookmarkEnd w:id="40"/>
    <w:p>
      <w:pPr>
        <w:ind w:right="220"/>
        <w:spacing w:after="0" w:line="280" w:lineRule="auto"/>
        <w:rPr>
          <w:sz w:val="20"/>
          <w:szCs w:val="20"/>
          <w:color w:val="auto"/>
        </w:rPr>
      </w:pPr>
      <w:r>
        <w:rPr>
          <w:rFonts w:ascii="Arial" w:cs="Arial" w:eastAsia="Arial" w:hAnsi="Arial"/>
          <w:sz w:val="16"/>
          <w:szCs w:val="16"/>
          <w:color w:val="auto"/>
        </w:rPr>
        <w:t>For insurance contracts that apply the PAA approach, the Group initially recognizes written premiums net of commissions and deferred premiums as provision of remaining coverage (Liability for Remaining Coverage, LRC).</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Post measurement – insurance​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book value of a group of insurance contracts after initial recognition will consist of:</w:t>
      </w:r>
    </w:p>
    <w:p>
      <w:pPr>
        <w:spacing w:after="0" w:line="183" w:lineRule="exact"/>
        <w:rPr>
          <w:sz w:val="20"/>
          <w:szCs w:val="20"/>
          <w:color w:val="auto"/>
        </w:rPr>
      </w:pPr>
    </w:p>
    <w:p>
      <w:pPr>
        <w:ind w:left="280" w:right="20" w:hanging="235"/>
        <w:spacing w:after="0" w:line="280" w:lineRule="auto"/>
        <w:tabs>
          <w:tab w:leader="none" w:pos="294"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Liability for Remaining Coverage (LRC) comprising compliance cash flows, risk adjustment for non-financial risk and CSM of the Contract Group at the end of the reporting period.</w:t>
      </w:r>
    </w:p>
    <w:p>
      <w:pPr>
        <w:spacing w:after="0" w:line="120" w:lineRule="exact"/>
        <w:rPr>
          <w:rFonts w:ascii="Arial" w:cs="Arial" w:eastAsia="Arial" w:hAnsi="Arial"/>
          <w:sz w:val="16"/>
          <w:szCs w:val="16"/>
          <w:color w:val="auto"/>
        </w:rPr>
      </w:pPr>
    </w:p>
    <w:p>
      <w:pPr>
        <w:ind w:left="280" w:right="120" w:hanging="235"/>
        <w:spacing w:after="0" w:line="280" w:lineRule="auto"/>
        <w:tabs>
          <w:tab w:leader="none" w:pos="294"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Incurred claims liability, which comprises compliance cash flows relating to the payment of reported and pending claims, incurred but not reported claims (IBNR) and claim settlement expenses. A risk adjustment for non-financial risk is also included.</w:t>
      </w:r>
    </w:p>
    <w:p>
      <w:pPr>
        <w:spacing w:after="0" w:line="120" w:lineRule="exact"/>
        <w:rPr>
          <w:sz w:val="20"/>
          <w:szCs w:val="20"/>
          <w:color w:val="auto"/>
        </w:rPr>
      </w:pPr>
    </w:p>
    <w:p>
      <w:pPr>
        <w:ind w:right="400"/>
        <w:spacing w:after="0" w:line="280" w:lineRule="auto"/>
        <w:rPr>
          <w:sz w:val="20"/>
          <w:szCs w:val="20"/>
          <w:color w:val="auto"/>
        </w:rPr>
      </w:pPr>
      <w:r>
        <w:rPr>
          <w:rFonts w:ascii="Arial" w:cs="Arial" w:eastAsia="Arial" w:hAnsi="Arial"/>
          <w:sz w:val="16"/>
          <w:szCs w:val="16"/>
          <w:color w:val="auto"/>
        </w:rPr>
        <w:t>The Group will recognize income or expenses for the variation in the book value of the Liability for Remaining Coverage and the liability for claims incurred:</w:t>
      </w:r>
    </w:p>
    <w:p>
      <w:pPr>
        <w:spacing w:after="0" w:line="120" w:lineRule="exact"/>
        <w:rPr>
          <w:sz w:val="20"/>
          <w:szCs w:val="20"/>
          <w:color w:val="auto"/>
        </w:rPr>
      </w:pPr>
    </w:p>
    <w:p>
      <w:pPr>
        <w:ind w:left="280" w:hanging="235"/>
        <w:spacing w:after="0"/>
        <w:tabs>
          <w:tab w:leader="none" w:pos="2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Income from insurance activity: the reduction of the liability for the service provided in the period.</w:t>
      </w:r>
    </w:p>
    <w:p>
      <w:pPr>
        <w:spacing w:after="0" w:line="182" w:lineRule="exact"/>
        <w:rPr>
          <w:rFonts w:ascii="Arial" w:cs="Arial" w:eastAsia="Arial" w:hAnsi="Arial"/>
          <w:sz w:val="16"/>
          <w:szCs w:val="16"/>
          <w:color w:val="auto"/>
        </w:rPr>
      </w:pPr>
    </w:p>
    <w:p>
      <w:pPr>
        <w:ind w:left="280" w:right="120"/>
        <w:spacing w:after="0" w:line="280" w:lineRule="auto"/>
        <w:rPr>
          <w:rFonts w:ascii="Arial" w:cs="Arial" w:eastAsia="Arial" w:hAnsi="Arial"/>
          <w:sz w:val="16"/>
          <w:szCs w:val="16"/>
          <w:color w:val="auto"/>
        </w:rPr>
      </w:pPr>
      <w:r>
        <w:rPr>
          <w:rFonts w:ascii="Arial" w:cs="Arial" w:eastAsia="Arial" w:hAnsi="Arial"/>
          <w:sz w:val="16"/>
          <w:szCs w:val="16"/>
          <w:color w:val="auto"/>
        </w:rPr>
        <w:t>The CSM at the end of the reporting period represents the gain in the Insurance Contract Group that has not yet been recognized in profit or loss, because it relates to the future service to be provided.</w:t>
      </w:r>
    </w:p>
    <w:p>
      <w:pPr>
        <w:spacing w:after="0" w:line="120" w:lineRule="exact"/>
        <w:rPr>
          <w:rFonts w:ascii="Arial" w:cs="Arial" w:eastAsia="Arial" w:hAnsi="Arial"/>
          <w:sz w:val="16"/>
          <w:szCs w:val="16"/>
          <w:color w:val="auto"/>
        </w:rPr>
      </w:pPr>
    </w:p>
    <w:p>
      <w:pPr>
        <w:ind w:left="280"/>
        <w:spacing w:after="0" w:line="280" w:lineRule="auto"/>
        <w:rPr>
          <w:rFonts w:ascii="Arial" w:cs="Arial" w:eastAsia="Arial" w:hAnsi="Arial"/>
          <w:sz w:val="16"/>
          <w:szCs w:val="16"/>
          <w:color w:val="auto"/>
        </w:rPr>
      </w:pPr>
      <w:r>
        <w:rPr>
          <w:rFonts w:ascii="Arial" w:cs="Arial" w:eastAsia="Arial" w:hAnsi="Arial"/>
          <w:sz w:val="16"/>
          <w:szCs w:val="16"/>
          <w:color w:val="auto"/>
        </w:rPr>
        <w:t>For a group of insurance contracts without direct participation components, the carrying value of the CSM at the end of the reporting period is equal to the carrying value at the beginning of the reporting period adjusted as follows:</w:t>
      </w:r>
    </w:p>
    <w:p>
      <w:pPr>
        <w:spacing w:after="0" w:line="120" w:lineRule="exact"/>
        <w:rPr>
          <w:rFonts w:ascii="Arial" w:cs="Arial" w:eastAsia="Arial" w:hAnsi="Arial"/>
          <w:sz w:val="16"/>
          <w:szCs w:val="16"/>
          <w:color w:val="auto"/>
        </w:rPr>
      </w:pPr>
    </w:p>
    <w:p>
      <w:pPr>
        <w:ind w:left="620" w:right="120" w:hanging="299"/>
        <w:spacing w:after="0" w:line="280" w:lineRule="auto"/>
        <w:tabs>
          <w:tab w:leader="none" w:pos="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effect of new contracts added to the group. interest accrued on the carrying amount of the CSM during the reporting period, measured at the discount rates at initial recognition.</w:t>
      </w:r>
    </w:p>
    <w:p>
      <w:pPr>
        <w:spacing w:after="0" w:line="120" w:lineRule="exact"/>
        <w:rPr>
          <w:rFonts w:ascii="Arial" w:cs="Arial" w:eastAsia="Arial" w:hAnsi="Arial"/>
          <w:sz w:val="16"/>
          <w:szCs w:val="16"/>
          <w:color w:val="auto"/>
        </w:rPr>
      </w:pPr>
    </w:p>
    <w:p>
      <w:pPr>
        <w:ind w:left="620" w:hanging="299"/>
        <w:spacing w:after="0"/>
        <w:tabs>
          <w:tab w:leader="none" w:pos="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Changes in compliance cash flows related to future service such as:</w:t>
      </w:r>
    </w:p>
    <w:p>
      <w:pPr>
        <w:spacing w:after="0" w:line="182" w:lineRule="exact"/>
        <w:rPr>
          <w:rFonts w:ascii="Arial" w:cs="Arial" w:eastAsia="Arial" w:hAnsi="Arial"/>
          <w:sz w:val="16"/>
          <w:szCs w:val="16"/>
          <w:color w:val="auto"/>
        </w:rPr>
      </w:pPr>
    </w:p>
    <w:p>
      <w:pPr>
        <w:ind w:left="960" w:right="300" w:hanging="285"/>
        <w:spacing w:after="0" w:line="280" w:lineRule="auto"/>
        <w:tabs>
          <w:tab w:leader="none" w:pos="960" w:val="left"/>
        </w:tabs>
        <w:numPr>
          <w:ilvl w:val="2"/>
          <w:numId w:val="46"/>
        </w:numPr>
        <w:rPr>
          <w:rFonts w:ascii="Arial" w:cs="Arial" w:eastAsia="Arial" w:hAnsi="Arial"/>
          <w:sz w:val="16"/>
          <w:szCs w:val="16"/>
          <w:color w:val="auto"/>
        </w:rPr>
      </w:pPr>
      <w:r>
        <w:rPr>
          <w:rFonts w:ascii="Arial" w:cs="Arial" w:eastAsia="Arial" w:hAnsi="Arial"/>
          <w:sz w:val="16"/>
          <w:szCs w:val="16"/>
          <w:color w:val="auto"/>
        </w:rPr>
        <w:t>Adjustment for experience: it must be disaggregated to reflect the different factors that cause such adjustments in the expected future benefits of the Group:</w:t>
      </w:r>
    </w:p>
    <w:p>
      <w:pPr>
        <w:spacing w:after="0" w:line="120" w:lineRule="exact"/>
        <w:rPr>
          <w:rFonts w:ascii="Arial" w:cs="Arial" w:eastAsia="Arial" w:hAnsi="Arial"/>
          <w:sz w:val="16"/>
          <w:szCs w:val="16"/>
          <w:color w:val="auto"/>
        </w:rPr>
      </w:pPr>
    </w:p>
    <w:p>
      <w:pPr>
        <w:jc w:val="both"/>
        <w:ind w:left="1180" w:right="80" w:hanging="175"/>
        <w:spacing w:after="0" w:line="259" w:lineRule="auto"/>
        <w:tabs>
          <w:tab w:leader="none" w:pos="1180" w:val="left"/>
        </w:tabs>
        <w:numPr>
          <w:ilvl w:val="3"/>
          <w:numId w:val="46"/>
        </w:numPr>
        <w:rPr>
          <w:rFonts w:ascii="Arial" w:cs="Arial" w:eastAsia="Arial" w:hAnsi="Arial"/>
          <w:sz w:val="16"/>
          <w:szCs w:val="16"/>
          <w:color w:val="auto"/>
        </w:rPr>
      </w:pPr>
      <w:r>
        <w:rPr>
          <w:rFonts w:ascii="Arial" w:cs="Arial" w:eastAsia="Arial" w:hAnsi="Arial"/>
          <w:sz w:val="16"/>
          <w:szCs w:val="16"/>
          <w:color w:val="auto"/>
        </w:rPr>
        <w:t>Adjustment in compliance flows due to claims experience is the variation in actual claims compared to expected claims. Likewise, this variation in the accident rate may lead to changes in the expected compliance flows. This variation will be recorded in a change in the CSM amount.</w:t>
      </w:r>
    </w:p>
    <w:p>
      <w:pPr>
        <w:spacing w:after="0" w:line="137" w:lineRule="exact"/>
        <w:rPr>
          <w:rFonts w:ascii="Arial" w:cs="Arial" w:eastAsia="Arial" w:hAnsi="Arial"/>
          <w:sz w:val="16"/>
          <w:szCs w:val="16"/>
          <w:color w:val="auto"/>
        </w:rPr>
      </w:pPr>
    </w:p>
    <w:p>
      <w:pPr>
        <w:ind w:left="1180" w:right="120" w:hanging="175"/>
        <w:spacing w:after="0" w:line="280" w:lineRule="auto"/>
        <w:tabs>
          <w:tab w:leader="none" w:pos="1180" w:val="left"/>
        </w:tabs>
        <w:numPr>
          <w:ilvl w:val="3"/>
          <w:numId w:val="46"/>
        </w:numPr>
        <w:rPr>
          <w:rFonts w:ascii="Arial" w:cs="Arial" w:eastAsia="Arial" w:hAnsi="Arial"/>
          <w:sz w:val="16"/>
          <w:szCs w:val="16"/>
          <w:color w:val="auto"/>
        </w:rPr>
      </w:pPr>
      <w:r>
        <w:rPr>
          <w:rFonts w:ascii="Arial" w:cs="Arial" w:eastAsia="Arial" w:hAnsi="Arial"/>
          <w:sz w:val="16"/>
          <w:szCs w:val="16"/>
          <w:color w:val="auto"/>
        </w:rPr>
        <w:t>Adjustment for variation in operating assumptions - A variation in the projection operating assumptions (mortality, expenses, rescues, etc.) will be recorded against the CSM for the period. This change will be cumulative with the adjustments made previously.</w:t>
      </w:r>
    </w:p>
    <w:p>
      <w:pPr>
        <w:spacing w:after="0" w:line="120" w:lineRule="exact"/>
        <w:rPr>
          <w:rFonts w:ascii="Arial" w:cs="Arial" w:eastAsia="Arial" w:hAnsi="Arial"/>
          <w:sz w:val="16"/>
          <w:szCs w:val="16"/>
          <w:color w:val="auto"/>
        </w:rPr>
      </w:pPr>
    </w:p>
    <w:p>
      <w:pPr>
        <w:ind w:left="1180" w:right="40" w:hanging="175"/>
        <w:spacing w:after="0" w:line="247" w:lineRule="auto"/>
        <w:tabs>
          <w:tab w:leader="none" w:pos="1180" w:val="left"/>
        </w:tabs>
        <w:numPr>
          <w:ilvl w:val="3"/>
          <w:numId w:val="46"/>
        </w:numPr>
        <w:rPr>
          <w:rFonts w:ascii="Arial" w:cs="Arial" w:eastAsia="Arial" w:hAnsi="Arial"/>
          <w:sz w:val="16"/>
          <w:szCs w:val="16"/>
          <w:color w:val="auto"/>
        </w:rPr>
      </w:pPr>
      <w:r>
        <w:rPr>
          <w:rFonts w:ascii="Arial" w:cs="Arial" w:eastAsia="Arial" w:hAnsi="Arial"/>
          <w:sz w:val="16"/>
          <w:szCs w:val="16"/>
          <w:color w:val="auto"/>
        </w:rPr>
        <w:t>Adjustment for premiums collected: Insurance premiums that relate to future service that have been received in the period require an adjustment to the contractual service margin. Likewise, an additional analysis must be carried out on the extraordinary contributions that the policyholder may make. Whether these new contributions made by the insured, different from regular premiums, should be considered new contracts or part of existing contracts. Therefore, it must be evaluated whether the new contributions are valued using the same conditions as at the beginning of the contract or if they are modified (mortality table, administration expenses, guaranteed rates, etc.).</w:t>
      </w:r>
    </w:p>
    <w:p>
      <w:pPr>
        <w:spacing w:after="0" w:line="306"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41275</wp:posOffset>
            </wp:positionV>
            <wp:extent cx="714565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860"/>
          </w:cols>
          <w:pgMar w:left="620" w:top="306" w:right="419" w:bottom="1440" w:gutter="0" w:footer="0" w:header="0"/>
        </w:sectPr>
      </w:pPr>
    </w:p>
    <w:bookmarkStart w:id="41" w:name="page42"/>
    <w:bookmarkEnd w:id="41"/>
    <w:p>
      <w:pPr>
        <w:ind w:left="580" w:right="160" w:hanging="299"/>
        <w:spacing w:after="0" w:line="246"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event that the conditions of the contract are not modified in the extraordinary contribution, that is, it has the same conditions as the original contribution, it is considered that the cash flows are within the limits of the contract, and therefore Both the variation in expected cash flows will be considered as a variation in experience.</w:t>
      </w:r>
    </w:p>
    <w:p>
      <w:pPr>
        <w:ind w:left="580" w:hanging="299"/>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estimates of the present value of future cash inflows in the remaining coverage liability measured at discount rates.</w:t>
      </w:r>
    </w:p>
    <w:p>
      <w:pPr>
        <w:ind w:left="580" w:right="40" w:hanging="299"/>
        <w:spacing w:after="0" w:line="239"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Differences between the investment components that are expected to become payable in the period and the actual investment component that becomes payable in the period, measured at discount rates.</w:t>
      </w:r>
    </w:p>
    <w:p>
      <w:pPr>
        <w:ind w:left="580" w:hanging="299"/>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risk adjustment for non-financial risk that relates to future service.</w:t>
      </w:r>
    </w:p>
    <w:p>
      <w:pPr>
        <w:ind w:left="580" w:hanging="299"/>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effect of currency exchange differences on the CSM.</w:t>
      </w:r>
    </w:p>
    <w:p>
      <w:pPr>
        <w:spacing w:after="0" w:line="166" w:lineRule="exact"/>
        <w:rPr>
          <w:rFonts w:ascii="Arial" w:cs="Arial" w:eastAsia="Arial" w:hAnsi="Arial"/>
          <w:sz w:val="16"/>
          <w:szCs w:val="16"/>
          <w:color w:val="auto"/>
        </w:rPr>
      </w:pPr>
    </w:p>
    <w:p>
      <w:pPr>
        <w:ind w:left="580" w:right="220" w:hanging="299"/>
        <w:spacing w:after="0" w:line="280"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 recognized as insurance income due to the transfer of insurance contract services in the period, determined by the allocation of the remaining CSM at the end of the reporting period (before any allocation) during the current coverage period and remaining.</w:t>
      </w:r>
    </w:p>
    <w:p>
      <w:pPr>
        <w:spacing w:after="0" w:line="120" w:lineRule="exact"/>
        <w:rPr>
          <w:sz w:val="20"/>
          <w:szCs w:val="20"/>
          <w:color w:val="auto"/>
        </w:rPr>
      </w:pPr>
    </w:p>
    <w:p>
      <w:pPr>
        <w:ind w:left="240"/>
        <w:spacing w:after="0" w:line="280" w:lineRule="auto"/>
        <w:rPr>
          <w:sz w:val="20"/>
          <w:szCs w:val="20"/>
          <w:color w:val="auto"/>
        </w:rPr>
      </w:pPr>
      <w:r>
        <w:rPr>
          <w:rFonts w:ascii="Arial" w:cs="Arial" w:eastAsia="Arial" w:hAnsi="Arial"/>
          <w:sz w:val="16"/>
          <w:szCs w:val="16"/>
          <w:color w:val="auto"/>
        </w:rPr>
        <w:t>For a group of insurance contracts with direct participation components, the amount of CSM to be reported in the books will be obtained by applying a series of adjustments to the value of the CSM of the previous period:</w:t>
      </w:r>
    </w:p>
    <w:p>
      <w:pPr>
        <w:spacing w:after="0" w:line="120" w:lineRule="exact"/>
        <w:rPr>
          <w:sz w:val="20"/>
          <w:szCs w:val="20"/>
          <w:color w:val="auto"/>
        </w:rPr>
      </w:pPr>
    </w:p>
    <w:p>
      <w:pPr>
        <w:ind w:left="580" w:hanging="299"/>
        <w:spacing w:after="0"/>
        <w:tabs>
          <w:tab w:leader="none" w:pos="5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effect of the new contracts added to the group.</w:t>
      </w:r>
    </w:p>
    <w:p>
      <w:pPr>
        <w:spacing w:after="0" w:line="15" w:lineRule="exact"/>
        <w:rPr>
          <w:rFonts w:ascii="Arial" w:cs="Arial" w:eastAsia="Arial" w:hAnsi="Arial"/>
          <w:sz w:val="16"/>
          <w:szCs w:val="16"/>
          <w:color w:val="auto"/>
        </w:rPr>
      </w:pPr>
    </w:p>
    <w:p>
      <w:pPr>
        <w:ind w:left="580" w:hanging="299"/>
        <w:spacing w:after="0"/>
        <w:tabs>
          <w:tab w:leader="none" w:pos="5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entity’s participation in the change in the fair value of the underlying elements.</w:t>
      </w:r>
    </w:p>
    <w:p>
      <w:pPr>
        <w:ind w:left="580" w:right="180" w:hanging="299"/>
        <w:spacing w:after="0" w:line="239" w:lineRule="auto"/>
        <w:tabs>
          <w:tab w:leader="none" w:pos="5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Changes in compliance cash flows, such as a change in the entity’s loss experience and future expenses compared to those expected in the previous period.</w:t>
      </w:r>
    </w:p>
    <w:p>
      <w:pPr>
        <w:ind w:left="580" w:hanging="299"/>
        <w:spacing w:after="0"/>
        <w:tabs>
          <w:tab w:leader="none" w:pos="5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effect of currency exchange differences on the CSM.</w:t>
      </w:r>
    </w:p>
    <w:p>
      <w:pPr>
        <w:ind w:left="580" w:right="40" w:hanging="299"/>
        <w:spacing w:after="0" w:line="259" w:lineRule="auto"/>
        <w:tabs>
          <w:tab w:leader="none" w:pos="5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amount recognized as revenue from ordinary insurance activities due to the transfer of services in the period, determined by allocating the remaining contractual service margin at the end of the reporting period (before any allocation) over the current coverage period.</w:t>
      </w:r>
    </w:p>
    <w:p>
      <w:pPr>
        <w:spacing w:after="0" w:line="136" w:lineRule="exact"/>
        <w:rPr>
          <w:rFonts w:ascii="Arial" w:cs="Arial" w:eastAsia="Arial" w:hAnsi="Arial"/>
          <w:sz w:val="16"/>
          <w:szCs w:val="16"/>
          <w:color w:val="auto"/>
        </w:rPr>
      </w:pPr>
    </w:p>
    <w:p>
      <w:pPr>
        <w:ind w:left="240" w:hanging="235"/>
        <w:spacing w:after="0"/>
        <w:tabs>
          <w:tab w:leader="none" w:pos="2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Insurance activity expenses: for losses in onerous contract groups and reversals of these losses.</w:t>
      </w:r>
    </w:p>
    <w:p>
      <w:pPr>
        <w:spacing w:after="0" w:line="182" w:lineRule="exact"/>
        <w:rPr>
          <w:rFonts w:ascii="Arial" w:cs="Arial" w:eastAsia="Arial" w:hAnsi="Arial"/>
          <w:sz w:val="16"/>
          <w:szCs w:val="16"/>
          <w:color w:val="auto"/>
        </w:rPr>
      </w:pPr>
    </w:p>
    <w:p>
      <w:pPr>
        <w:ind w:left="240" w:right="440"/>
        <w:spacing w:after="0" w:line="280" w:lineRule="auto"/>
        <w:rPr>
          <w:rFonts w:ascii="Arial" w:cs="Arial" w:eastAsia="Arial" w:hAnsi="Arial"/>
          <w:sz w:val="16"/>
          <w:szCs w:val="16"/>
          <w:color w:val="auto"/>
        </w:rPr>
      </w:pPr>
      <w:r>
        <w:rPr>
          <w:rFonts w:ascii="Arial" w:cs="Arial" w:eastAsia="Arial" w:hAnsi="Arial"/>
          <w:sz w:val="16"/>
          <w:szCs w:val="16"/>
          <w:color w:val="auto"/>
        </w:rPr>
        <w:t>The Group will recognize a loss in the period’s results for the net outflow for the Group of onerous contracts, causing the Group’s liability book amount to equal the cash flows from compliance, with the Group’s contractual service margin being zero.</w:t>
      </w:r>
    </w:p>
    <w:p>
      <w:pPr>
        <w:spacing w:after="0" w:line="120" w:lineRule="exact"/>
        <w:rPr>
          <w:rFonts w:ascii="Arial" w:cs="Arial" w:eastAsia="Arial" w:hAnsi="Arial"/>
          <w:sz w:val="16"/>
          <w:szCs w:val="16"/>
          <w:color w:val="auto"/>
        </w:rPr>
      </w:pPr>
    </w:p>
    <w:p>
      <w:pPr>
        <w:ind w:left="240" w:right="380" w:firstLine="3"/>
        <w:spacing w:after="0" w:line="478" w:lineRule="auto"/>
        <w:rPr>
          <w:rFonts w:ascii="Arial" w:cs="Arial" w:eastAsia="Arial" w:hAnsi="Arial"/>
          <w:sz w:val="16"/>
          <w:szCs w:val="16"/>
          <w:color w:val="auto"/>
        </w:rPr>
      </w:pPr>
      <w:r>
        <w:rPr>
          <w:rFonts w:ascii="Arial" w:cs="Arial" w:eastAsia="Arial" w:hAnsi="Arial"/>
          <w:sz w:val="16"/>
          <w:szCs w:val="16"/>
          <w:color w:val="auto"/>
        </w:rPr>
        <w:t xml:space="preserve">The loss component is released based on a systematic allocation of subsequent changes related to future service in compliance cash flows to: </w:t>
      </w:r>
      <w:r>
        <w:rPr>
          <w:rFonts w:ascii="Arial" w:cs="Arial" w:eastAsia="Arial" w:hAnsi="Arial"/>
          <w:sz w:val="16"/>
          <w:szCs w:val="16"/>
          <w:color w:val="202124"/>
        </w:rPr>
        <w:t>(i)The loss component; and</w:t>
      </w:r>
    </w:p>
    <w:p>
      <w:pPr>
        <w:ind w:left="460" w:right="300" w:hanging="231"/>
        <w:spacing w:after="0" w:line="280" w:lineRule="auto"/>
        <w:rPr>
          <w:rFonts w:ascii="Arial" w:cs="Arial" w:eastAsia="Arial" w:hAnsi="Arial"/>
          <w:sz w:val="16"/>
          <w:szCs w:val="16"/>
          <w:color w:val="auto"/>
        </w:rPr>
      </w:pPr>
      <w:r>
        <w:rPr>
          <w:rFonts w:ascii="Arial" w:cs="Arial" w:eastAsia="Arial" w:hAnsi="Arial"/>
          <w:sz w:val="16"/>
          <w:szCs w:val="16"/>
          <w:color w:val="202124"/>
        </w:rPr>
        <w:t>(ii) the remaining coverage liability excluding the loss component. The loss component is also updated for subsequent changes related to future service in estimates of compliance cash flows and risk adjustment for non-financial risk.</w:t>
      </w:r>
    </w:p>
    <w:p>
      <w:pPr>
        <w:spacing w:after="0" w:line="120" w:lineRule="exact"/>
        <w:rPr>
          <w:rFonts w:ascii="Arial" w:cs="Arial" w:eastAsia="Arial" w:hAnsi="Arial"/>
          <w:sz w:val="16"/>
          <w:szCs w:val="16"/>
          <w:color w:val="auto"/>
        </w:rPr>
      </w:pPr>
    </w:p>
    <w:p>
      <w:pPr>
        <w:ind w:left="240" w:right="100"/>
        <w:spacing w:after="0" w:line="280" w:lineRule="auto"/>
        <w:rPr>
          <w:rFonts w:ascii="Arial" w:cs="Arial" w:eastAsia="Arial" w:hAnsi="Arial"/>
          <w:sz w:val="16"/>
          <w:szCs w:val="16"/>
          <w:color w:val="auto"/>
        </w:rPr>
      </w:pPr>
      <w:r>
        <w:rPr>
          <w:rFonts w:ascii="Arial" w:cs="Arial" w:eastAsia="Arial" w:hAnsi="Arial"/>
          <w:sz w:val="16"/>
          <w:szCs w:val="16"/>
          <w:color w:val="auto"/>
        </w:rPr>
        <w:t>Systematic allocation of subsequent changes to the loss component results in total amounts allocated to the loss component being zero at the end of the coverage period of a contract group.</w:t>
      </w:r>
    </w:p>
    <w:p>
      <w:pPr>
        <w:spacing w:after="0" w:line="279"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41275</wp:posOffset>
            </wp:positionV>
            <wp:extent cx="714565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860"/>
          </w:cols>
          <w:pgMar w:left="660" w:top="306" w:right="379" w:bottom="1440" w:gutter="0" w:footer="0" w:header="0"/>
        </w:sectPr>
      </w:pPr>
    </w:p>
    <w:bookmarkStart w:id="42" w:name="page43"/>
    <w:bookmarkEnd w:id="42"/>
    <w:p>
      <w:pPr>
        <w:ind w:left="61"/>
        <w:spacing w:after="0"/>
        <w:rPr>
          <w:sz w:val="20"/>
          <w:szCs w:val="20"/>
          <w:color w:val="auto"/>
        </w:rPr>
      </w:pPr>
      <w:r>
        <w:rPr>
          <w:rFonts w:ascii="Arial" w:cs="Arial" w:eastAsia="Arial" w:hAnsi="Arial"/>
          <w:sz w:val="16"/>
          <w:szCs w:val="16"/>
          <w:color w:val="auto"/>
        </w:rPr>
        <w:t>(c) Financial expenses and income from insurance: for the time value of money and financial risk effect.</w:t>
      </w:r>
    </w:p>
    <w:p>
      <w:pPr>
        <w:spacing w:after="0" w:line="183" w:lineRule="exact"/>
        <w:rPr>
          <w:sz w:val="20"/>
          <w:szCs w:val="20"/>
          <w:color w:val="auto"/>
        </w:rPr>
      </w:pPr>
    </w:p>
    <w:p>
      <w:pPr>
        <w:ind w:left="21" w:right="40"/>
        <w:spacing w:after="0" w:line="280" w:lineRule="auto"/>
        <w:rPr>
          <w:sz w:val="20"/>
          <w:szCs w:val="20"/>
          <w:color w:val="auto"/>
        </w:rPr>
      </w:pPr>
      <w:r>
        <w:rPr>
          <w:rFonts w:ascii="Arial" w:cs="Arial" w:eastAsia="Arial" w:hAnsi="Arial"/>
          <w:sz w:val="16"/>
          <w:szCs w:val="16"/>
          <w:color w:val="auto"/>
        </w:rPr>
        <w:t>The Group disaggregates financial income or expenses for insurance contracts issued for its immediate annuity and term life portfolios between profit or loss and OCI.</w:t>
      </w:r>
    </w:p>
    <w:p>
      <w:pPr>
        <w:spacing w:after="0" w:line="120" w:lineRule="exact"/>
        <w:rPr>
          <w:sz w:val="20"/>
          <w:szCs w:val="20"/>
          <w:color w:val="auto"/>
        </w:rPr>
      </w:pPr>
    </w:p>
    <w:p>
      <w:pPr>
        <w:ind w:left="21" w:right="20"/>
        <w:spacing w:after="0" w:line="249" w:lineRule="auto"/>
        <w:rPr>
          <w:sz w:val="20"/>
          <w:szCs w:val="20"/>
          <w:color w:val="auto"/>
        </w:rPr>
      </w:pPr>
      <w:r>
        <w:rPr>
          <w:rFonts w:ascii="Arial" w:cs="Arial" w:eastAsia="Arial" w:hAnsi="Arial"/>
          <w:sz w:val="16"/>
          <w:szCs w:val="16"/>
          <w:color w:val="auto"/>
        </w:rPr>
        <w:t>The impact of changes in market interest rates on the value of life insurance and related reinsurance assets and liabilities is reflected in OCI to minimize accounting mismatches between the accounting for financial assets and insurance assets and liabilities. The Group financial assets supporting the insurance portfolios issued are predominantly measured at amortized cost or fair value with changes in other comprehensive income. Financial income or expenses from reinsurance contracts issued by the Group are not disaggregated because the related financial assets are managed on a fair value basis and are measured at fair value with changes in income.</w:t>
      </w:r>
    </w:p>
    <w:p>
      <w:pPr>
        <w:spacing w:after="0" w:line="145" w:lineRule="exact"/>
        <w:rPr>
          <w:sz w:val="20"/>
          <w:szCs w:val="20"/>
          <w:color w:val="auto"/>
        </w:rPr>
      </w:pPr>
    </w:p>
    <w:p>
      <w:pPr>
        <w:ind w:left="21" w:right="80"/>
        <w:spacing w:after="0" w:line="280" w:lineRule="auto"/>
        <w:rPr>
          <w:sz w:val="20"/>
          <w:szCs w:val="20"/>
          <w:color w:val="auto"/>
        </w:rPr>
      </w:pPr>
      <w:r>
        <w:rPr>
          <w:rFonts w:ascii="Arial" w:cs="Arial" w:eastAsia="Arial" w:hAnsi="Arial"/>
          <w:sz w:val="16"/>
          <w:szCs w:val="16"/>
          <w:color w:val="auto"/>
        </w:rPr>
        <w:t>For presentation in the consolidated statement of financial position, the Group aggregates insurance and reinsurance contract portfolios that are assets or liabilities and presents them separately in the following items:</w:t>
      </w:r>
    </w:p>
    <w:p>
      <w:pPr>
        <w:spacing w:after="0" w:line="120" w:lineRule="exact"/>
        <w:rPr>
          <w:sz w:val="20"/>
          <w:szCs w:val="20"/>
          <w:color w:val="auto"/>
        </w:rPr>
      </w:pPr>
    </w:p>
    <w:p>
      <w:pPr>
        <w:ind w:left="301" w:hanging="301"/>
        <w:spacing w:after="0"/>
        <w:tabs>
          <w:tab w:leader="none" w:pos="301"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Reinsurance Contract Assets.</w:t>
      </w:r>
    </w:p>
    <w:p>
      <w:pPr>
        <w:spacing w:after="0" w:line="15" w:lineRule="exact"/>
        <w:rPr>
          <w:rFonts w:ascii="Arial" w:cs="Arial" w:eastAsia="Arial" w:hAnsi="Arial"/>
          <w:sz w:val="16"/>
          <w:szCs w:val="16"/>
          <w:color w:val="auto"/>
        </w:rPr>
      </w:pPr>
    </w:p>
    <w:p>
      <w:pPr>
        <w:ind w:left="301" w:hanging="301"/>
        <w:spacing w:after="0"/>
        <w:tabs>
          <w:tab w:leader="none" w:pos="301"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Insurance Contract Libility.</w:t>
      </w:r>
    </w:p>
    <w:p>
      <w:pPr>
        <w:spacing w:after="0" w:line="167" w:lineRule="exact"/>
        <w:rPr>
          <w:sz w:val="20"/>
          <w:szCs w:val="20"/>
          <w:color w:val="auto"/>
        </w:rPr>
      </w:pPr>
    </w:p>
    <w:p>
      <w:pPr>
        <w:ind w:left="21"/>
        <w:spacing w:after="0"/>
        <w:rPr>
          <w:sz w:val="20"/>
          <w:szCs w:val="20"/>
          <w:color w:val="auto"/>
        </w:rPr>
      </w:pPr>
      <w:r>
        <w:rPr>
          <w:rFonts w:ascii="Arial" w:cs="Arial" w:eastAsia="Arial" w:hAnsi="Arial"/>
          <w:sz w:val="16"/>
          <w:szCs w:val="16"/>
          <w:color w:val="auto"/>
        </w:rPr>
        <w:t>The presentation in the statement of comprehensive income is as follows:</w:t>
      </w:r>
    </w:p>
    <w:p>
      <w:pPr>
        <w:spacing w:after="0" w:line="183" w:lineRule="exact"/>
        <w:rPr>
          <w:sz w:val="20"/>
          <w:szCs w:val="20"/>
          <w:color w:val="auto"/>
        </w:rPr>
      </w:pPr>
    </w:p>
    <w:p>
      <w:pPr>
        <w:ind w:left="301" w:hanging="301"/>
        <w:spacing w:after="0"/>
        <w:tabs>
          <w:tab w:leader="none" w:pos="3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Insurance service result (including insurance service income and expenses).</w:t>
      </w:r>
    </w:p>
    <w:p>
      <w:pPr>
        <w:spacing w:after="0" w:line="15" w:lineRule="exact"/>
        <w:rPr>
          <w:rFonts w:ascii="Arial" w:cs="Arial" w:eastAsia="Arial" w:hAnsi="Arial"/>
          <w:sz w:val="16"/>
          <w:szCs w:val="16"/>
          <w:color w:val="auto"/>
        </w:rPr>
      </w:pPr>
    </w:p>
    <w:p>
      <w:pPr>
        <w:ind w:left="301" w:hanging="301"/>
        <w:spacing w:after="0"/>
        <w:tabs>
          <w:tab w:leader="none" w:pos="3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Underwriting (including income and expenses from reinsurance contracts).</w:t>
      </w:r>
    </w:p>
    <w:p>
      <w:pPr>
        <w:ind w:left="301" w:hanging="301"/>
        <w:spacing w:after="0"/>
        <w:tabs>
          <w:tab w:leader="none" w:pos="301" w:val="left"/>
        </w:tabs>
        <w:numPr>
          <w:ilvl w:val="0"/>
          <w:numId w:val="50"/>
        </w:numPr>
        <w:rPr>
          <w:rFonts w:ascii="Arial" w:cs="Arial" w:eastAsia="Arial" w:hAnsi="Arial"/>
          <w:sz w:val="16"/>
          <w:szCs w:val="16"/>
          <w:color w:val="202124"/>
        </w:rPr>
      </w:pPr>
      <w:r>
        <w:rPr>
          <w:rFonts w:ascii="Arial" w:cs="Arial" w:eastAsia="Arial" w:hAnsi="Arial"/>
          <w:sz w:val="16"/>
          <w:szCs w:val="16"/>
          <w:color w:val="auto"/>
        </w:rPr>
        <w:t xml:space="preserve">Net financial expenses from insurance activity, presented </w:t>
      </w:r>
      <w:r>
        <w:rPr>
          <w:rFonts w:ascii="Arial" w:cs="Arial" w:eastAsia="Arial" w:hAnsi="Arial"/>
          <w:sz w:val="16"/>
          <w:szCs w:val="16"/>
          <w:color w:val="202124"/>
        </w:rPr>
        <w:t>in interest and similar expenses. See note 19.</w:t>
      </w:r>
    </w:p>
    <w:p>
      <w:pPr>
        <w:spacing w:after="0" w:line="167" w:lineRule="exact"/>
        <w:rPr>
          <w:sz w:val="20"/>
          <w:szCs w:val="20"/>
          <w:color w:val="auto"/>
        </w:rPr>
      </w:pPr>
    </w:p>
    <w:p>
      <w:pPr>
        <w:ind w:left="21"/>
        <w:spacing w:after="0"/>
        <w:rPr>
          <w:sz w:val="20"/>
          <w:szCs w:val="20"/>
          <w:color w:val="auto"/>
        </w:rPr>
      </w:pPr>
      <w:r>
        <w:rPr>
          <w:rFonts w:ascii="Arial" w:cs="Arial" w:eastAsia="Arial" w:hAnsi="Arial"/>
          <w:sz w:val="16"/>
          <w:szCs w:val="16"/>
          <w:color w:val="auto"/>
        </w:rPr>
        <w:t>The Company terminates insurance contracts when:</w:t>
      </w:r>
    </w:p>
    <w:p>
      <w:pPr>
        <w:spacing w:after="0" w:line="15" w:lineRule="exact"/>
        <w:rPr>
          <w:sz w:val="20"/>
          <w:szCs w:val="20"/>
          <w:color w:val="auto"/>
        </w:rPr>
      </w:pPr>
    </w:p>
    <w:p>
      <w:pPr>
        <w:ind w:left="21" w:right="3400" w:hanging="21"/>
        <w:spacing w:after="0" w:line="467" w:lineRule="auto"/>
        <w:tabs>
          <w:tab w:leader="none" w:pos="3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rights and obligations relating to the contract are extinguished (i.e. released, canceled or expire). Significant judgments and estimates.</w:t>
      </w:r>
    </w:p>
    <w:p>
      <w:pPr>
        <w:spacing w:after="0" w:line="1" w:lineRule="exact"/>
        <w:rPr>
          <w:sz w:val="20"/>
          <w:szCs w:val="20"/>
          <w:color w:val="auto"/>
        </w:rPr>
      </w:pPr>
    </w:p>
    <w:p>
      <w:pPr>
        <w:ind w:left="21" w:right="20"/>
        <w:spacing w:after="0" w:line="259" w:lineRule="auto"/>
        <w:rPr>
          <w:sz w:val="20"/>
          <w:szCs w:val="20"/>
          <w:color w:val="auto"/>
        </w:rPr>
      </w:pPr>
      <w:r>
        <w:rPr>
          <w:rFonts w:ascii="Arial" w:cs="Arial" w:eastAsia="Arial" w:hAnsi="Arial"/>
          <w:sz w:val="16"/>
          <w:szCs w:val="16"/>
          <w:color w:val="auto"/>
        </w:rPr>
        <w:t>The Group bases its assumptions and estimates on parameters derived from portfolio experience and these are used to prepare the financial statements. However, existing circumstances and assumptions about future developments could change due to changes in the market or circumstances beyond the Group’s control. Parameters are updated to reflect such changes in assumptions as necessary.</w:t>
      </w:r>
    </w:p>
    <w:p>
      <w:pPr>
        <w:spacing w:after="0" w:line="137" w:lineRule="exact"/>
        <w:rPr>
          <w:sz w:val="20"/>
          <w:szCs w:val="20"/>
          <w:color w:val="auto"/>
        </w:rPr>
      </w:pPr>
    </w:p>
    <w:p>
      <w:pPr>
        <w:ind w:left="21" w:right="180"/>
        <w:spacing w:after="0" w:line="280" w:lineRule="auto"/>
        <w:rPr>
          <w:sz w:val="20"/>
          <w:szCs w:val="20"/>
          <w:color w:val="auto"/>
        </w:rPr>
      </w:pPr>
      <w:r>
        <w:rPr>
          <w:rFonts w:ascii="Arial" w:cs="Arial" w:eastAsia="Arial" w:hAnsi="Arial"/>
          <w:sz w:val="16"/>
          <w:szCs w:val="16"/>
          <w:color w:val="auto"/>
        </w:rPr>
        <w:t>The Group reassesses the CSM in each period with the adjustment for the entity’s experience. Parameters used for estimating future cash flows are a comparison between current and estimated rates, and the following hypotheses are evaluated: mortality, longevity, disability, expenses, and lapses.</w:t>
      </w:r>
    </w:p>
    <w:p>
      <w:pPr>
        <w:spacing w:after="0" w:line="120" w:lineRule="exact"/>
        <w:rPr>
          <w:sz w:val="20"/>
          <w:szCs w:val="20"/>
          <w:color w:val="auto"/>
        </w:rPr>
      </w:pPr>
    </w:p>
    <w:p>
      <w:pPr>
        <w:ind w:left="21"/>
        <w:spacing w:after="0"/>
        <w:rPr>
          <w:sz w:val="20"/>
          <w:szCs w:val="20"/>
          <w:color w:val="auto"/>
        </w:rPr>
      </w:pPr>
      <w:r>
        <w:rPr>
          <w:rFonts w:ascii="Arial" w:cs="Arial" w:eastAsia="Arial" w:hAnsi="Arial"/>
          <w:sz w:val="16"/>
          <w:szCs w:val="16"/>
          <w:color w:val="auto"/>
        </w:rPr>
        <w:t>For the measurement of the present value of future cash flows, it is necessary to define discount rates that consistently reflect the time value of money.</w:t>
      </w:r>
    </w:p>
    <w:p>
      <w:pPr>
        <w:spacing w:after="0" w:line="183" w:lineRule="exact"/>
        <w:rPr>
          <w:sz w:val="20"/>
          <w:szCs w:val="20"/>
          <w:color w:val="auto"/>
        </w:rPr>
      </w:pPr>
    </w:p>
    <w:p>
      <w:pPr>
        <w:ind w:left="21" w:right="280"/>
        <w:spacing w:after="0" w:line="280" w:lineRule="auto"/>
        <w:rPr>
          <w:sz w:val="20"/>
          <w:szCs w:val="20"/>
          <w:color w:val="auto"/>
        </w:rPr>
      </w:pPr>
      <w:r>
        <w:rPr>
          <w:rFonts w:ascii="Arial" w:cs="Arial" w:eastAsia="Arial" w:hAnsi="Arial"/>
          <w:sz w:val="16"/>
          <w:szCs w:val="16"/>
          <w:color w:val="auto"/>
        </w:rPr>
        <w:t>For the general method, it should be noted that in each valuation, it will be necessary to have two types of differentiated interest rates for discounting cash flows:</w:t>
      </w:r>
    </w:p>
    <w:p>
      <w:pPr>
        <w:spacing w:after="0" w:line="120" w:lineRule="exact"/>
        <w:rPr>
          <w:sz w:val="20"/>
          <w:szCs w:val="20"/>
          <w:color w:val="auto"/>
        </w:rPr>
      </w:pPr>
    </w:p>
    <w:p>
      <w:pPr>
        <w:ind w:left="301" w:hanging="301"/>
        <w:spacing w:after="0" w:line="280" w:lineRule="auto"/>
        <w:tabs>
          <w:tab w:leader="none" w:pos="301" w:val="left"/>
        </w:tabs>
        <w:numPr>
          <w:ilvl w:val="0"/>
          <w:numId w:val="52"/>
        </w:numPr>
        <w:rPr>
          <w:rFonts w:ascii="Arial" w:cs="Arial" w:eastAsia="Arial" w:hAnsi="Arial"/>
          <w:sz w:val="16"/>
          <w:szCs w:val="16"/>
          <w:color w:val="auto"/>
        </w:rPr>
      </w:pPr>
      <w:r>
        <w:rPr>
          <w:rFonts w:ascii="Arial" w:cs="Arial" w:eastAsia="Arial" w:hAnsi="Arial"/>
          <w:sz w:val="16"/>
          <w:szCs w:val="16"/>
          <w:color w:val="auto"/>
        </w:rPr>
        <w:t>Market rate or current valuation rate: the interest rate obtained from current market data and assumptions. The discount rate as of the valuation date will be equal to the risk-free rate of the corresponding currency plus the Matching Adjustment described later.</w:t>
      </w:r>
    </w:p>
    <w:p>
      <w:pPr>
        <w:spacing w:after="0" w:line="27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41275</wp:posOffset>
            </wp:positionV>
            <wp:extent cx="714565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61"/>
          </w:cols>
          <w:pgMar w:left="599" w:top="306" w:right="339" w:bottom="1440" w:gutter="0" w:footer="0" w:header="0"/>
        </w:sectPr>
      </w:pPr>
    </w:p>
    <w:bookmarkStart w:id="43" w:name="page44"/>
    <w:bookmarkEnd w:id="43"/>
    <w:p>
      <w:pPr>
        <w:ind w:left="301" w:hanging="301"/>
        <w:spacing w:after="0" w:line="280" w:lineRule="auto"/>
        <w:tabs>
          <w:tab w:leader="none" w:pos="301" w:val="left"/>
        </w:tabs>
        <w:numPr>
          <w:ilvl w:val="0"/>
          <w:numId w:val="53"/>
        </w:numPr>
        <w:rPr>
          <w:rFonts w:ascii="Arial" w:cs="Arial" w:eastAsia="Arial" w:hAnsi="Arial"/>
          <w:sz w:val="16"/>
          <w:szCs w:val="16"/>
          <w:color w:val="auto"/>
        </w:rPr>
      </w:pPr>
      <w:r>
        <w:rPr>
          <w:rFonts w:ascii="Arial" w:cs="Arial" w:eastAsia="Arial" w:hAnsi="Arial"/>
          <w:sz w:val="16"/>
          <w:szCs w:val="16"/>
          <w:color w:val="auto"/>
        </w:rPr>
        <w:t>Established initial rate or Locked-In Rate (LiR): an interest rate defined at the time of initial recognition of the insurance contract and will remain fixed until the termination of it, and will be used to:</w:t>
      </w:r>
    </w:p>
    <w:p>
      <w:pPr>
        <w:spacing w:after="0" w:line="120" w:lineRule="exact"/>
        <w:rPr>
          <w:rFonts w:ascii="Arial" w:cs="Arial" w:eastAsia="Arial" w:hAnsi="Arial"/>
          <w:sz w:val="16"/>
          <w:szCs w:val="16"/>
          <w:color w:val="auto"/>
        </w:rPr>
      </w:pPr>
    </w:p>
    <w:p>
      <w:pPr>
        <w:ind w:left="521" w:hanging="228"/>
        <w:spacing w:after="0"/>
        <w:tabs>
          <w:tab w:leader="none" w:pos="521" w:val="left"/>
        </w:tabs>
        <w:numPr>
          <w:ilvl w:val="1"/>
          <w:numId w:val="53"/>
        </w:numPr>
        <w:rPr>
          <w:rFonts w:ascii="Arial" w:cs="Arial" w:eastAsia="Arial" w:hAnsi="Arial"/>
          <w:sz w:val="16"/>
          <w:szCs w:val="16"/>
          <w:color w:val="auto"/>
        </w:rPr>
      </w:pPr>
      <w:r>
        <w:rPr>
          <w:rFonts w:ascii="Arial" w:cs="Arial" w:eastAsia="Arial" w:hAnsi="Arial"/>
          <w:sz w:val="16"/>
          <w:szCs w:val="16"/>
          <w:color w:val="auto"/>
        </w:rPr>
        <w:t>Measuring cash flows from fulfillment at initial valuation;</w:t>
      </w:r>
    </w:p>
    <w:p>
      <w:pPr>
        <w:spacing w:after="0" w:line="15" w:lineRule="exact"/>
        <w:rPr>
          <w:rFonts w:ascii="Arial" w:cs="Arial" w:eastAsia="Arial" w:hAnsi="Arial"/>
          <w:sz w:val="16"/>
          <w:szCs w:val="16"/>
          <w:color w:val="auto"/>
        </w:rPr>
      </w:pPr>
    </w:p>
    <w:p>
      <w:pPr>
        <w:ind w:left="521" w:hanging="228"/>
        <w:spacing w:after="0"/>
        <w:tabs>
          <w:tab w:leader="none" w:pos="521"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Determining the amount of financial expenses or income from insurance included in the income statement for the period;</w:t>
      </w:r>
    </w:p>
    <w:p>
      <w:pPr>
        <w:ind w:left="521" w:hanging="228"/>
        <w:spacing w:after="0"/>
        <w:tabs>
          <w:tab w:leader="none" w:pos="521"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Determining accrued interest on the CSM;</w:t>
      </w:r>
    </w:p>
    <w:p>
      <w:pPr>
        <w:ind w:left="521" w:hanging="228"/>
        <w:spacing w:after="0"/>
        <w:tabs>
          <w:tab w:leader="none" w:pos="521"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Determining the portion of the financial effect on Cashflows that will be imputed to interest on liabilities;</w:t>
      </w:r>
    </w:p>
    <w:p>
      <w:pPr>
        <w:ind w:left="521" w:hanging="228"/>
        <w:spacing w:after="0"/>
        <w:tabs>
          <w:tab w:leader="none" w:pos="521" w:val="left"/>
        </w:tabs>
        <w:numPr>
          <w:ilvl w:val="1"/>
          <w:numId w:val="53"/>
        </w:numPr>
        <w:rPr>
          <w:rFonts w:ascii="Arial" w:cs="Arial" w:eastAsia="Arial" w:hAnsi="Arial"/>
          <w:sz w:val="16"/>
          <w:szCs w:val="16"/>
          <w:color w:val="auto"/>
        </w:rPr>
      </w:pPr>
      <w:r>
        <w:rPr>
          <w:rFonts w:ascii="Arial" w:cs="Arial" w:eastAsia="Arial" w:hAnsi="Arial"/>
          <w:sz w:val="16"/>
          <w:szCs w:val="16"/>
          <w:color w:val="auto"/>
        </w:rPr>
        <w:t>Measuring changes in the contractual service margin.</w:t>
      </w:r>
    </w:p>
    <w:p>
      <w:pPr>
        <w:spacing w:after="0" w:line="167" w:lineRule="exact"/>
        <w:rPr>
          <w:sz w:val="20"/>
          <w:szCs w:val="20"/>
          <w:color w:val="auto"/>
        </w:rPr>
      </w:pPr>
    </w:p>
    <w:p>
      <w:pPr>
        <w:ind w:left="21" w:right="60"/>
        <w:spacing w:after="0" w:line="249" w:lineRule="auto"/>
        <w:rPr>
          <w:sz w:val="20"/>
          <w:szCs w:val="20"/>
          <w:color w:val="auto"/>
        </w:rPr>
      </w:pPr>
      <w:r>
        <w:rPr>
          <w:rFonts w:ascii="Arial" w:cs="Arial" w:eastAsia="Arial" w:hAnsi="Arial"/>
          <w:sz w:val="16"/>
          <w:szCs w:val="16"/>
          <w:color w:val="auto"/>
        </w:rPr>
        <w:t>For the determination of the discount curve of the established initial rate on the initial recognition date of the contract, the Matching Adjustment methodology (calibration adjustment) will be used. This methodology starts from the assets that cover the Group’s liabilities. Conceptually, the Matching Adjustment is a spread added to the risk-free curve (RFR) for calculating the present value of the Group obligations. This differential will be calculated as the IRR of “de-risked” assets minus the IRR of liabilities, minus the average “Cost of Downgrade” of the portfolio, and an adjustment for sub-”Investment Grade” investments in the portfolio. The determination of the Matching Adjustment is made by product type and currency.</w:t>
      </w:r>
    </w:p>
    <w:p>
      <w:pPr>
        <w:spacing w:after="0" w:line="145" w:lineRule="exact"/>
        <w:rPr>
          <w:sz w:val="20"/>
          <w:szCs w:val="20"/>
          <w:color w:val="auto"/>
        </w:rPr>
      </w:pPr>
    </w:p>
    <w:p>
      <w:pPr>
        <w:ind w:left="61" w:right="160"/>
        <w:spacing w:after="0" w:line="259" w:lineRule="auto"/>
        <w:rPr>
          <w:sz w:val="20"/>
          <w:szCs w:val="20"/>
          <w:color w:val="auto"/>
        </w:rPr>
      </w:pPr>
      <w:r>
        <w:rPr>
          <w:rFonts w:ascii="Arial" w:cs="Arial" w:eastAsia="Arial" w:hAnsi="Arial"/>
          <w:sz w:val="16"/>
          <w:szCs w:val="16"/>
          <w:color w:val="202124"/>
        </w:rPr>
        <w:t>As of December 31, 2023, and December 31, 2022, the Group classified financial liabilities upon initial recognition as measured at amortized cost, except for financial liabilities at fair value through profit or loss. These liabilities include derivatives measured at fair value. Incurred interest is accrued in the “Interest and similar income” item in the consolidated statement of comprehensive income.</w:t>
      </w:r>
    </w:p>
    <w:p>
      <w:pPr>
        <w:spacing w:after="0" w:line="137" w:lineRule="exact"/>
        <w:rPr>
          <w:sz w:val="20"/>
          <w:szCs w:val="20"/>
          <w:color w:val="auto"/>
        </w:rPr>
      </w:pPr>
    </w:p>
    <w:p>
      <w:pPr>
        <w:ind w:left="61" w:right="300"/>
        <w:spacing w:after="0" w:line="280" w:lineRule="auto"/>
        <w:rPr>
          <w:sz w:val="20"/>
          <w:szCs w:val="20"/>
          <w:color w:val="auto"/>
        </w:rPr>
      </w:pPr>
      <w:r>
        <w:rPr>
          <w:rFonts w:ascii="Arial" w:cs="Arial" w:eastAsia="Arial" w:hAnsi="Arial"/>
          <w:sz w:val="16"/>
          <w:szCs w:val="16"/>
          <w:color w:val="202124"/>
        </w:rPr>
        <w:t>Likewise, at the time of initial recognition, Management may irrevocably designate financial liabilities as measured at fair value through profit or loss when one of the following criteria is met:</w:t>
      </w:r>
    </w:p>
    <w:p>
      <w:pPr>
        <w:spacing w:after="0" w:line="120" w:lineRule="exact"/>
        <w:rPr>
          <w:sz w:val="20"/>
          <w:szCs w:val="20"/>
          <w:color w:val="auto"/>
        </w:rPr>
      </w:pPr>
    </w:p>
    <w:p>
      <w:pPr>
        <w:ind w:left="301" w:right="280" w:hanging="301"/>
        <w:spacing w:after="0" w:line="249" w:lineRule="auto"/>
        <w:tabs>
          <w:tab w:leader="none" w:pos="3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inconsistency in measurement that would otherwise arise using different criteria for measuring assets or liabilities is eliminated or significantly reduced;</w:t>
      </w:r>
    </w:p>
    <w:p>
      <w:pPr>
        <w:ind w:left="301" w:right="20" w:hanging="301"/>
        <w:spacing w:after="0" w:line="239" w:lineRule="auto"/>
        <w:tabs>
          <w:tab w:leader="none" w:pos="3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They are part of a group of financial liabilities that are managed and their performance is evaluated on a fair value basis, according to a documented investment or risk management strategy; or</w:t>
      </w:r>
    </w:p>
    <w:p>
      <w:pPr>
        <w:ind w:left="301" w:hanging="301"/>
        <w:spacing w:after="0"/>
        <w:tabs>
          <w:tab w:leader="none" w:pos="3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financial liability contains one or more embedded derivatives that significantly modify the cash flows otherwise required.</w:t>
      </w:r>
    </w:p>
    <w:p>
      <w:pPr>
        <w:spacing w:after="0" w:line="166" w:lineRule="exact"/>
        <w:rPr>
          <w:rFonts w:ascii="Arial" w:cs="Arial" w:eastAsia="Arial" w:hAnsi="Arial"/>
          <w:sz w:val="16"/>
          <w:szCs w:val="16"/>
          <w:color w:val="auto"/>
        </w:rPr>
      </w:pPr>
    </w:p>
    <w:p>
      <w:pPr>
        <w:ind w:left="281" w:hanging="220"/>
        <w:spacing w:after="0"/>
        <w:tabs>
          <w:tab w:leader="none" w:pos="281" w:val="left"/>
        </w:tabs>
        <w:numPr>
          <w:ilvl w:val="1"/>
          <w:numId w:val="54"/>
        </w:numPr>
        <w:rPr>
          <w:rFonts w:ascii="Arial" w:cs="Arial" w:eastAsia="Arial" w:hAnsi="Arial"/>
          <w:sz w:val="16"/>
          <w:szCs w:val="16"/>
          <w:color w:val="202124"/>
        </w:rPr>
      </w:pPr>
      <w:r>
        <w:rPr>
          <w:rFonts w:ascii="Arial" w:cs="Arial" w:eastAsia="Arial" w:hAnsi="Arial"/>
          <w:sz w:val="16"/>
          <w:szCs w:val="16"/>
          <w:color w:val="auto"/>
        </w:rPr>
        <w:t>Reclassification of financial assets and liabilities –</w:t>
      </w:r>
    </w:p>
    <w:p>
      <w:pPr>
        <w:spacing w:after="0" w:line="182" w:lineRule="exact"/>
        <w:rPr>
          <w:rFonts w:ascii="Arial" w:cs="Arial" w:eastAsia="Arial" w:hAnsi="Arial"/>
          <w:sz w:val="16"/>
          <w:szCs w:val="16"/>
          <w:color w:val="202124"/>
        </w:rPr>
      </w:pPr>
    </w:p>
    <w:p>
      <w:pPr>
        <w:jc w:val="both"/>
        <w:ind w:left="301" w:right="140"/>
        <w:spacing w:after="0" w:line="259" w:lineRule="auto"/>
        <w:rPr>
          <w:rFonts w:ascii="Arial" w:cs="Arial" w:eastAsia="Arial" w:hAnsi="Arial"/>
          <w:sz w:val="16"/>
          <w:szCs w:val="16"/>
          <w:color w:val="202124"/>
        </w:rPr>
      </w:pPr>
      <w:r>
        <w:rPr>
          <w:rFonts w:ascii="Arial" w:cs="Arial" w:eastAsia="Arial" w:hAnsi="Arial"/>
          <w:sz w:val="16"/>
          <w:szCs w:val="16"/>
          <w:color w:val="202124"/>
        </w:rPr>
        <w:t>The reclassification of financial assets will take place whenever the business model managing the financial assets changes. It is expected that this change will be very infrequent. These changes are determined by approval of the Group’s management as a result of external or internal changes, which must be significant to the Group’s operations and demonstrable to third parties. Financial liabilities are never reclassified.</w:t>
      </w:r>
    </w:p>
    <w:p>
      <w:pPr>
        <w:spacing w:after="0" w:line="137" w:lineRule="exact"/>
        <w:rPr>
          <w:rFonts w:ascii="Arial" w:cs="Arial" w:eastAsia="Arial" w:hAnsi="Arial"/>
          <w:sz w:val="16"/>
          <w:szCs w:val="16"/>
          <w:color w:val="202124"/>
        </w:rPr>
      </w:pPr>
    </w:p>
    <w:p>
      <w:pPr>
        <w:jc w:val="both"/>
        <w:ind w:left="301" w:right="120"/>
        <w:spacing w:after="0" w:line="280" w:lineRule="auto"/>
        <w:rPr>
          <w:rFonts w:ascii="Arial" w:cs="Arial" w:eastAsia="Arial" w:hAnsi="Arial"/>
          <w:sz w:val="16"/>
          <w:szCs w:val="16"/>
          <w:color w:val="202124"/>
        </w:rPr>
      </w:pPr>
      <w:r>
        <w:rPr>
          <w:rFonts w:ascii="Arial" w:cs="Arial" w:eastAsia="Arial" w:hAnsi="Arial"/>
          <w:sz w:val="16"/>
          <w:szCs w:val="16"/>
          <w:color w:val="202124"/>
        </w:rPr>
        <w:t>When the Group changes its business model for managing financial assets, it will prospectively reclassify all affected financial assets from the date of reclassification. The Group will not restate previously recognized gains, losses, or interest (including gains or losses on impairment) recognized.</w:t>
      </w:r>
    </w:p>
    <w:p>
      <w:pPr>
        <w:spacing w:after="0" w:line="27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41275</wp:posOffset>
            </wp:positionV>
            <wp:extent cx="714565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61"/>
          </w:cols>
          <w:pgMar w:left="599" w:top="306" w:right="339" w:bottom="1440" w:gutter="0" w:footer="0" w:header="0"/>
        </w:sectPr>
      </w:pPr>
    </w:p>
    <w:bookmarkStart w:id="44" w:name="page45"/>
    <w:bookmarkEnd w:id="44"/>
    <w:p>
      <w:pPr>
        <w:ind w:left="485"/>
        <w:spacing w:after="0"/>
        <w:rPr>
          <w:sz w:val="20"/>
          <w:szCs w:val="20"/>
          <w:color w:val="auto"/>
        </w:rPr>
      </w:pPr>
      <w:r>
        <w:rPr>
          <w:rFonts w:ascii="Arial" w:cs="Arial" w:eastAsia="Arial" w:hAnsi="Arial"/>
          <w:sz w:val="16"/>
          <w:szCs w:val="16"/>
          <w:color w:val="202124"/>
        </w:rPr>
        <w:t>If the Group reclassifies:</w:t>
      </w:r>
    </w:p>
    <w:p>
      <w:pPr>
        <w:spacing w:after="0" w:line="15" w:lineRule="exact"/>
        <w:rPr>
          <w:sz w:val="20"/>
          <w:szCs w:val="20"/>
          <w:color w:val="auto"/>
        </w:rPr>
      </w:pPr>
    </w:p>
    <w:p>
      <w:pPr>
        <w:ind w:left="1085" w:right="160" w:hanging="315"/>
        <w:spacing w:after="0" w:line="239" w:lineRule="auto"/>
        <w:tabs>
          <w:tab w:leader="none" w:pos="1085" w:val="left"/>
        </w:tabs>
        <w:numPr>
          <w:ilvl w:val="1"/>
          <w:numId w:val="55"/>
        </w:numPr>
        <w:rPr>
          <w:rFonts w:ascii="Arial" w:cs="Arial" w:eastAsia="Arial" w:hAnsi="Arial"/>
          <w:sz w:val="16"/>
          <w:szCs w:val="16"/>
          <w:color w:val="202124"/>
        </w:rPr>
      </w:pPr>
      <w:r>
        <w:rPr>
          <w:rFonts w:ascii="Arial" w:cs="Arial" w:eastAsia="Arial" w:hAnsi="Arial"/>
          <w:sz w:val="16"/>
          <w:szCs w:val="16"/>
          <w:color w:val="202124"/>
        </w:rPr>
        <w:t>A financial asset from the amortized cost measurement category to the fair value through profit or loss category: its fair value will be measured at the reclassification date. Any gain or loss arising from differences between the previous amortized cost of the financial asset and the fair value will be recognized in profit or loss for the period.</w:t>
      </w:r>
    </w:p>
    <w:p>
      <w:pPr>
        <w:ind w:left="1085" w:right="600" w:hanging="315"/>
        <w:spacing w:after="0" w:line="239" w:lineRule="auto"/>
        <w:tabs>
          <w:tab w:leader="none" w:pos="1085" w:val="left"/>
        </w:tabs>
        <w:numPr>
          <w:ilvl w:val="1"/>
          <w:numId w:val="55"/>
        </w:numPr>
        <w:rPr>
          <w:rFonts w:ascii="Arial" w:cs="Arial" w:eastAsia="Arial" w:hAnsi="Arial"/>
          <w:sz w:val="16"/>
          <w:szCs w:val="16"/>
          <w:color w:val="202124"/>
        </w:rPr>
      </w:pPr>
      <w:r>
        <w:rPr>
          <w:rFonts w:ascii="Arial" w:cs="Arial" w:eastAsia="Arial" w:hAnsi="Arial"/>
          <w:sz w:val="16"/>
          <w:szCs w:val="16"/>
          <w:color w:val="202124"/>
        </w:rPr>
        <w:t>A financial asset from the fair value through profit or loss measurement category to the amortized cost category: its fair value at the reclassification date becomes its new gross carrying amount.</w:t>
      </w:r>
    </w:p>
    <w:p>
      <w:pPr>
        <w:jc w:val="both"/>
        <w:ind w:left="1085" w:right="280" w:hanging="315"/>
        <w:spacing w:after="0" w:line="239" w:lineRule="auto"/>
        <w:tabs>
          <w:tab w:leader="none" w:pos="1085" w:val="left"/>
        </w:tabs>
        <w:numPr>
          <w:ilvl w:val="1"/>
          <w:numId w:val="55"/>
        </w:numPr>
        <w:rPr>
          <w:rFonts w:ascii="Arial" w:cs="Arial" w:eastAsia="Arial" w:hAnsi="Arial"/>
          <w:sz w:val="16"/>
          <w:szCs w:val="16"/>
          <w:color w:val="202124"/>
        </w:rPr>
      </w:pPr>
      <w:r>
        <w:rPr>
          <w:rFonts w:ascii="Arial" w:cs="Arial" w:eastAsia="Arial" w:hAnsi="Arial"/>
          <w:sz w:val="16"/>
          <w:szCs w:val="16"/>
          <w:color w:val="202124"/>
        </w:rPr>
        <w:t>A financial asset from the amortized cost measurement category to the fair value through other comprehensive income category: its fair value will be measured at the reclassification date. Any gain or loss arising from differences between the previous amortized cost of the financial asset and the fair value will be recognized in other comprehensive income. The effective interest rate and the measurement of expected credit losses will not be adjusted as a result of reclassification.</w:t>
      </w:r>
    </w:p>
    <w:p>
      <w:pPr>
        <w:ind w:left="1085" w:right="60" w:hanging="315"/>
        <w:spacing w:after="0" w:line="239" w:lineRule="auto"/>
        <w:tabs>
          <w:tab w:leader="none" w:pos="1085" w:val="left"/>
        </w:tabs>
        <w:numPr>
          <w:ilvl w:val="1"/>
          <w:numId w:val="55"/>
        </w:numPr>
        <w:rPr>
          <w:rFonts w:ascii="Arial" w:cs="Arial" w:eastAsia="Arial" w:hAnsi="Arial"/>
          <w:sz w:val="16"/>
          <w:szCs w:val="16"/>
          <w:color w:val="202124"/>
        </w:rPr>
      </w:pPr>
      <w:r>
        <w:rPr>
          <w:rFonts w:ascii="Arial" w:cs="Arial" w:eastAsia="Arial" w:hAnsi="Arial"/>
          <w:sz w:val="16"/>
          <w:szCs w:val="16"/>
          <w:color w:val="202124"/>
        </w:rPr>
        <w:t>A financial asset from the fair value through other comprehensive income measurement category to the amortized cost category, the financial asset will be reclassified at its fair value at the reclassification date. However, previously recognized accumulated gains or losses in other comprehensive income will be removed from equity and adjusted against the fair value of the financial asset at the reclassification date. As a result, the financial asset will be measured at the reclassification date as if it had always been measured at amortized cost. This adjustment affects other comprehensive income but not profit or loss for the period.</w:t>
      </w:r>
    </w:p>
    <w:p>
      <w:pPr>
        <w:ind w:left="1085" w:right="360" w:hanging="315"/>
        <w:spacing w:after="0" w:line="239" w:lineRule="auto"/>
        <w:tabs>
          <w:tab w:leader="none" w:pos="1085" w:val="left"/>
        </w:tabs>
        <w:numPr>
          <w:ilvl w:val="1"/>
          <w:numId w:val="55"/>
        </w:numPr>
        <w:rPr>
          <w:rFonts w:ascii="Arial" w:cs="Arial" w:eastAsia="Arial" w:hAnsi="Arial"/>
          <w:sz w:val="16"/>
          <w:szCs w:val="16"/>
          <w:color w:val="202124"/>
        </w:rPr>
      </w:pPr>
      <w:r>
        <w:rPr>
          <w:rFonts w:ascii="Arial" w:cs="Arial" w:eastAsia="Arial" w:hAnsi="Arial"/>
          <w:sz w:val="16"/>
          <w:szCs w:val="16"/>
          <w:color w:val="202124"/>
        </w:rPr>
        <w:t>A financial asset from the fair value through profit or loss measurement category to the fair value through other comprehensive income category, the financial asset will continue to be measured at fair value.</w:t>
      </w:r>
    </w:p>
    <w:p>
      <w:pPr>
        <w:ind w:left="1085" w:right="360" w:hanging="315"/>
        <w:spacing w:after="0" w:line="249" w:lineRule="auto"/>
        <w:tabs>
          <w:tab w:leader="none" w:pos="1085" w:val="left"/>
        </w:tabs>
        <w:numPr>
          <w:ilvl w:val="1"/>
          <w:numId w:val="55"/>
        </w:numPr>
        <w:rPr>
          <w:rFonts w:ascii="Arial" w:cs="Arial" w:eastAsia="Arial" w:hAnsi="Arial"/>
          <w:sz w:val="16"/>
          <w:szCs w:val="16"/>
          <w:color w:val="202124"/>
        </w:rPr>
      </w:pPr>
      <w:r>
        <w:rPr>
          <w:rFonts w:ascii="Arial" w:cs="Arial" w:eastAsia="Arial" w:hAnsi="Arial"/>
          <w:sz w:val="16"/>
          <w:szCs w:val="16"/>
          <w:color w:val="202124"/>
        </w:rPr>
        <w:t>A financial asset from the fair value through other comprehensive income measurement category to the fair value through profit or loss category, the financial asset will continue to be measured at fair value. The previously recognized accumulated gain or loss in other comprehensive income will be reclassified from equity to profit or loss for the period.</w:t>
      </w:r>
    </w:p>
    <w:p>
      <w:pPr>
        <w:spacing w:after="0" w:line="144" w:lineRule="exact"/>
        <w:rPr>
          <w:rFonts w:ascii="Arial" w:cs="Arial" w:eastAsia="Arial" w:hAnsi="Arial"/>
          <w:sz w:val="16"/>
          <w:szCs w:val="16"/>
          <w:color w:val="202124"/>
        </w:rPr>
      </w:pPr>
    </w:p>
    <w:p>
      <w:pPr>
        <w:ind w:left="185" w:right="7440" w:hanging="185"/>
        <w:spacing w:after="0" w:line="478" w:lineRule="auto"/>
        <w:tabs>
          <w:tab w:leader="none" w:pos="187"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De-recognition of financial assets and liabilities - Financial assets:</w:t>
      </w:r>
    </w:p>
    <w:p>
      <w:pPr>
        <w:ind w:left="185" w:right="340"/>
        <w:spacing w:after="0" w:line="478" w:lineRule="auto"/>
        <w:rPr>
          <w:rFonts w:ascii="Arial" w:cs="Arial" w:eastAsia="Arial" w:hAnsi="Arial"/>
          <w:sz w:val="16"/>
          <w:szCs w:val="16"/>
          <w:color w:val="auto"/>
        </w:rPr>
      </w:pPr>
      <w:r>
        <w:rPr>
          <w:rFonts w:ascii="Arial" w:cs="Arial" w:eastAsia="Arial" w:hAnsi="Arial"/>
          <w:sz w:val="16"/>
          <w:szCs w:val="16"/>
          <w:color w:val="auto"/>
        </w:rPr>
        <w:t>A financial instrument is any agreement that gives rise to a financial asset of one entity and a financial liability or equity instrument of another entity. The Group determined the classification of its financial instruments at the time of initial recognition.</w:t>
      </w:r>
    </w:p>
    <w:p>
      <w:pPr>
        <w:ind w:left="185" w:right="60"/>
        <w:spacing w:after="0" w:line="280" w:lineRule="auto"/>
        <w:rPr>
          <w:rFonts w:ascii="Arial" w:cs="Arial" w:eastAsia="Arial" w:hAnsi="Arial"/>
          <w:sz w:val="16"/>
          <w:szCs w:val="16"/>
          <w:color w:val="auto"/>
        </w:rPr>
      </w:pPr>
      <w:r>
        <w:rPr>
          <w:rFonts w:ascii="Arial" w:cs="Arial" w:eastAsia="Arial" w:hAnsi="Arial"/>
          <w:sz w:val="16"/>
          <w:szCs w:val="16"/>
          <w:color w:val="auto"/>
        </w:rPr>
        <w:t>All financial instruments are initially recognized at their fair value plus the incremental costs related to the transaction that are directly attributable to the purchase or issuance of the instrument, except in the case of financial assets or liabilities carried at fair value through profit or loss.</w:t>
      </w:r>
    </w:p>
    <w:p>
      <w:pPr>
        <w:spacing w:after="0" w:line="120" w:lineRule="exact"/>
        <w:rPr>
          <w:rFonts w:ascii="Arial" w:cs="Arial" w:eastAsia="Arial" w:hAnsi="Arial"/>
          <w:sz w:val="16"/>
          <w:szCs w:val="16"/>
          <w:color w:val="auto"/>
        </w:rPr>
      </w:pPr>
    </w:p>
    <w:p>
      <w:pPr>
        <w:ind w:left="185"/>
        <w:spacing w:after="0" w:line="280" w:lineRule="auto"/>
        <w:rPr>
          <w:rFonts w:ascii="Arial" w:cs="Arial" w:eastAsia="Arial" w:hAnsi="Arial"/>
          <w:sz w:val="16"/>
          <w:szCs w:val="16"/>
          <w:color w:val="auto"/>
        </w:rPr>
      </w:pPr>
      <w:r>
        <w:rPr>
          <w:rFonts w:ascii="Arial" w:cs="Arial" w:eastAsia="Arial" w:hAnsi="Arial"/>
          <w:sz w:val="16"/>
          <w:szCs w:val="16"/>
          <w:color w:val="auto"/>
        </w:rPr>
        <w:t>Purchases or sales of financial assets that require delivery of the assets within a period established in accordance with regulations or conventions in the market (regular market deadlines) are recognized at the negotiation date, that is, the date on which the Group undertakes to buy or sell the asset.</w:t>
      </w:r>
    </w:p>
    <w:p>
      <w:pPr>
        <w:spacing w:after="0" w:line="279" w:lineRule="exact"/>
        <w:rPr>
          <w:sz w:val="20"/>
          <w:szCs w:val="20"/>
          <w:color w:val="auto"/>
        </w:rPr>
      </w:pPr>
    </w:p>
    <w:p>
      <w:pPr>
        <w:jc w:val="center"/>
        <w:ind w:right="95"/>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41275</wp:posOffset>
            </wp:positionV>
            <wp:extent cx="714565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105"/>
          </w:cols>
          <w:pgMar w:left="415" w:top="306" w:right="379" w:bottom="1440" w:gutter="0" w:footer="0" w:header="0"/>
        </w:sectPr>
      </w:pPr>
    </w:p>
    <w:bookmarkStart w:id="45" w:name="page46"/>
    <w:bookmarkEnd w:id="45"/>
    <w:p>
      <w:pPr>
        <w:ind w:left="1" w:right="380"/>
        <w:spacing w:after="0" w:line="280" w:lineRule="auto"/>
        <w:rPr>
          <w:sz w:val="20"/>
          <w:szCs w:val="20"/>
          <w:color w:val="auto"/>
        </w:rPr>
      </w:pPr>
      <w:r>
        <w:rPr>
          <w:rFonts w:ascii="Arial" w:cs="Arial" w:eastAsia="Arial" w:hAnsi="Arial"/>
          <w:sz w:val="16"/>
          <w:szCs w:val="16"/>
          <w:color w:val="auto"/>
        </w:rPr>
        <w:t>As of December 31, 2023 and 2022, the Group classified financial assets into one of the categories defined by IFRS 9: financial assets at fair value through profit or loss, at fair value through other comprehensive income and at amortized cost based on:</w:t>
      </w:r>
    </w:p>
    <w:p>
      <w:pPr>
        <w:spacing w:after="0" w:line="120" w:lineRule="exact"/>
        <w:rPr>
          <w:sz w:val="20"/>
          <w:szCs w:val="20"/>
          <w:color w:val="auto"/>
        </w:rPr>
      </w:pPr>
    </w:p>
    <w:p>
      <w:pPr>
        <w:ind w:left="301" w:hanging="301"/>
        <w:spacing w:after="0"/>
        <w:tabs>
          <w:tab w:leader="none" w:pos="3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business model to manage financial assets and</w:t>
      </w:r>
    </w:p>
    <w:p>
      <w:pPr>
        <w:spacing w:after="0" w:line="15" w:lineRule="exact"/>
        <w:rPr>
          <w:rFonts w:ascii="Arial" w:cs="Arial" w:eastAsia="Arial" w:hAnsi="Arial"/>
          <w:sz w:val="16"/>
          <w:szCs w:val="16"/>
          <w:color w:val="auto"/>
        </w:rPr>
      </w:pPr>
    </w:p>
    <w:p>
      <w:pPr>
        <w:ind w:left="301" w:hanging="301"/>
        <w:spacing w:after="0"/>
        <w:tabs>
          <w:tab w:leader="none" w:pos="3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characteristics of the contractual cash flows of the financial asset</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color w:val="auto"/>
        </w:rPr>
        <w:t>Business model -</w:t>
      </w:r>
    </w:p>
    <w:p>
      <w:pPr>
        <w:spacing w:after="0" w:line="183" w:lineRule="exact"/>
        <w:rPr>
          <w:sz w:val="20"/>
          <w:szCs w:val="20"/>
          <w:color w:val="auto"/>
        </w:rPr>
      </w:pPr>
    </w:p>
    <w:p>
      <w:pPr>
        <w:ind w:left="1" w:right="140"/>
        <w:spacing w:after="0" w:line="259" w:lineRule="auto"/>
        <w:rPr>
          <w:sz w:val="20"/>
          <w:szCs w:val="20"/>
          <w:color w:val="auto"/>
        </w:rPr>
      </w:pPr>
      <w:r>
        <w:rPr>
          <w:rFonts w:ascii="Arial" w:cs="Arial" w:eastAsia="Arial" w:hAnsi="Arial"/>
          <w:sz w:val="16"/>
          <w:szCs w:val="16"/>
          <w:color w:val="auto"/>
        </w:rPr>
        <w:t>It represents how financial assets are managed to generate cash flows and is not dependent on Management’s intention with respect to an individual instrument. Financial assets can be managed for the purpose of: i) obtaining contractual cash flows; ii) obtaining contractual cash flows and sale; or iii) others. To evaluate business models, the Group considers:</w:t>
      </w:r>
    </w:p>
    <w:p>
      <w:pPr>
        <w:spacing w:after="0" w:line="137" w:lineRule="exact"/>
        <w:rPr>
          <w:sz w:val="20"/>
          <w:szCs w:val="20"/>
          <w:color w:val="auto"/>
        </w:rPr>
      </w:pPr>
    </w:p>
    <w:p>
      <w:pPr>
        <w:ind w:left="301" w:hanging="301"/>
        <w:spacing w:after="0"/>
        <w:tabs>
          <w:tab w:leader="none" w:pos="3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risks that affect the performance of the business model and, in particular, the way in which these risks are managed.</w:t>
      </w:r>
    </w:p>
    <w:p>
      <w:pPr>
        <w:spacing w:after="0" w:line="15" w:lineRule="exact"/>
        <w:rPr>
          <w:rFonts w:ascii="Arial" w:cs="Arial" w:eastAsia="Arial" w:hAnsi="Arial"/>
          <w:sz w:val="16"/>
          <w:szCs w:val="16"/>
          <w:color w:val="auto"/>
        </w:rPr>
      </w:pPr>
    </w:p>
    <w:p>
      <w:pPr>
        <w:ind w:left="301" w:right="460" w:hanging="301"/>
        <w:spacing w:after="0" w:line="259" w:lineRule="auto"/>
        <w:tabs>
          <w:tab w:leader="none" w:pos="3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How the performance of the business model and the financial assets held within this business model are evaluated and reported to key Group management personnel.</w:t>
      </w:r>
    </w:p>
    <w:p>
      <w:pPr>
        <w:spacing w:after="0" w:line="137" w:lineRule="exact"/>
        <w:rPr>
          <w:sz w:val="20"/>
          <w:szCs w:val="20"/>
          <w:color w:val="auto"/>
        </w:rPr>
      </w:pPr>
    </w:p>
    <w:p>
      <w:pPr>
        <w:ind w:left="1" w:right="80"/>
        <w:spacing w:after="0" w:line="280" w:lineRule="auto"/>
        <w:rPr>
          <w:sz w:val="20"/>
          <w:szCs w:val="20"/>
          <w:color w:val="auto"/>
        </w:rPr>
      </w:pPr>
      <w:r>
        <w:rPr>
          <w:rFonts w:ascii="Arial" w:cs="Arial" w:eastAsia="Arial" w:hAnsi="Arial"/>
          <w:sz w:val="16"/>
          <w:szCs w:val="16"/>
          <w:color w:val="auto"/>
        </w:rPr>
        <w:t>If cash flows after initial recognition are realized differently from the Group’s expectations, the classification of the remaining financial assets held in this business model is not modified.</w:t>
      </w:r>
    </w:p>
    <w:p>
      <w:pPr>
        <w:spacing w:after="0" w:line="120" w:lineRule="exact"/>
        <w:rPr>
          <w:sz w:val="20"/>
          <w:szCs w:val="20"/>
          <w:color w:val="auto"/>
        </w:rPr>
      </w:pPr>
    </w:p>
    <w:p>
      <w:pPr>
        <w:ind w:left="1" w:right="140"/>
        <w:spacing w:after="0" w:line="478" w:lineRule="auto"/>
        <w:rPr>
          <w:sz w:val="20"/>
          <w:szCs w:val="20"/>
          <w:color w:val="auto"/>
        </w:rPr>
      </w:pPr>
      <w:r>
        <w:rPr>
          <w:rFonts w:ascii="Arial" w:cs="Arial" w:eastAsia="Arial" w:hAnsi="Arial"/>
          <w:sz w:val="16"/>
          <w:szCs w:val="16"/>
          <w:color w:val="auto"/>
        </w:rPr>
        <w:t>When the financial asset is maintained in business models i) and ii) the application of the only principal and interest payments test is required - “SPPI”. SPPI Test (Principal and Interest Payment Only) –</w:t>
      </w:r>
    </w:p>
    <w:p>
      <w:pPr>
        <w:ind w:left="1"/>
        <w:spacing w:after="0" w:line="247" w:lineRule="auto"/>
        <w:rPr>
          <w:sz w:val="20"/>
          <w:szCs w:val="20"/>
          <w:color w:val="auto"/>
        </w:rPr>
      </w:pPr>
      <w:r>
        <w:rPr>
          <w:rFonts w:ascii="Arial" w:cs="Arial" w:eastAsia="Arial" w:hAnsi="Arial"/>
          <w:sz w:val="16"/>
          <w:szCs w:val="16"/>
          <w:color w:val="auto"/>
        </w:rPr>
        <w:t>Evaluation of the cash flows generated by a financial instrument in order to verify whether the contractual conditions of the financial asset give rise, on specified dates, to cash flows that are solely payments of principal and interest. To conform to this concept, cash flows should include only consideration of the time value of money and credit risk. If the contractual terms introduce exposure to cash flow risk or volatility, such as exposure to changes in equity instrument prices or commodity prices, the financial asset is classified at fair value with changes in results. Hybrid contracts should be evaluated as a whole, including all built-in features. The accounting of a hybrid contract that contains an embedded derivative is carried out jointly, that is, the entire instrument is measured at fair value through profit or loss.</w:t>
      </w:r>
    </w:p>
    <w:p>
      <w:pPr>
        <w:spacing w:after="0" w:line="147" w:lineRule="exact"/>
        <w:rPr>
          <w:sz w:val="20"/>
          <w:szCs w:val="20"/>
          <w:color w:val="auto"/>
        </w:rPr>
      </w:pPr>
    </w:p>
    <w:p>
      <w:pPr>
        <w:ind w:left="401" w:hanging="340"/>
        <w:spacing w:after="0"/>
        <w:tabs>
          <w:tab w:leader="none" w:pos="401" w:val="left"/>
        </w:tabs>
        <w:numPr>
          <w:ilvl w:val="0"/>
          <w:numId w:val="58"/>
        </w:numPr>
        <w:rPr>
          <w:rFonts w:ascii="Arial" w:cs="Arial" w:eastAsia="Arial" w:hAnsi="Arial"/>
          <w:sz w:val="16"/>
          <w:szCs w:val="16"/>
          <w:color w:val="auto"/>
        </w:rPr>
      </w:pPr>
      <w:r>
        <w:rPr>
          <w:rFonts w:ascii="Arial" w:cs="Arial" w:eastAsia="Arial" w:hAnsi="Arial"/>
          <w:sz w:val="16"/>
          <w:szCs w:val="16"/>
          <w:color w:val="auto"/>
        </w:rPr>
        <w:t>Financial assets at amortized cost –</w:t>
      </w:r>
    </w:p>
    <w:p>
      <w:pPr>
        <w:spacing w:after="0" w:line="182" w:lineRule="exact"/>
        <w:rPr>
          <w:rFonts w:ascii="Arial" w:cs="Arial" w:eastAsia="Arial" w:hAnsi="Arial"/>
          <w:sz w:val="16"/>
          <w:szCs w:val="16"/>
          <w:color w:val="auto"/>
        </w:rPr>
      </w:pPr>
    </w:p>
    <w:p>
      <w:pPr>
        <w:ind w:left="421"/>
        <w:spacing w:after="0"/>
        <w:rPr>
          <w:rFonts w:ascii="Arial" w:cs="Arial" w:eastAsia="Arial" w:hAnsi="Arial"/>
          <w:sz w:val="16"/>
          <w:szCs w:val="16"/>
          <w:color w:val="auto"/>
        </w:rPr>
      </w:pPr>
      <w:r>
        <w:rPr>
          <w:rFonts w:ascii="Arial" w:cs="Arial" w:eastAsia="Arial" w:hAnsi="Arial"/>
          <w:sz w:val="16"/>
          <w:szCs w:val="16"/>
          <w:color w:val="auto"/>
        </w:rPr>
        <w:t>A financial asset is classified at amortized cost if the following conditions are met:</w:t>
      </w:r>
    </w:p>
    <w:p>
      <w:pPr>
        <w:spacing w:after="0" w:line="182" w:lineRule="exact"/>
        <w:rPr>
          <w:rFonts w:ascii="Arial" w:cs="Arial" w:eastAsia="Arial" w:hAnsi="Arial"/>
          <w:sz w:val="16"/>
          <w:szCs w:val="16"/>
          <w:color w:val="auto"/>
        </w:rPr>
      </w:pPr>
    </w:p>
    <w:p>
      <w:pPr>
        <w:ind w:left="521" w:hanging="118"/>
        <w:spacing w:after="0"/>
        <w:tabs>
          <w:tab w:leader="none" w:pos="521" w:val="left"/>
        </w:tabs>
        <w:numPr>
          <w:ilvl w:val="1"/>
          <w:numId w:val="58"/>
        </w:numPr>
        <w:rPr>
          <w:rFonts w:ascii="Arial" w:cs="Arial" w:eastAsia="Arial" w:hAnsi="Arial"/>
          <w:sz w:val="16"/>
          <w:szCs w:val="16"/>
          <w:color w:val="auto"/>
        </w:rPr>
      </w:pPr>
      <w:r>
        <w:rPr>
          <w:rFonts w:ascii="Arial" w:cs="Arial" w:eastAsia="Arial" w:hAnsi="Arial"/>
          <w:sz w:val="16"/>
          <w:szCs w:val="16"/>
          <w:color w:val="auto"/>
        </w:rPr>
        <w:t>It remains within a business model whose objective is to maintain the financial asset to obtain contractual cash flows, and</w:t>
      </w:r>
    </w:p>
    <w:p>
      <w:pPr>
        <w:spacing w:after="0" w:line="15" w:lineRule="exact"/>
        <w:rPr>
          <w:rFonts w:ascii="Arial" w:cs="Arial" w:eastAsia="Arial" w:hAnsi="Arial"/>
          <w:sz w:val="16"/>
          <w:szCs w:val="16"/>
          <w:color w:val="auto"/>
        </w:rPr>
      </w:pPr>
    </w:p>
    <w:p>
      <w:pPr>
        <w:ind w:left="521" w:hanging="118"/>
        <w:spacing w:after="0"/>
        <w:tabs>
          <w:tab w:leader="none" w:pos="521"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contractual conditions give rise, on specified dates, to cash flows that are solely payments of principal and interest.</w:t>
      </w:r>
    </w:p>
    <w:p>
      <w:pPr>
        <w:spacing w:after="0" w:line="167" w:lineRule="exact"/>
        <w:rPr>
          <w:sz w:val="20"/>
          <w:szCs w:val="20"/>
          <w:color w:val="auto"/>
        </w:rPr>
      </w:pPr>
    </w:p>
    <w:p>
      <w:pPr>
        <w:ind w:left="421" w:right="160"/>
        <w:spacing w:after="0" w:line="252" w:lineRule="auto"/>
        <w:rPr>
          <w:sz w:val="20"/>
          <w:szCs w:val="20"/>
          <w:color w:val="auto"/>
        </w:rPr>
      </w:pPr>
      <w:r>
        <w:rPr>
          <w:rFonts w:ascii="Arial" w:cs="Arial" w:eastAsia="Arial" w:hAnsi="Arial"/>
          <w:sz w:val="16"/>
          <w:szCs w:val="16"/>
          <w:color w:val="auto"/>
        </w:rPr>
        <w:t>After initial recognition, financial assets in this category are valued at amortized cost, using the effective interest rate method, less any credit loss provision. The amortized cost is calculated taking into account any discount or premium incurred in the acquisition and fees that constitute an integral part of the effective interest rate. Interest income is included in the “Interest and similar income” item in the consolidated statement of income.</w:t>
      </w:r>
    </w:p>
    <w:p>
      <w:pPr>
        <w:spacing w:after="0" w:line="144" w:lineRule="exact"/>
        <w:rPr>
          <w:sz w:val="20"/>
          <w:szCs w:val="20"/>
          <w:color w:val="auto"/>
        </w:rPr>
      </w:pPr>
    </w:p>
    <w:p>
      <w:pPr>
        <w:ind w:left="421" w:right="40"/>
        <w:spacing w:after="0" w:line="259" w:lineRule="auto"/>
        <w:rPr>
          <w:sz w:val="20"/>
          <w:szCs w:val="20"/>
          <w:color w:val="auto"/>
        </w:rPr>
      </w:pPr>
      <w:r>
        <w:rPr>
          <w:rFonts w:ascii="Arial" w:cs="Arial" w:eastAsia="Arial" w:hAnsi="Arial"/>
          <w:sz w:val="16"/>
          <w:szCs w:val="16"/>
          <w:color w:val="auto"/>
        </w:rPr>
        <w:t>Financial assets at amortized cost include direct credits that are recorded when the funds are disbursed to clients, and indirect credits (contingent) that are recorded when the documents that support said credit facilities are issued. Likewise, the Group considers as refinanced or restructured those loans that change their payment schedule due to difficulties in payment by the debtor.</w:t>
      </w: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41275</wp:posOffset>
            </wp:positionV>
            <wp:extent cx="714565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61"/>
          </w:cols>
          <w:pgMar w:left="599" w:top="306" w:right="339" w:bottom="1440" w:gutter="0" w:footer="0" w:header="0"/>
        </w:sectPr>
      </w:pPr>
    </w:p>
    <w:bookmarkStart w:id="46" w:name="page47"/>
    <w:bookmarkEnd w:id="46"/>
    <w:p>
      <w:pPr>
        <w:ind w:left="360" w:right="280"/>
        <w:spacing w:after="0" w:line="280" w:lineRule="auto"/>
        <w:rPr>
          <w:sz w:val="20"/>
          <w:szCs w:val="20"/>
          <w:color w:val="auto"/>
        </w:rPr>
      </w:pPr>
      <w:r>
        <w:rPr>
          <w:rFonts w:ascii="Arial" w:cs="Arial" w:eastAsia="Arial" w:hAnsi="Arial"/>
          <w:sz w:val="16"/>
          <w:szCs w:val="16"/>
          <w:color w:val="auto"/>
        </w:rPr>
        <w:t>The impairment loss is calculated using the expected loss approach and is recognized in the consolidated statement of income in the item “Net gain on securities” for investments and in the item “Credit loss provision for loan portfolio” for credits.</w:t>
      </w:r>
    </w:p>
    <w:p>
      <w:pPr>
        <w:spacing w:after="0" w:line="120" w:lineRule="exact"/>
        <w:rPr>
          <w:sz w:val="20"/>
          <w:szCs w:val="20"/>
          <w:color w:val="auto"/>
        </w:rPr>
      </w:pPr>
    </w:p>
    <w:p>
      <w:pPr>
        <w:ind w:left="360" w:right="280"/>
        <w:spacing w:after="0" w:line="280" w:lineRule="auto"/>
        <w:rPr>
          <w:sz w:val="20"/>
          <w:szCs w:val="20"/>
          <w:color w:val="auto"/>
        </w:rPr>
      </w:pPr>
      <w:r>
        <w:rPr>
          <w:rFonts w:ascii="Arial" w:cs="Arial" w:eastAsia="Arial" w:hAnsi="Arial"/>
          <w:sz w:val="16"/>
          <w:szCs w:val="16"/>
          <w:color w:val="auto"/>
        </w:rPr>
        <w:t>The balance of financial assets, measured at amortized cost, is presented net of the provision for credit losses in the consolidated statement of financial position.</w:t>
      </w:r>
    </w:p>
    <w:p>
      <w:pPr>
        <w:spacing w:after="0" w:line="120" w:lineRule="exact"/>
        <w:rPr>
          <w:sz w:val="20"/>
          <w:szCs w:val="20"/>
          <w:color w:val="auto"/>
        </w:rPr>
      </w:pPr>
    </w:p>
    <w:p>
      <w:pPr>
        <w:ind w:left="340" w:hanging="340"/>
        <w:spacing w:after="0"/>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Financial assets at fair value with changes in other comprehensive income –</w:t>
      </w:r>
    </w:p>
    <w:p>
      <w:pPr>
        <w:spacing w:after="0" w:line="182" w:lineRule="exact"/>
        <w:rPr>
          <w:rFonts w:ascii="Arial" w:cs="Arial" w:eastAsia="Arial" w:hAnsi="Arial"/>
          <w:sz w:val="16"/>
          <w:szCs w:val="16"/>
          <w:color w:val="auto"/>
        </w:rPr>
      </w:pPr>
    </w:p>
    <w:p>
      <w:pPr>
        <w:ind w:left="360"/>
        <w:spacing w:after="0" w:line="280" w:lineRule="auto"/>
        <w:rPr>
          <w:rFonts w:ascii="Arial" w:cs="Arial" w:eastAsia="Arial" w:hAnsi="Arial"/>
          <w:sz w:val="16"/>
          <w:szCs w:val="16"/>
          <w:color w:val="auto"/>
        </w:rPr>
      </w:pPr>
      <w:r>
        <w:rPr>
          <w:rFonts w:ascii="Arial" w:cs="Arial" w:eastAsia="Arial" w:hAnsi="Arial"/>
          <w:sz w:val="16"/>
          <w:szCs w:val="16"/>
          <w:color w:val="auto"/>
        </w:rPr>
        <w:t>The financial assets that the Group maintains in this category are: a) investments in debt instruments, and b) investments in equity instruments, for non-trading purposes, irrevocably designated in the initial recognition.</w:t>
      </w:r>
    </w:p>
    <w:p>
      <w:pPr>
        <w:spacing w:after="0" w:line="120"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Investments in debt instruments -</w:t>
      </w:r>
    </w:p>
    <w:p>
      <w:pPr>
        <w:spacing w:after="0" w:line="182"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A financial asset is classified and measured at fair value through other comprehensive income when the following conditions are met:</w:t>
      </w:r>
    </w:p>
    <w:p>
      <w:pPr>
        <w:spacing w:after="0" w:line="182" w:lineRule="exact"/>
        <w:rPr>
          <w:rFonts w:ascii="Arial" w:cs="Arial" w:eastAsia="Arial" w:hAnsi="Arial"/>
          <w:sz w:val="16"/>
          <w:szCs w:val="16"/>
          <w:color w:val="auto"/>
        </w:rPr>
      </w:pPr>
    </w:p>
    <w:p>
      <w:pPr>
        <w:ind w:left="460" w:right="220" w:hanging="118"/>
        <w:spacing w:after="0" w:line="249" w:lineRule="auto"/>
        <w:tabs>
          <w:tab w:leader="none" w:pos="4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financial asset is maintained within a business model whose objective is achieved by obtaining contractual cash flows and selling financial assets, and</w:t>
      </w:r>
    </w:p>
    <w:p>
      <w:pPr>
        <w:ind w:left="460" w:hanging="118"/>
        <w:spacing w:after="0"/>
        <w:tabs>
          <w:tab w:leader="none" w:pos="4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contractual conditions give rise, on specified dates, to cash flows that are solely payments of principal and interest.</w:t>
      </w:r>
    </w:p>
    <w:p>
      <w:pPr>
        <w:spacing w:after="0" w:line="167" w:lineRule="exact"/>
        <w:rPr>
          <w:sz w:val="20"/>
          <w:szCs w:val="20"/>
          <w:color w:val="auto"/>
        </w:rPr>
      </w:pPr>
    </w:p>
    <w:p>
      <w:pPr>
        <w:ind w:left="360" w:right="300"/>
        <w:spacing w:after="0" w:line="259" w:lineRule="auto"/>
        <w:rPr>
          <w:sz w:val="20"/>
          <w:szCs w:val="20"/>
          <w:color w:val="auto"/>
        </w:rPr>
      </w:pPr>
      <w:r>
        <w:rPr>
          <w:rFonts w:ascii="Arial" w:cs="Arial" w:eastAsia="Arial" w:hAnsi="Arial"/>
          <w:sz w:val="16"/>
          <w:szCs w:val="16"/>
          <w:color w:val="auto"/>
        </w:rPr>
        <w:t>After initial recognition, investments in debt instruments are measured at fair value, recording unrealized gains and losses in the consolidated statement of comprehensive income, net of the corresponding income tax and non-controlling interest, until the investment is sold; in which the accumulated gain or loss is recognized in the “Net gain on securities” item of the consolidated statement of income.</w:t>
      </w:r>
    </w:p>
    <w:p>
      <w:pPr>
        <w:spacing w:after="0" w:line="137" w:lineRule="exact"/>
        <w:rPr>
          <w:sz w:val="20"/>
          <w:szCs w:val="20"/>
          <w:color w:val="auto"/>
        </w:rPr>
      </w:pPr>
    </w:p>
    <w:p>
      <w:pPr>
        <w:jc w:val="both"/>
        <w:ind w:left="360"/>
        <w:spacing w:after="0" w:line="280" w:lineRule="auto"/>
        <w:rPr>
          <w:sz w:val="20"/>
          <w:szCs w:val="20"/>
          <w:color w:val="auto"/>
        </w:rPr>
      </w:pPr>
      <w:r>
        <w:rPr>
          <w:rFonts w:ascii="Arial" w:cs="Arial" w:eastAsia="Arial" w:hAnsi="Arial"/>
          <w:sz w:val="16"/>
          <w:szCs w:val="16"/>
          <w:color w:val="auto"/>
        </w:rPr>
        <w:t>Interest is recognized in the consolidated statement of income in the item “Interest and similar returns” and is reported as interest income using the effective interest rate method.</w:t>
      </w:r>
    </w:p>
    <w:p>
      <w:pPr>
        <w:spacing w:after="0" w:line="120" w:lineRule="exact"/>
        <w:rPr>
          <w:sz w:val="20"/>
          <w:szCs w:val="20"/>
          <w:color w:val="auto"/>
        </w:rPr>
      </w:pPr>
    </w:p>
    <w:p>
      <w:pPr>
        <w:jc w:val="both"/>
        <w:ind w:left="360"/>
        <w:spacing w:after="0" w:line="280" w:lineRule="auto"/>
        <w:rPr>
          <w:sz w:val="20"/>
          <w:szCs w:val="20"/>
          <w:color w:val="auto"/>
        </w:rPr>
      </w:pPr>
      <w:r>
        <w:rPr>
          <w:rFonts w:ascii="Arial" w:cs="Arial" w:eastAsia="Arial" w:hAnsi="Arial"/>
          <w:sz w:val="16"/>
          <w:szCs w:val="16"/>
          <w:color w:val="auto"/>
        </w:rPr>
        <w:t>When a debt instrument is designated in a fair value hedging relationship, any change in fair value due to changes in the hedged risk is recognized in “Interest and similar income” in the consolidated statement of income.</w:t>
      </w:r>
    </w:p>
    <w:p>
      <w:pPr>
        <w:spacing w:after="0" w:line="120" w:lineRule="exact"/>
        <w:rPr>
          <w:sz w:val="20"/>
          <w:szCs w:val="20"/>
          <w:color w:val="auto"/>
        </w:rPr>
      </w:pPr>
    </w:p>
    <w:p>
      <w:pPr>
        <w:jc w:val="both"/>
        <w:ind w:left="360"/>
        <w:spacing w:after="0" w:line="259" w:lineRule="auto"/>
        <w:rPr>
          <w:sz w:val="20"/>
          <w:szCs w:val="20"/>
          <w:color w:val="auto"/>
        </w:rPr>
      </w:pPr>
      <w:r>
        <w:rPr>
          <w:rFonts w:ascii="Arial" w:cs="Arial" w:eastAsia="Arial" w:hAnsi="Arial"/>
          <w:sz w:val="16"/>
          <w:szCs w:val="16"/>
          <w:color w:val="auto"/>
        </w:rPr>
        <w:t>Foreign exchange gains or losses related to the amortized cost of the debt instrument are recognized in the consolidated statement of income, and those related to differences between the amortized cost and the fair value are recognized as part of the unrealized gain or loss. in the consolidated statement of comprehensive income.</w:t>
      </w:r>
    </w:p>
    <w:p>
      <w:pPr>
        <w:spacing w:after="0" w:line="137" w:lineRule="exact"/>
        <w:rPr>
          <w:sz w:val="20"/>
          <w:szCs w:val="20"/>
          <w:color w:val="auto"/>
        </w:rPr>
      </w:pPr>
    </w:p>
    <w:p>
      <w:pPr>
        <w:ind w:left="360" w:right="40"/>
        <w:spacing w:after="0" w:line="280" w:lineRule="auto"/>
        <w:rPr>
          <w:sz w:val="20"/>
          <w:szCs w:val="20"/>
          <w:color w:val="auto"/>
        </w:rPr>
      </w:pPr>
      <w:r>
        <w:rPr>
          <w:rFonts w:ascii="Arial" w:cs="Arial" w:eastAsia="Arial" w:hAnsi="Arial"/>
          <w:sz w:val="16"/>
          <w:szCs w:val="16"/>
          <w:color w:val="auto"/>
        </w:rPr>
        <w:t>The estimated fair value of investments in debt instruments is determined primarily on the basis of quotes or, in the absence of these, on the basis of discounted cash flows using market rates consistent with the credit quality and maturity of the debt instruments. the investment.</w:t>
      </w:r>
    </w:p>
    <w:p>
      <w:pPr>
        <w:spacing w:after="0" w:line="120" w:lineRule="exact"/>
        <w:rPr>
          <w:sz w:val="20"/>
          <w:szCs w:val="20"/>
          <w:color w:val="auto"/>
        </w:rPr>
      </w:pPr>
    </w:p>
    <w:p>
      <w:pPr>
        <w:ind w:left="360" w:right="60"/>
        <w:spacing w:after="0" w:line="249" w:lineRule="auto"/>
        <w:rPr>
          <w:sz w:val="20"/>
          <w:szCs w:val="20"/>
          <w:color w:val="auto"/>
        </w:rPr>
      </w:pPr>
      <w:r>
        <w:rPr>
          <w:rFonts w:ascii="Arial" w:cs="Arial" w:eastAsia="Arial" w:hAnsi="Arial"/>
          <w:sz w:val="16"/>
          <w:szCs w:val="16"/>
          <w:color w:val="auto"/>
        </w:rPr>
        <w:t>The loss due to impairment of investments in debt instruments is calculated using the expected loss approach and is recognized in the consolidated statement of comprehensive income with a charge to the item “Net gain on securities” of the consolidated statement of income; In this sense, it does not reduce the carrying amount of the financial asset in the consolidated statement of financial position, which is maintained at its fair value. The impairment loss recognized in the consolidated statement of comprehensive income is recycled in the consolidated statement of income upon derecognition of the debt instrument.</w:t>
      </w:r>
    </w:p>
    <w:p>
      <w:pPr>
        <w:spacing w:after="0" w:line="304"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41275</wp:posOffset>
            </wp:positionV>
            <wp:extent cx="714565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00"/>
          </w:cols>
          <w:pgMar w:left="660" w:top="306" w:right="339" w:bottom="1440" w:gutter="0" w:footer="0" w:header="0"/>
        </w:sectPr>
      </w:pPr>
    </w:p>
    <w:bookmarkStart w:id="47" w:name="page48"/>
    <w:bookmarkEnd w:id="47"/>
    <w:p>
      <w:pPr>
        <w:ind w:left="360" w:right="340"/>
        <w:spacing w:after="0" w:line="280" w:lineRule="auto"/>
        <w:rPr>
          <w:sz w:val="20"/>
          <w:szCs w:val="20"/>
          <w:color w:val="auto"/>
        </w:rPr>
      </w:pPr>
      <w:r>
        <w:rPr>
          <w:rFonts w:ascii="Arial" w:cs="Arial" w:eastAsia="Arial" w:hAnsi="Arial"/>
          <w:sz w:val="16"/>
          <w:szCs w:val="16"/>
          <w:color w:val="auto"/>
        </w:rPr>
        <w:t>Investments in equity instruments, for non-trading purposes, irrevocably designated at the initial moment (equity instruments designated at the initial moment) -</w:t>
      </w:r>
    </w:p>
    <w:p>
      <w:pPr>
        <w:spacing w:after="0" w:line="120" w:lineRule="exact"/>
        <w:rPr>
          <w:sz w:val="20"/>
          <w:szCs w:val="20"/>
          <w:color w:val="auto"/>
        </w:rPr>
      </w:pPr>
    </w:p>
    <w:p>
      <w:pPr>
        <w:ind w:left="360" w:right="220"/>
        <w:spacing w:after="0" w:line="280" w:lineRule="auto"/>
        <w:rPr>
          <w:sz w:val="20"/>
          <w:szCs w:val="20"/>
          <w:color w:val="auto"/>
        </w:rPr>
      </w:pPr>
      <w:r>
        <w:rPr>
          <w:rFonts w:ascii="Arial" w:cs="Arial" w:eastAsia="Arial" w:hAnsi="Arial"/>
          <w:sz w:val="16"/>
          <w:szCs w:val="16"/>
          <w:color w:val="auto"/>
        </w:rPr>
        <w:t>At the time of initial recognition, the Group may make an irrevocable election to present equity instruments, which are not held for trading but for strategic purposes, in the category of “At fair value through other comprehensive income”.</w:t>
      </w:r>
    </w:p>
    <w:p>
      <w:pPr>
        <w:spacing w:after="0" w:line="120"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auto"/>
        </w:rPr>
        <w:t>After initial recognition, equity investments are measured at fair value, recording unrealized gains and losses in the consolidated statement of comprehensive income, net of the corresponding income tax and non-controlling interest, until the investment is sold, in which the accumulated gain or loss is transferred to the “Retained earnings” item of the consolidated statement of changes in equity; That is, they are never subsequently reclassified to the consolidated statement of income.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Consequently, capital instruments classified in this category do not require an impairment loss assessment.</w:t>
      </w:r>
    </w:p>
    <w:p>
      <w:pPr>
        <w:spacing w:after="0" w:line="183" w:lineRule="exact"/>
        <w:rPr>
          <w:sz w:val="20"/>
          <w:szCs w:val="20"/>
          <w:color w:val="auto"/>
        </w:rPr>
      </w:pPr>
    </w:p>
    <w:p>
      <w:pPr>
        <w:ind w:left="360" w:right="520"/>
        <w:spacing w:after="0" w:line="280" w:lineRule="auto"/>
        <w:rPr>
          <w:sz w:val="20"/>
          <w:szCs w:val="20"/>
          <w:color w:val="auto"/>
        </w:rPr>
      </w:pPr>
      <w:r>
        <w:rPr>
          <w:rFonts w:ascii="Arial" w:cs="Arial" w:eastAsia="Arial" w:hAnsi="Arial"/>
          <w:sz w:val="16"/>
          <w:szCs w:val="16"/>
          <w:color w:val="auto"/>
        </w:rPr>
        <w:t>Dividends are recognized when the right to collection has been established and are recorded in the “Interest and similar income” item in the consolidated statement of income.</w:t>
      </w:r>
    </w:p>
    <w:p>
      <w:pPr>
        <w:spacing w:after="0" w:line="120" w:lineRule="exact"/>
        <w:rPr>
          <w:sz w:val="20"/>
          <w:szCs w:val="20"/>
          <w:color w:val="auto"/>
        </w:rPr>
      </w:pPr>
    </w:p>
    <w:p>
      <w:pPr>
        <w:ind w:left="340" w:hanging="340"/>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Financial assets at fair value through profit or loss –</w:t>
      </w:r>
    </w:p>
    <w:p>
      <w:pPr>
        <w:spacing w:after="0" w:line="182" w:lineRule="exact"/>
        <w:rPr>
          <w:rFonts w:ascii="Arial" w:cs="Arial" w:eastAsia="Arial" w:hAnsi="Arial"/>
          <w:sz w:val="16"/>
          <w:szCs w:val="16"/>
          <w:color w:val="auto"/>
        </w:rPr>
      </w:pPr>
    </w:p>
    <w:p>
      <w:pPr>
        <w:ind w:left="360" w:right="180"/>
        <w:spacing w:after="0" w:line="280" w:lineRule="auto"/>
        <w:rPr>
          <w:rFonts w:ascii="Arial" w:cs="Arial" w:eastAsia="Arial" w:hAnsi="Arial"/>
          <w:sz w:val="16"/>
          <w:szCs w:val="16"/>
          <w:color w:val="auto"/>
        </w:rPr>
      </w:pPr>
      <w:r>
        <w:rPr>
          <w:rFonts w:ascii="Arial" w:cs="Arial" w:eastAsia="Arial" w:hAnsi="Arial"/>
          <w:sz w:val="16"/>
          <w:szCs w:val="16"/>
          <w:color w:val="auto"/>
        </w:rPr>
        <w:t>Financial assets must be classified and measured at fair value through profit or loss unless they are classified and measured at “Amortized cost” or “At fair value through other comprehensive income”.</w:t>
      </w:r>
    </w:p>
    <w:p>
      <w:pPr>
        <w:spacing w:after="0" w:line="120" w:lineRule="exact"/>
        <w:rPr>
          <w:rFonts w:ascii="Arial" w:cs="Arial" w:eastAsia="Arial" w:hAnsi="Arial"/>
          <w:sz w:val="16"/>
          <w:szCs w:val="16"/>
          <w:color w:val="auto"/>
        </w:rPr>
      </w:pPr>
    </w:p>
    <w:p>
      <w:pPr>
        <w:ind w:left="360" w:right="120"/>
        <w:spacing w:after="0" w:line="259" w:lineRule="auto"/>
        <w:rPr>
          <w:rFonts w:ascii="Arial" w:cs="Arial" w:eastAsia="Arial" w:hAnsi="Arial"/>
          <w:sz w:val="16"/>
          <w:szCs w:val="16"/>
          <w:color w:val="auto"/>
        </w:rPr>
      </w:pPr>
      <w:r>
        <w:rPr>
          <w:rFonts w:ascii="Arial" w:cs="Arial" w:eastAsia="Arial" w:hAnsi="Arial"/>
          <w:sz w:val="16"/>
          <w:szCs w:val="16"/>
          <w:color w:val="auto"/>
        </w:rPr>
        <w:t>The financial assets that the Group maintains in this category are: a) Investments in debt instruments, b) investments in equity instruments for trading purposes, c) financial assets designated at fair value with changes in results from the moment of their recognition. initial, and d) derivative financial instruments for trading purposes.</w:t>
      </w:r>
    </w:p>
    <w:p>
      <w:pPr>
        <w:spacing w:after="0" w:line="137"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Debt instruments -</w:t>
      </w:r>
    </w:p>
    <w:p>
      <w:pPr>
        <w:spacing w:after="0" w:line="182" w:lineRule="exact"/>
        <w:rPr>
          <w:rFonts w:ascii="Arial" w:cs="Arial" w:eastAsia="Arial" w:hAnsi="Arial"/>
          <w:sz w:val="16"/>
          <w:szCs w:val="16"/>
          <w:color w:val="auto"/>
        </w:rPr>
      </w:pPr>
    </w:p>
    <w:p>
      <w:pPr>
        <w:ind w:left="360" w:right="240"/>
        <w:spacing w:after="0" w:line="280" w:lineRule="auto"/>
        <w:rPr>
          <w:rFonts w:ascii="Arial" w:cs="Arial" w:eastAsia="Arial" w:hAnsi="Arial"/>
          <w:sz w:val="16"/>
          <w:szCs w:val="16"/>
          <w:color w:val="auto"/>
        </w:rPr>
      </w:pPr>
      <w:r>
        <w:rPr>
          <w:rFonts w:ascii="Arial" w:cs="Arial" w:eastAsia="Arial" w:hAnsi="Arial"/>
          <w:sz w:val="16"/>
          <w:szCs w:val="16"/>
          <w:color w:val="auto"/>
        </w:rPr>
        <w:t>Such instruments are classified in this category because: a) they are held for trading purposes, or b) their cash flows are not solely payments of principal and interest.</w:t>
      </w:r>
    </w:p>
    <w:p>
      <w:pPr>
        <w:spacing w:after="0" w:line="120" w:lineRule="exact"/>
        <w:rPr>
          <w:rFonts w:ascii="Arial" w:cs="Arial" w:eastAsia="Arial" w:hAnsi="Arial"/>
          <w:sz w:val="16"/>
          <w:szCs w:val="16"/>
          <w:color w:val="auto"/>
        </w:rPr>
      </w:pPr>
    </w:p>
    <w:p>
      <w:pPr>
        <w:ind w:left="360" w:right="40"/>
        <w:spacing w:after="0" w:line="259" w:lineRule="auto"/>
        <w:rPr>
          <w:rFonts w:ascii="Arial" w:cs="Arial" w:eastAsia="Arial" w:hAnsi="Arial"/>
          <w:sz w:val="16"/>
          <w:szCs w:val="16"/>
          <w:color w:val="auto"/>
        </w:rPr>
      </w:pPr>
      <w:r>
        <w:rPr>
          <w:rFonts w:ascii="Arial" w:cs="Arial" w:eastAsia="Arial" w:hAnsi="Arial"/>
          <w:sz w:val="16"/>
          <w:szCs w:val="16"/>
          <w:color w:val="auto"/>
        </w:rPr>
        <w:t>After initial recognition, they are measured at fair value, recording the changes in the “Net gain on securities” item in the consolidated statement of income. The accrued interest is calculated using the contractual interest rate and is recorded in the “Interest and similar income” item in the consolidated statement of income.</w:t>
      </w:r>
    </w:p>
    <w:p>
      <w:pPr>
        <w:spacing w:after="0" w:line="137"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Capital instruments -</w:t>
      </w:r>
    </w:p>
    <w:p>
      <w:pPr>
        <w:spacing w:after="0" w:line="182" w:lineRule="exact"/>
        <w:rPr>
          <w:rFonts w:ascii="Arial" w:cs="Arial" w:eastAsia="Arial" w:hAnsi="Arial"/>
          <w:sz w:val="16"/>
          <w:szCs w:val="16"/>
          <w:color w:val="auto"/>
        </w:rPr>
      </w:pPr>
    </w:p>
    <w:p>
      <w:pPr>
        <w:ind w:left="360" w:right="420"/>
        <w:spacing w:after="0" w:line="280" w:lineRule="auto"/>
        <w:rPr>
          <w:rFonts w:ascii="Arial" w:cs="Arial" w:eastAsia="Arial" w:hAnsi="Arial"/>
          <w:sz w:val="16"/>
          <w:szCs w:val="16"/>
          <w:color w:val="auto"/>
        </w:rPr>
      </w:pPr>
      <w:r>
        <w:rPr>
          <w:rFonts w:ascii="Arial" w:cs="Arial" w:eastAsia="Arial" w:hAnsi="Arial"/>
          <w:sz w:val="16"/>
          <w:szCs w:val="16"/>
          <w:color w:val="auto"/>
        </w:rPr>
        <w:t>Equity instruments are classified and measured at fair value through profit or loss, unless an irrevocable election is made, at the time of initial recognition, to designate them at fair value through other comprehensive income.</w:t>
      </w:r>
    </w:p>
    <w:p>
      <w:pPr>
        <w:spacing w:after="0" w:line="120" w:lineRule="exact"/>
        <w:rPr>
          <w:rFonts w:ascii="Arial" w:cs="Arial" w:eastAsia="Arial" w:hAnsi="Arial"/>
          <w:sz w:val="16"/>
          <w:szCs w:val="16"/>
          <w:color w:val="auto"/>
        </w:rPr>
      </w:pPr>
    </w:p>
    <w:p>
      <w:pPr>
        <w:ind w:left="360" w:right="40"/>
        <w:spacing w:after="0" w:line="259" w:lineRule="auto"/>
        <w:rPr>
          <w:rFonts w:ascii="Arial" w:cs="Arial" w:eastAsia="Arial" w:hAnsi="Arial"/>
          <w:sz w:val="16"/>
          <w:szCs w:val="16"/>
          <w:color w:val="auto"/>
        </w:rPr>
      </w:pPr>
      <w:r>
        <w:rPr>
          <w:rFonts w:ascii="Arial" w:cs="Arial" w:eastAsia="Arial" w:hAnsi="Arial"/>
          <w:sz w:val="16"/>
          <w:szCs w:val="16"/>
          <w:color w:val="auto"/>
        </w:rPr>
        <w:t>After initial recognition, they are measured at fair value, recording the changes in the “Net gain on securities” item in the consolidated statement of income. Dividend income is recorded in the “Interest and similar income” item in the consolidated statement of income when the right to payment has been recognized.</w:t>
      </w:r>
    </w:p>
    <w:p>
      <w:pPr>
        <w:spacing w:after="0" w:line="137"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Financial assets designated at fair value through profit or loss from the moment of initial recognition -</w:t>
      </w:r>
    </w:p>
    <w:p>
      <w:pPr>
        <w:spacing w:after="0" w:line="182" w:lineRule="exact"/>
        <w:rPr>
          <w:rFonts w:ascii="Arial" w:cs="Arial" w:eastAsia="Arial" w:hAnsi="Arial"/>
          <w:sz w:val="16"/>
          <w:szCs w:val="16"/>
          <w:color w:val="auto"/>
        </w:rPr>
      </w:pPr>
    </w:p>
    <w:p>
      <w:pPr>
        <w:ind w:left="360"/>
        <w:spacing w:after="0" w:line="259" w:lineRule="auto"/>
        <w:rPr>
          <w:rFonts w:ascii="Arial" w:cs="Arial" w:eastAsia="Arial" w:hAnsi="Arial"/>
          <w:sz w:val="16"/>
          <w:szCs w:val="16"/>
          <w:color w:val="auto"/>
        </w:rPr>
      </w:pPr>
      <w:r>
        <w:rPr>
          <w:rFonts w:ascii="Arial" w:cs="Arial" w:eastAsia="Arial" w:hAnsi="Arial"/>
          <w:sz w:val="16"/>
          <w:szCs w:val="16"/>
          <w:color w:val="auto"/>
        </w:rPr>
        <w:t>At the time of initial recognition, Management may irrevocably designate financial assets as measured at fair value through profit or loss if doing so eliminates or significantly reduces a measurement or recognition inconsistency that would otherwise arise from the measurement of the assets or liabilities. or the recognition of their profits and losses on different bases.</w:t>
      </w:r>
    </w:p>
    <w:p>
      <w:pPr>
        <w:spacing w:after="0" w:line="296"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41275</wp:posOffset>
            </wp:positionV>
            <wp:extent cx="714565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00"/>
          </w:cols>
          <w:pgMar w:left="660" w:top="306" w:right="339" w:bottom="1440" w:gutter="0" w:footer="0" w:header="0"/>
        </w:sectPr>
      </w:pPr>
    </w:p>
    <w:bookmarkStart w:id="48" w:name="page49"/>
    <w:bookmarkEnd w:id="48"/>
    <w:p>
      <w:pPr>
        <w:ind w:left="421"/>
        <w:spacing w:after="0"/>
        <w:rPr>
          <w:sz w:val="20"/>
          <w:szCs w:val="20"/>
          <w:color w:val="auto"/>
        </w:rPr>
      </w:pPr>
      <w:r>
        <w:rPr>
          <w:rFonts w:ascii="Arial" w:cs="Arial" w:eastAsia="Arial" w:hAnsi="Arial"/>
          <w:sz w:val="16"/>
          <w:szCs w:val="16"/>
          <w:color w:val="auto"/>
        </w:rPr>
        <w:t>After their initial recognition, they are measured at fair value, recording the changes in the consolidated statement of income.</w:t>
      </w:r>
    </w:p>
    <w:p>
      <w:pPr>
        <w:spacing w:after="0" w:line="183" w:lineRule="exact"/>
        <w:rPr>
          <w:sz w:val="20"/>
          <w:szCs w:val="20"/>
          <w:color w:val="auto"/>
        </w:rPr>
      </w:pPr>
    </w:p>
    <w:p>
      <w:pPr>
        <w:ind w:left="61"/>
        <w:spacing w:after="0" w:line="280" w:lineRule="auto"/>
        <w:rPr>
          <w:sz w:val="20"/>
          <w:szCs w:val="20"/>
          <w:color w:val="auto"/>
        </w:rPr>
      </w:pPr>
      <w:r>
        <w:rPr>
          <w:rFonts w:ascii="Arial" w:cs="Arial" w:eastAsia="Arial" w:hAnsi="Arial"/>
          <w:sz w:val="16"/>
          <w:szCs w:val="16"/>
          <w:color w:val="auto"/>
        </w:rPr>
        <w:t>As of December 31, 2023 and 2022, the Group classified financial liabilities in their initial recognition as measured at amortized cost, except in the case of financial liabilities at fair value through profit or loss. These liabilities include derivatives that are measured at fair value.</w:t>
      </w:r>
    </w:p>
    <w:p>
      <w:pPr>
        <w:spacing w:after="0" w:line="120" w:lineRule="exact"/>
        <w:rPr>
          <w:sz w:val="20"/>
          <w:szCs w:val="20"/>
          <w:color w:val="auto"/>
        </w:rPr>
      </w:pPr>
    </w:p>
    <w:p>
      <w:pPr>
        <w:ind w:left="61"/>
        <w:spacing w:after="0"/>
        <w:rPr>
          <w:sz w:val="20"/>
          <w:szCs w:val="20"/>
          <w:color w:val="auto"/>
        </w:rPr>
      </w:pPr>
      <w:r>
        <w:rPr>
          <w:rFonts w:ascii="Arial" w:cs="Arial" w:eastAsia="Arial" w:hAnsi="Arial"/>
          <w:sz w:val="16"/>
          <w:szCs w:val="16"/>
          <w:color w:val="auto"/>
        </w:rPr>
        <w:t>The interest incurred is accrued in the “Interest and similar income” item in the consolidated statement of income.</w:t>
      </w:r>
    </w:p>
    <w:p>
      <w:pPr>
        <w:spacing w:after="0" w:line="183" w:lineRule="exact"/>
        <w:rPr>
          <w:sz w:val="20"/>
          <w:szCs w:val="20"/>
          <w:color w:val="auto"/>
        </w:rPr>
      </w:pPr>
    </w:p>
    <w:p>
      <w:pPr>
        <w:ind w:left="61" w:right="280"/>
        <w:spacing w:after="0" w:line="280" w:lineRule="auto"/>
        <w:rPr>
          <w:sz w:val="20"/>
          <w:szCs w:val="20"/>
          <w:color w:val="auto"/>
        </w:rPr>
      </w:pPr>
      <w:r>
        <w:rPr>
          <w:rFonts w:ascii="Arial" w:cs="Arial" w:eastAsia="Arial" w:hAnsi="Arial"/>
          <w:sz w:val="16"/>
          <w:szCs w:val="16"/>
          <w:color w:val="auto"/>
        </w:rPr>
        <w:t>Likewise, at the time of initial recognition, Management may irrevocably designate financial liabilities as measured at fair value through profit or loss when one of the following criteria is met:</w:t>
      </w:r>
    </w:p>
    <w:p>
      <w:pPr>
        <w:spacing w:after="0" w:line="120" w:lineRule="exact"/>
        <w:rPr>
          <w:sz w:val="20"/>
          <w:szCs w:val="20"/>
          <w:color w:val="auto"/>
        </w:rPr>
      </w:pPr>
    </w:p>
    <w:p>
      <w:pPr>
        <w:ind w:left="301" w:right="260" w:hanging="301"/>
        <w:spacing w:after="0" w:line="249" w:lineRule="auto"/>
        <w:tabs>
          <w:tab w:leader="none" w:pos="301"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measurement inconsistency that would otherwise arise when using different criteria to measure assets or liabilities is eliminated or significantly reduced; either</w:t>
      </w:r>
    </w:p>
    <w:p>
      <w:pPr>
        <w:ind w:left="301" w:right="280" w:hanging="301"/>
        <w:spacing w:after="0" w:line="239" w:lineRule="auto"/>
        <w:tabs>
          <w:tab w:leader="none" w:pos="301"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They are part of a group of financial liabilities, which are managed and their performance is evaluated on a fair value basis, in accordance with a documented investment or risk management strategy; either</w:t>
      </w:r>
    </w:p>
    <w:p>
      <w:pPr>
        <w:ind w:left="301" w:hanging="301"/>
        <w:spacing w:after="0"/>
        <w:tabs>
          <w:tab w:leader="none" w:pos="301"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financial liability contains one or more embedded derivatives that significantly modify the otherwise required cash flows.</w:t>
      </w:r>
    </w:p>
    <w:p>
      <w:pPr>
        <w:spacing w:after="0" w:line="167" w:lineRule="exact"/>
        <w:rPr>
          <w:sz w:val="20"/>
          <w:szCs w:val="20"/>
          <w:color w:val="auto"/>
        </w:rPr>
      </w:pPr>
    </w:p>
    <w:p>
      <w:pPr>
        <w:ind w:left="161"/>
        <w:spacing w:after="0"/>
        <w:rPr>
          <w:sz w:val="20"/>
          <w:szCs w:val="20"/>
          <w:color w:val="auto"/>
        </w:rPr>
      </w:pPr>
      <w:r>
        <w:rPr>
          <w:rFonts w:ascii="Arial" w:cs="Arial" w:eastAsia="Arial" w:hAnsi="Arial"/>
          <w:sz w:val="16"/>
          <w:szCs w:val="16"/>
          <w:color w:val="auto"/>
        </w:rPr>
        <w:t>(iv)Reclassification of financial assets and liabilities –</w:t>
      </w:r>
    </w:p>
    <w:p>
      <w:pPr>
        <w:spacing w:after="0" w:line="183" w:lineRule="exact"/>
        <w:rPr>
          <w:sz w:val="20"/>
          <w:szCs w:val="20"/>
          <w:color w:val="auto"/>
        </w:rPr>
      </w:pPr>
    </w:p>
    <w:p>
      <w:pPr>
        <w:ind w:left="421" w:right="500"/>
        <w:spacing w:after="0" w:line="259" w:lineRule="auto"/>
        <w:rPr>
          <w:sz w:val="20"/>
          <w:szCs w:val="20"/>
          <w:color w:val="auto"/>
        </w:rPr>
      </w:pPr>
      <w:r>
        <w:rPr>
          <w:rFonts w:ascii="Arial" w:cs="Arial" w:eastAsia="Arial" w:hAnsi="Arial"/>
          <w:sz w:val="16"/>
          <w:szCs w:val="16"/>
          <w:color w:val="auto"/>
        </w:rPr>
        <w:t>The reclassification of financial assets will take place as long as the business model that manages financial assets changes. This change is expected to be very infrequent. These changes are determined by approval of the Group’s management as a result of external or internal changes, which must be significant for the Group’s operations and demonstrable to third parties. Financial liabilities are never reclassified.</w:t>
      </w:r>
    </w:p>
    <w:p>
      <w:pPr>
        <w:spacing w:after="0" w:line="137" w:lineRule="exact"/>
        <w:rPr>
          <w:sz w:val="20"/>
          <w:szCs w:val="20"/>
          <w:color w:val="auto"/>
        </w:rPr>
      </w:pPr>
    </w:p>
    <w:p>
      <w:pPr>
        <w:jc w:val="both"/>
        <w:ind w:left="421" w:right="300"/>
        <w:spacing w:after="0" w:line="280" w:lineRule="auto"/>
        <w:rPr>
          <w:sz w:val="20"/>
          <w:szCs w:val="20"/>
          <w:color w:val="auto"/>
        </w:rPr>
      </w:pPr>
      <w:r>
        <w:rPr>
          <w:rFonts w:ascii="Arial" w:cs="Arial" w:eastAsia="Arial" w:hAnsi="Arial"/>
          <w:sz w:val="16"/>
          <w:szCs w:val="16"/>
          <w:color w:val="auto"/>
        </w:rPr>
        <w:t>When the Group changes its business model for the management of financial assets, it will reclassify all affected financial assets prospectively from the reclassification date. The Group will not restate previously recognized gains, losses or interest (including impairment gains or losses).</w:t>
      </w:r>
    </w:p>
    <w:p>
      <w:pPr>
        <w:spacing w:after="0" w:line="120" w:lineRule="exact"/>
        <w:rPr>
          <w:sz w:val="20"/>
          <w:szCs w:val="20"/>
          <w:color w:val="auto"/>
        </w:rPr>
      </w:pPr>
    </w:p>
    <w:p>
      <w:pPr>
        <w:ind w:left="421"/>
        <w:spacing w:after="0"/>
        <w:rPr>
          <w:sz w:val="20"/>
          <w:szCs w:val="20"/>
          <w:color w:val="auto"/>
        </w:rPr>
      </w:pPr>
      <w:r>
        <w:rPr>
          <w:rFonts w:ascii="Arial" w:cs="Arial" w:eastAsia="Arial" w:hAnsi="Arial"/>
          <w:sz w:val="16"/>
          <w:szCs w:val="16"/>
          <w:color w:val="auto"/>
        </w:rPr>
        <w:t>If the Group reclassifies:</w:t>
      </w:r>
    </w:p>
    <w:p>
      <w:pPr>
        <w:spacing w:after="0" w:line="183" w:lineRule="exact"/>
        <w:rPr>
          <w:sz w:val="20"/>
          <w:szCs w:val="20"/>
          <w:color w:val="auto"/>
        </w:rPr>
      </w:pPr>
    </w:p>
    <w:p>
      <w:pPr>
        <w:jc w:val="both"/>
        <w:ind w:left="521" w:right="100" w:hanging="118"/>
        <w:spacing w:after="0" w:line="259" w:lineRule="auto"/>
        <w:tabs>
          <w:tab w:leader="none" w:pos="521"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financial asset from the amortized cost measurement category to that of fair value through profit or loss: its fair value will be measured on the reclassification date. Any gain or loss that arises due to differences between the previous amortized cost of the financial asset and the fair value will be recognized in the profit or loss of the period.</w:t>
      </w:r>
    </w:p>
    <w:p>
      <w:pPr>
        <w:spacing w:after="0" w:line="137" w:lineRule="exact"/>
        <w:rPr>
          <w:rFonts w:ascii="Arial" w:cs="Arial" w:eastAsia="Arial" w:hAnsi="Arial"/>
          <w:sz w:val="16"/>
          <w:szCs w:val="16"/>
          <w:color w:val="auto"/>
        </w:rPr>
      </w:pPr>
    </w:p>
    <w:p>
      <w:pPr>
        <w:ind w:left="521" w:right="960" w:hanging="118"/>
        <w:spacing w:after="0" w:line="280" w:lineRule="auto"/>
        <w:tabs>
          <w:tab w:leader="none" w:pos="521"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financial asset from the fair value through profit or loss measurement category to the amortized cost category: its fair value on the reclassification date becomes its new gross carrying amount.</w:t>
      </w:r>
    </w:p>
    <w:p>
      <w:pPr>
        <w:spacing w:after="0" w:line="120" w:lineRule="exact"/>
        <w:rPr>
          <w:rFonts w:ascii="Arial" w:cs="Arial" w:eastAsia="Arial" w:hAnsi="Arial"/>
          <w:sz w:val="16"/>
          <w:szCs w:val="16"/>
          <w:color w:val="auto"/>
        </w:rPr>
      </w:pPr>
    </w:p>
    <w:p>
      <w:pPr>
        <w:ind w:left="521" w:right="60" w:hanging="118"/>
        <w:spacing w:after="0" w:line="252" w:lineRule="auto"/>
        <w:tabs>
          <w:tab w:leader="none" w:pos="521"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financial asset from the amortized cost measurement category to that of fair value with changes in other comprehensive income: its fair value will be measured on the reclassification date. Any gain or loss that arises due to differences between the previous amortized cost of the financial asset and the fair value will be recognized in other comprehensive income. The effective interest rate and the measure of expected credit losses will not be adjusted as a result of the reclassification.</w:t>
      </w:r>
    </w:p>
    <w:p>
      <w:pPr>
        <w:spacing w:after="0" w:line="30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41275</wp:posOffset>
            </wp:positionV>
            <wp:extent cx="714565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41"/>
          </w:cols>
          <w:pgMar w:left="599" w:top="306" w:right="359" w:bottom="1440" w:gutter="0" w:footer="0" w:header="0"/>
        </w:sectPr>
      </w:pPr>
    </w:p>
    <w:bookmarkStart w:id="49" w:name="page50"/>
    <w:bookmarkEnd w:id="49"/>
    <w:p>
      <w:pPr>
        <w:ind w:left="802" w:hanging="118"/>
        <w:spacing w:after="0" w:line="249" w:lineRule="auto"/>
        <w:tabs>
          <w:tab w:leader="none" w:pos="802" w:val="left"/>
        </w:tabs>
        <w:numPr>
          <w:ilvl w:val="1"/>
          <w:numId w:val="63"/>
        </w:numPr>
        <w:rPr>
          <w:rFonts w:ascii="Arial" w:cs="Arial" w:eastAsia="Arial" w:hAnsi="Arial"/>
          <w:sz w:val="16"/>
          <w:szCs w:val="16"/>
          <w:color w:val="auto"/>
        </w:rPr>
      </w:pPr>
      <w:r>
        <w:rPr>
          <w:rFonts w:ascii="Arial" w:cs="Arial" w:eastAsia="Arial" w:hAnsi="Arial"/>
          <w:sz w:val="16"/>
          <w:szCs w:val="16"/>
          <w:color w:val="auto"/>
        </w:rPr>
        <w:t>A financial asset from the measurement category of fair value with changes in other comprehensive income to that of amortized cost, the financial asset will be reclassified at its fair value on the reclassification date. However, accumulated gains or losses previously recognized in other comprehensive income will be eliminated from equity and adjusted against the fair value of the financial asset on the reclassification date. As a result, the financial asset will be measured on the reclassification date as if it had always been measured at amortized cost. This adjustment affects the other comprehensive income but not the result for the period.</w:t>
      </w:r>
    </w:p>
    <w:p>
      <w:pPr>
        <w:spacing w:after="0" w:line="145" w:lineRule="exact"/>
        <w:rPr>
          <w:rFonts w:ascii="Arial" w:cs="Arial" w:eastAsia="Arial" w:hAnsi="Arial"/>
          <w:sz w:val="16"/>
          <w:szCs w:val="16"/>
          <w:color w:val="auto"/>
        </w:rPr>
      </w:pPr>
    </w:p>
    <w:p>
      <w:pPr>
        <w:ind w:left="802" w:right="540" w:hanging="118"/>
        <w:spacing w:after="0" w:line="280" w:lineRule="auto"/>
        <w:tabs>
          <w:tab w:leader="none" w:pos="802" w:val="left"/>
        </w:tabs>
        <w:numPr>
          <w:ilvl w:val="1"/>
          <w:numId w:val="63"/>
        </w:numPr>
        <w:rPr>
          <w:rFonts w:ascii="Arial" w:cs="Arial" w:eastAsia="Arial" w:hAnsi="Arial"/>
          <w:sz w:val="16"/>
          <w:szCs w:val="16"/>
          <w:color w:val="auto"/>
        </w:rPr>
      </w:pPr>
      <w:r>
        <w:rPr>
          <w:rFonts w:ascii="Arial" w:cs="Arial" w:eastAsia="Arial" w:hAnsi="Arial"/>
          <w:sz w:val="16"/>
          <w:szCs w:val="16"/>
          <w:color w:val="auto"/>
        </w:rPr>
        <w:t>A financial asset from the measurement category of fair value through profit or loss to fair value through other comprehensive income, the financial asset continues to be measured at fair value.</w:t>
      </w:r>
    </w:p>
    <w:p>
      <w:pPr>
        <w:spacing w:after="0" w:line="120" w:lineRule="exact"/>
        <w:rPr>
          <w:rFonts w:ascii="Arial" w:cs="Arial" w:eastAsia="Arial" w:hAnsi="Arial"/>
          <w:sz w:val="16"/>
          <w:szCs w:val="16"/>
          <w:color w:val="auto"/>
        </w:rPr>
      </w:pPr>
    </w:p>
    <w:p>
      <w:pPr>
        <w:ind w:left="802" w:right="40" w:hanging="118"/>
        <w:spacing w:after="0" w:line="280" w:lineRule="auto"/>
        <w:tabs>
          <w:tab w:leader="none" w:pos="802" w:val="left"/>
        </w:tabs>
        <w:numPr>
          <w:ilvl w:val="1"/>
          <w:numId w:val="63"/>
        </w:numPr>
        <w:rPr>
          <w:rFonts w:ascii="Arial" w:cs="Arial" w:eastAsia="Arial" w:hAnsi="Arial"/>
          <w:sz w:val="16"/>
          <w:szCs w:val="16"/>
          <w:color w:val="auto"/>
        </w:rPr>
      </w:pPr>
      <w:r>
        <w:rPr>
          <w:rFonts w:ascii="Arial" w:cs="Arial" w:eastAsia="Arial" w:hAnsi="Arial"/>
          <w:sz w:val="16"/>
          <w:szCs w:val="16"/>
          <w:color w:val="auto"/>
        </w:rPr>
        <w:t>A financial asset from the measurement category of fair value through other comprehensive income to that of fair value through profit or loss, the financial asset continues to be measured at fair value.</w:t>
      </w:r>
    </w:p>
    <w:p>
      <w:pPr>
        <w:spacing w:after="0" w:line="120" w:lineRule="exact"/>
        <w:rPr>
          <w:rFonts w:ascii="Arial" w:cs="Arial" w:eastAsia="Arial" w:hAnsi="Arial"/>
          <w:sz w:val="16"/>
          <w:szCs w:val="16"/>
          <w:color w:val="auto"/>
        </w:rPr>
      </w:pPr>
    </w:p>
    <w:p>
      <w:pPr>
        <w:ind w:left="802" w:hanging="118"/>
        <w:spacing w:after="0"/>
        <w:tabs>
          <w:tab w:leader="none" w:pos="802"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accumulated gain or loss previously recognized in other comprehensive income will be reclassified from equity to profit or loss for the period.</w:t>
      </w:r>
    </w:p>
    <w:p>
      <w:pPr>
        <w:spacing w:after="0" w:line="182" w:lineRule="exact"/>
        <w:rPr>
          <w:rFonts w:ascii="Arial" w:cs="Arial" w:eastAsia="Arial" w:hAnsi="Arial"/>
          <w:sz w:val="16"/>
          <w:szCs w:val="16"/>
          <w:color w:val="auto"/>
        </w:rPr>
      </w:pPr>
    </w:p>
    <w:p>
      <w:pPr>
        <w:ind w:left="282" w:right="7860" w:hanging="282"/>
        <w:spacing w:after="0" w:line="478" w:lineRule="auto"/>
        <w:tabs>
          <w:tab w:leader="none" w:pos="291" w:val="left"/>
        </w:tabs>
        <w:numPr>
          <w:ilvl w:val="0"/>
          <w:numId w:val="63"/>
        </w:numPr>
        <w:rPr>
          <w:rFonts w:ascii="Arial" w:cs="Arial" w:eastAsia="Arial" w:hAnsi="Arial"/>
          <w:sz w:val="16"/>
          <w:szCs w:val="16"/>
          <w:color w:val="auto"/>
        </w:rPr>
      </w:pPr>
      <w:r>
        <w:rPr>
          <w:rFonts w:ascii="Arial" w:cs="Arial" w:eastAsia="Arial" w:hAnsi="Arial"/>
          <w:sz w:val="16"/>
          <w:szCs w:val="16"/>
          <w:color w:val="auto"/>
        </w:rPr>
        <w:t>Disposal of financial assets and liabilities – Financial assets:</w:t>
      </w:r>
    </w:p>
    <w:p>
      <w:pPr>
        <w:ind w:left="282" w:right="60"/>
        <w:spacing w:after="0" w:line="249" w:lineRule="auto"/>
        <w:rPr>
          <w:rFonts w:ascii="Arial" w:cs="Arial" w:eastAsia="Arial" w:hAnsi="Arial"/>
          <w:sz w:val="16"/>
          <w:szCs w:val="16"/>
          <w:color w:val="auto"/>
        </w:rPr>
      </w:pPr>
      <w:r>
        <w:rPr>
          <w:rFonts w:ascii="Arial" w:cs="Arial" w:eastAsia="Arial" w:hAnsi="Arial"/>
          <w:sz w:val="16"/>
          <w:szCs w:val="16"/>
          <w:color w:val="auto"/>
        </w:rPr>
        <w:t>A financial asset (or, where applicable, a portion of a financial asset or a portion of a group of similar financial assets) is derecognized when: (i) the rights to receive cash flows from the asset have expired; or (ii) the Group has transferred its rights to receive cash flows from the asset or has assumed an obligation to pay the received cash flows in full immediately to a third party under a pass-through arrangement; and the Group has also transferred substantially all the risks and rewards of the asset, or has neither transferred nor retained substantially all the risks and rewards of the asset but has transferred control of the asset.</w:t>
      </w:r>
    </w:p>
    <w:p>
      <w:pPr>
        <w:spacing w:after="0" w:line="145" w:lineRule="exact"/>
        <w:rPr>
          <w:rFonts w:ascii="Arial" w:cs="Arial" w:eastAsia="Arial" w:hAnsi="Arial"/>
          <w:sz w:val="16"/>
          <w:szCs w:val="16"/>
          <w:color w:val="auto"/>
        </w:rPr>
      </w:pPr>
    </w:p>
    <w:p>
      <w:pPr>
        <w:jc w:val="both"/>
        <w:ind w:left="282" w:right="60"/>
        <w:spacing w:after="0" w:line="252" w:lineRule="auto"/>
        <w:rPr>
          <w:rFonts w:ascii="Arial" w:cs="Arial" w:eastAsia="Arial" w:hAnsi="Arial"/>
          <w:sz w:val="16"/>
          <w:szCs w:val="16"/>
          <w:color w:val="auto"/>
        </w:rPr>
      </w:pPr>
      <w:r>
        <w:rPr>
          <w:rFonts w:ascii="Arial" w:cs="Arial" w:eastAsia="Arial" w:hAnsi="Arial"/>
          <w:sz w:val="16"/>
          <w:szCs w:val="16"/>
          <w:color w:val="auto"/>
        </w:rPr>
        <w:t>When contractual rights to receive cash flows from the financial asset have been transferred, or a transfer agreement has been entered into, the Group assesses whether it has retained, and to what extent, the risks and benefits inherent in ownership of the asset. When the Group has neither transferred nor retained substantially all risks and benefits inherent in ownership of the asset, nor transferred control of the asset, the Group continues to recognize the transferred asset to the extent of its continued involvement with the asset.</w:t>
      </w:r>
    </w:p>
    <w:p>
      <w:pPr>
        <w:spacing w:after="0" w:line="143" w:lineRule="exact"/>
        <w:rPr>
          <w:rFonts w:ascii="Arial" w:cs="Arial" w:eastAsia="Arial" w:hAnsi="Arial"/>
          <w:sz w:val="16"/>
          <w:szCs w:val="16"/>
          <w:color w:val="auto"/>
        </w:rPr>
      </w:pPr>
    </w:p>
    <w:p>
      <w:pPr>
        <w:ind w:left="282" w:right="60"/>
        <w:spacing w:after="0" w:line="280" w:lineRule="auto"/>
        <w:rPr>
          <w:rFonts w:ascii="Arial" w:cs="Arial" w:eastAsia="Arial" w:hAnsi="Arial"/>
          <w:sz w:val="16"/>
          <w:szCs w:val="16"/>
          <w:color w:val="auto"/>
        </w:rPr>
      </w:pPr>
      <w:r>
        <w:rPr>
          <w:rFonts w:ascii="Arial" w:cs="Arial" w:eastAsia="Arial" w:hAnsi="Arial"/>
          <w:sz w:val="16"/>
          <w:szCs w:val="16"/>
          <w:color w:val="auto"/>
        </w:rPr>
        <w:t>In that case, the Group also recognizes the related liability. The transferred asset and related liability are measured in such a way as to reflect the rights and obligations that the Group has retained.</w:t>
      </w:r>
    </w:p>
    <w:p>
      <w:pPr>
        <w:spacing w:after="0" w:line="120" w:lineRule="exact"/>
        <w:rPr>
          <w:rFonts w:ascii="Arial" w:cs="Arial" w:eastAsia="Arial" w:hAnsi="Arial"/>
          <w:sz w:val="16"/>
          <w:szCs w:val="16"/>
          <w:color w:val="auto"/>
        </w:rPr>
      </w:pPr>
    </w:p>
    <w:p>
      <w:pPr>
        <w:ind w:left="282" w:right="20"/>
        <w:spacing w:after="0" w:line="280" w:lineRule="auto"/>
        <w:rPr>
          <w:rFonts w:ascii="Arial" w:cs="Arial" w:eastAsia="Arial" w:hAnsi="Arial"/>
          <w:sz w:val="16"/>
          <w:szCs w:val="16"/>
          <w:color w:val="auto"/>
        </w:rPr>
      </w:pPr>
      <w:r>
        <w:rPr>
          <w:rFonts w:ascii="Arial" w:cs="Arial" w:eastAsia="Arial" w:hAnsi="Arial"/>
          <w:sz w:val="16"/>
          <w:szCs w:val="16"/>
          <w:color w:val="auto"/>
        </w:rPr>
        <w:t>Continued involvement in the form of a guarantee over the transferred asset is measured as the lower of (i) the carrying amount of the asset, and (ii) the maximum consideration received that the Group would be required to repay.</w:t>
      </w:r>
    </w:p>
    <w:p>
      <w:pPr>
        <w:spacing w:after="0" w:line="120" w:lineRule="exact"/>
        <w:rPr>
          <w:rFonts w:ascii="Arial" w:cs="Arial" w:eastAsia="Arial" w:hAnsi="Arial"/>
          <w:sz w:val="16"/>
          <w:szCs w:val="16"/>
          <w:color w:val="auto"/>
        </w:rPr>
      </w:pPr>
    </w:p>
    <w:p>
      <w:pPr>
        <w:ind w:left="282"/>
        <w:spacing w:after="0"/>
        <w:rPr>
          <w:rFonts w:ascii="Arial" w:cs="Arial" w:eastAsia="Arial" w:hAnsi="Arial"/>
          <w:sz w:val="16"/>
          <w:szCs w:val="16"/>
          <w:color w:val="auto"/>
        </w:rPr>
      </w:pPr>
      <w:r>
        <w:rPr>
          <w:rFonts w:ascii="Arial" w:cs="Arial" w:eastAsia="Arial" w:hAnsi="Arial"/>
          <w:sz w:val="16"/>
          <w:szCs w:val="16"/>
          <w:color w:val="auto"/>
        </w:rPr>
        <w:t>Financial liabilities:</w:t>
      </w:r>
    </w:p>
    <w:p>
      <w:pPr>
        <w:spacing w:after="0" w:line="182" w:lineRule="exact"/>
        <w:rPr>
          <w:rFonts w:ascii="Arial" w:cs="Arial" w:eastAsia="Arial" w:hAnsi="Arial"/>
          <w:sz w:val="16"/>
          <w:szCs w:val="16"/>
          <w:color w:val="auto"/>
        </w:rPr>
      </w:pPr>
    </w:p>
    <w:p>
      <w:pPr>
        <w:ind w:left="282" w:right="180"/>
        <w:spacing w:after="0" w:line="252" w:lineRule="auto"/>
        <w:rPr>
          <w:rFonts w:ascii="Arial" w:cs="Arial" w:eastAsia="Arial" w:hAnsi="Arial"/>
          <w:sz w:val="16"/>
          <w:szCs w:val="16"/>
          <w:color w:val="auto"/>
        </w:rPr>
      </w:pPr>
      <w:r>
        <w:rPr>
          <w:rFonts w:ascii="Arial" w:cs="Arial" w:eastAsia="Arial" w:hAnsi="Arial"/>
          <w:sz w:val="16"/>
          <w:szCs w:val="16"/>
          <w:color w:val="auto"/>
        </w:rPr>
        <w:t>A financial liability is derecognized when the obligation to pay is discharged, cancelled, or expires. When an existing financial liability is exchanged for another from the same borrower under significantly different terms (fails the 10% test established in IFRS 9), or the terms are substantially modified, such exchange or modification is treated as a derecognition of the original liability and a new liability is recognized, with the difference between the carrying amount of the initial financial liability and the consideration paid recognized in the consolidated statement of comprehensive income.</w:t>
      </w:r>
    </w:p>
    <w:p>
      <w:pPr>
        <w:spacing w:after="0" w:line="302"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2"/>
          </w:cols>
          <w:pgMar w:left="318" w:top="306" w:right="359" w:bottom="1440" w:gutter="0" w:footer="0" w:header="0"/>
        </w:sectPr>
      </w:pPr>
    </w:p>
    <w:bookmarkStart w:id="50" w:name="page51"/>
    <w:bookmarkEnd w:id="50"/>
    <w:p>
      <w:pPr>
        <w:ind w:left="302" w:hanging="302"/>
        <w:spacing w:after="0"/>
        <w:tabs>
          <w:tab w:leader="none" w:pos="302" w:val="left"/>
        </w:tabs>
        <w:numPr>
          <w:ilvl w:val="0"/>
          <w:numId w:val="64"/>
        </w:numPr>
        <w:rPr>
          <w:rFonts w:ascii="Arial" w:cs="Arial" w:eastAsia="Arial" w:hAnsi="Arial"/>
          <w:sz w:val="16"/>
          <w:szCs w:val="16"/>
          <w:color w:val="auto"/>
        </w:rPr>
      </w:pPr>
      <w:r>
        <w:rPr>
          <w:rFonts w:ascii="Arial" w:cs="Arial" w:eastAsia="Arial" w:hAnsi="Arial"/>
          <w:sz w:val="16"/>
          <w:szCs w:val="16"/>
          <w:color w:val="auto"/>
        </w:rPr>
        <w:t>Offsetting financial instruments -</w:t>
      </w:r>
    </w:p>
    <w:p>
      <w:pPr>
        <w:spacing w:after="0" w:line="182" w:lineRule="exact"/>
        <w:rPr>
          <w:rFonts w:ascii="Arial" w:cs="Arial" w:eastAsia="Arial" w:hAnsi="Arial"/>
          <w:sz w:val="16"/>
          <w:szCs w:val="16"/>
          <w:color w:val="auto"/>
        </w:rPr>
      </w:pPr>
    </w:p>
    <w:p>
      <w:pPr>
        <w:ind w:left="282" w:right="160"/>
        <w:spacing w:after="0" w:line="280" w:lineRule="auto"/>
        <w:rPr>
          <w:rFonts w:ascii="Arial" w:cs="Arial" w:eastAsia="Arial" w:hAnsi="Arial"/>
          <w:sz w:val="16"/>
          <w:szCs w:val="16"/>
          <w:color w:val="auto"/>
        </w:rPr>
      </w:pPr>
      <w:r>
        <w:rPr>
          <w:rFonts w:ascii="Arial" w:cs="Arial" w:eastAsia="Arial" w:hAnsi="Arial"/>
          <w:sz w:val="16"/>
          <w:szCs w:val="16"/>
          <w:color w:val="auto"/>
        </w:rPr>
        <w:t>Financial assets and liabilities are offset and the net amount is presented in the consolidated statement of financial position when there is a legally enforceable right to offset them and the Management intends to settle them on a net basis or to realize the asset and settle the liability simultaneously.</w:t>
      </w:r>
    </w:p>
    <w:p>
      <w:pPr>
        <w:spacing w:after="0" w:line="120" w:lineRule="exact"/>
        <w:rPr>
          <w:rFonts w:ascii="Arial" w:cs="Arial" w:eastAsia="Arial" w:hAnsi="Arial"/>
          <w:sz w:val="16"/>
          <w:szCs w:val="16"/>
          <w:color w:val="auto"/>
        </w:rPr>
      </w:pPr>
    </w:p>
    <w:p>
      <w:pPr>
        <w:ind w:left="302" w:hanging="302"/>
        <w:spacing w:after="0"/>
        <w:tabs>
          <w:tab w:leader="none" w:pos="302" w:val="left"/>
        </w:tabs>
        <w:numPr>
          <w:ilvl w:val="0"/>
          <w:numId w:val="64"/>
        </w:numPr>
        <w:rPr>
          <w:rFonts w:ascii="Arial" w:cs="Arial" w:eastAsia="Arial" w:hAnsi="Arial"/>
          <w:sz w:val="16"/>
          <w:szCs w:val="16"/>
          <w:color w:val="auto"/>
        </w:rPr>
      </w:pPr>
      <w:r>
        <w:rPr>
          <w:rFonts w:ascii="Arial" w:cs="Arial" w:eastAsia="Arial" w:hAnsi="Arial"/>
          <w:sz w:val="16"/>
          <w:szCs w:val="16"/>
          <w:color w:val="auto"/>
        </w:rPr>
        <w:t>Impairment of financial assets -</w:t>
      </w:r>
    </w:p>
    <w:p>
      <w:pPr>
        <w:spacing w:after="0" w:line="182" w:lineRule="exact"/>
        <w:rPr>
          <w:rFonts w:ascii="Arial" w:cs="Arial" w:eastAsia="Arial" w:hAnsi="Arial"/>
          <w:sz w:val="16"/>
          <w:szCs w:val="16"/>
          <w:color w:val="auto"/>
        </w:rPr>
      </w:pPr>
    </w:p>
    <w:p>
      <w:pPr>
        <w:ind w:left="282" w:right="440"/>
        <w:spacing w:after="0" w:line="280" w:lineRule="auto"/>
        <w:rPr>
          <w:rFonts w:ascii="Arial" w:cs="Arial" w:eastAsia="Arial" w:hAnsi="Arial"/>
          <w:sz w:val="16"/>
          <w:szCs w:val="16"/>
          <w:color w:val="auto"/>
        </w:rPr>
      </w:pPr>
      <w:r>
        <w:rPr>
          <w:rFonts w:ascii="Arial" w:cs="Arial" w:eastAsia="Arial" w:hAnsi="Arial"/>
          <w:sz w:val="16"/>
          <w:szCs w:val="16"/>
          <w:color w:val="auto"/>
        </w:rPr>
        <w:t>As of December 31, 2023, and December 31, 2022, the Group applies a three-stage approach to measure the provision for credit losses, using an expected credit loss impairment model as set out in IFRS 9, for the following categories:</w:t>
      </w:r>
    </w:p>
    <w:p>
      <w:pPr>
        <w:spacing w:after="0" w:line="120" w:lineRule="exact"/>
        <w:rPr>
          <w:rFonts w:ascii="Arial" w:cs="Arial" w:eastAsia="Arial" w:hAnsi="Arial"/>
          <w:sz w:val="16"/>
          <w:szCs w:val="16"/>
          <w:color w:val="auto"/>
        </w:rPr>
      </w:pPr>
    </w:p>
    <w:p>
      <w:pPr>
        <w:ind w:left="582" w:hanging="240"/>
        <w:spacing w:after="0"/>
        <w:tabs>
          <w:tab w:leader="none" w:pos="582" w:val="left"/>
        </w:tabs>
        <w:numPr>
          <w:ilvl w:val="1"/>
          <w:numId w:val="64"/>
        </w:numPr>
        <w:rPr>
          <w:rFonts w:ascii="Arial" w:cs="Arial" w:eastAsia="Arial" w:hAnsi="Arial"/>
          <w:sz w:val="16"/>
          <w:szCs w:val="16"/>
          <w:color w:val="auto"/>
        </w:rPr>
      </w:pPr>
      <w:r>
        <w:rPr>
          <w:rFonts w:ascii="Arial" w:cs="Arial" w:eastAsia="Arial" w:hAnsi="Arial"/>
          <w:sz w:val="16"/>
          <w:szCs w:val="16"/>
          <w:color w:val="auto"/>
        </w:rPr>
        <w:t>Financial assets at amortized cost.</w:t>
      </w:r>
    </w:p>
    <w:p>
      <w:pPr>
        <w:spacing w:after="0" w:line="15" w:lineRule="exact"/>
        <w:rPr>
          <w:rFonts w:ascii="Arial" w:cs="Arial" w:eastAsia="Arial" w:hAnsi="Arial"/>
          <w:sz w:val="16"/>
          <w:szCs w:val="16"/>
          <w:color w:val="auto"/>
        </w:rPr>
      </w:pPr>
    </w:p>
    <w:p>
      <w:pPr>
        <w:ind w:left="582" w:hanging="240"/>
        <w:spacing w:after="0"/>
        <w:tabs>
          <w:tab w:leader="none" w:pos="582"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Debt instruments classified as investments at fair value through other comprehensive income.</w:t>
      </w:r>
    </w:p>
    <w:p>
      <w:pPr>
        <w:ind w:left="582" w:hanging="240"/>
        <w:spacing w:after="0"/>
        <w:tabs>
          <w:tab w:leader="none" w:pos="582" w:val="left"/>
        </w:tabs>
        <w:numPr>
          <w:ilvl w:val="1"/>
          <w:numId w:val="64"/>
        </w:numPr>
        <w:rPr>
          <w:rFonts w:ascii="Arial" w:cs="Arial" w:eastAsia="Arial" w:hAnsi="Arial"/>
          <w:sz w:val="16"/>
          <w:szCs w:val="16"/>
          <w:color w:val="auto"/>
        </w:rPr>
      </w:pPr>
      <w:r>
        <w:rPr>
          <w:rFonts w:ascii="Arial" w:cs="Arial" w:eastAsia="Arial" w:hAnsi="Arial"/>
          <w:sz w:val="16"/>
          <w:szCs w:val="16"/>
          <w:color w:val="auto"/>
        </w:rPr>
        <w:t>Indirect loans presented in contingent accounts.</w:t>
      </w:r>
    </w:p>
    <w:p>
      <w:pPr>
        <w:spacing w:after="0" w:line="167" w:lineRule="exact"/>
        <w:rPr>
          <w:sz w:val="20"/>
          <w:szCs w:val="20"/>
          <w:color w:val="auto"/>
        </w:rPr>
      </w:pPr>
    </w:p>
    <w:p>
      <w:pPr>
        <w:ind w:left="282" w:right="60"/>
        <w:spacing w:after="0" w:line="280" w:lineRule="auto"/>
        <w:rPr>
          <w:sz w:val="20"/>
          <w:szCs w:val="20"/>
          <w:color w:val="auto"/>
        </w:rPr>
      </w:pPr>
      <w:r>
        <w:rPr>
          <w:rFonts w:ascii="Arial" w:cs="Arial" w:eastAsia="Arial" w:hAnsi="Arial"/>
          <w:sz w:val="16"/>
          <w:szCs w:val="16"/>
          <w:color w:val="auto"/>
        </w:rPr>
        <w:t>Financial assets classified or designated at fair value through profit or loss and equity instruments designated at fair value through other comprehensive income are not subject to impairment assessment.</w:t>
      </w:r>
    </w:p>
    <w:p>
      <w:pPr>
        <w:spacing w:after="0" w:line="120" w:lineRule="exact"/>
        <w:rPr>
          <w:sz w:val="20"/>
          <w:szCs w:val="20"/>
          <w:color w:val="auto"/>
        </w:rPr>
      </w:pPr>
    </w:p>
    <w:p>
      <w:pPr>
        <w:ind w:left="282"/>
        <w:spacing w:after="0"/>
        <w:rPr>
          <w:sz w:val="20"/>
          <w:szCs w:val="20"/>
          <w:color w:val="auto"/>
        </w:rPr>
      </w:pPr>
      <w:r>
        <w:rPr>
          <w:rFonts w:ascii="Arial" w:cs="Arial" w:eastAsia="Arial" w:hAnsi="Arial"/>
          <w:sz w:val="16"/>
          <w:szCs w:val="16"/>
          <w:color w:val="auto"/>
        </w:rPr>
        <w:t>Financial assets migrate through three stages based on changes in credit risk from initial recognition.</w:t>
      </w:r>
    </w:p>
    <w:p>
      <w:pPr>
        <w:spacing w:after="0" w:line="183" w:lineRule="exact"/>
        <w:rPr>
          <w:sz w:val="20"/>
          <w:szCs w:val="20"/>
          <w:color w:val="auto"/>
        </w:rPr>
      </w:pPr>
    </w:p>
    <w:p>
      <w:pPr>
        <w:ind w:left="282"/>
        <w:spacing w:after="0"/>
        <w:rPr>
          <w:sz w:val="20"/>
          <w:szCs w:val="20"/>
          <w:color w:val="auto"/>
        </w:rPr>
      </w:pPr>
      <w:r>
        <w:rPr>
          <w:rFonts w:ascii="Arial" w:cs="Arial" w:eastAsia="Arial" w:hAnsi="Arial"/>
          <w:sz w:val="16"/>
          <w:szCs w:val="16"/>
          <w:color w:val="auto"/>
        </w:rPr>
        <w:t>Expected credit loss impairment model –</w:t>
      </w:r>
    </w:p>
    <w:p>
      <w:pPr>
        <w:spacing w:after="0" w:line="183" w:lineRule="exact"/>
        <w:rPr>
          <w:sz w:val="20"/>
          <w:szCs w:val="20"/>
          <w:color w:val="auto"/>
        </w:rPr>
      </w:pPr>
    </w:p>
    <w:p>
      <w:pPr>
        <w:ind w:left="282" w:right="180"/>
        <w:spacing w:after="0" w:line="252" w:lineRule="auto"/>
        <w:rPr>
          <w:sz w:val="20"/>
          <w:szCs w:val="20"/>
          <w:color w:val="auto"/>
        </w:rPr>
      </w:pPr>
      <w:r>
        <w:rPr>
          <w:rFonts w:ascii="Arial" w:cs="Arial" w:eastAsia="Arial" w:hAnsi="Arial"/>
          <w:sz w:val="16"/>
          <w:szCs w:val="16"/>
          <w:color w:val="auto"/>
        </w:rPr>
        <w:t>Calculat</w:t>
      </w:r>
      <w:r>
        <w:rPr>
          <w:rFonts w:ascii="Arial" w:cs="Arial" w:eastAsia="Arial" w:hAnsi="Arial"/>
          <w:sz w:val="16"/>
          <w:szCs w:val="16"/>
          <w:color w:val="0D0D0D"/>
        </w:rPr>
        <w:t>ions of credit losses result from models with a series of underlying assumptions regarding the choice of variable inputs and their</w:t>
      </w:r>
      <w:r>
        <w:rPr>
          <w:rFonts w:ascii="Arial" w:cs="Arial" w:eastAsia="Arial" w:hAnsi="Arial"/>
          <w:sz w:val="16"/>
          <w:szCs w:val="16"/>
          <w:color w:val="auto"/>
        </w:rPr>
        <w:t xml:space="preserve"> </w:t>
      </w:r>
      <w:r>
        <w:rPr>
          <w:rFonts w:ascii="Arial" w:cs="Arial" w:eastAsia="Arial" w:hAnsi="Arial"/>
          <w:sz w:val="16"/>
          <w:szCs w:val="16"/>
          <w:color w:val="0D0D0D"/>
        </w:rPr>
        <w:t>interdependencies. The expected credit loss impairment model reflects the present value of all cash shortfall events related to default events, either (i) over the following twelve months or (ii) over the expected life of a financial instrument depending on credit impairment from inception. Expected credit loss reflects a probability-weighted outcome considering a range of multiple outcomes based on reasonable and supported forecasts.</w:t>
      </w:r>
    </w:p>
    <w:p>
      <w:pPr>
        <w:spacing w:after="0" w:line="144" w:lineRule="exact"/>
        <w:rPr>
          <w:sz w:val="20"/>
          <w:szCs w:val="20"/>
          <w:color w:val="auto"/>
        </w:rPr>
      </w:pPr>
    </w:p>
    <w:p>
      <w:pPr>
        <w:ind w:left="282" w:right="300"/>
        <w:spacing w:after="0" w:line="280" w:lineRule="auto"/>
        <w:rPr>
          <w:sz w:val="20"/>
          <w:szCs w:val="20"/>
          <w:color w:val="auto"/>
        </w:rPr>
      </w:pPr>
      <w:r>
        <w:rPr>
          <w:rFonts w:ascii="Arial" w:cs="Arial" w:eastAsia="Arial" w:hAnsi="Arial"/>
          <w:sz w:val="16"/>
          <w:szCs w:val="16"/>
          <w:color w:val="auto"/>
        </w:rPr>
        <w:t>Provisio</w:t>
      </w:r>
      <w:r>
        <w:rPr>
          <w:rFonts w:ascii="Arial" w:cs="Arial" w:eastAsia="Arial" w:hAnsi="Arial"/>
          <w:sz w:val="16"/>
          <w:szCs w:val="16"/>
          <w:color w:val="0D0D0D"/>
        </w:rPr>
        <w:t>ns for credit losses will be measured at each reporting date following a three-stage expected credit loss model based on the degree of credit</w:t>
      </w:r>
      <w:r>
        <w:rPr>
          <w:rFonts w:ascii="Arial" w:cs="Arial" w:eastAsia="Arial" w:hAnsi="Arial"/>
          <w:sz w:val="16"/>
          <w:szCs w:val="16"/>
          <w:color w:val="auto"/>
        </w:rPr>
        <w:t xml:space="preserve"> </w:t>
      </w:r>
      <w:r>
        <w:rPr>
          <w:rFonts w:ascii="Arial" w:cs="Arial" w:eastAsia="Arial" w:hAnsi="Arial"/>
          <w:sz w:val="16"/>
          <w:szCs w:val="16"/>
          <w:color w:val="0D0D0D"/>
        </w:rPr>
        <w:t>deterioration from inception:</w:t>
      </w:r>
    </w:p>
    <w:p>
      <w:pPr>
        <w:spacing w:after="0" w:line="120" w:lineRule="exact"/>
        <w:rPr>
          <w:sz w:val="20"/>
          <w:szCs w:val="20"/>
          <w:color w:val="auto"/>
        </w:rPr>
      </w:pPr>
    </w:p>
    <w:p>
      <w:pPr>
        <w:ind w:left="442" w:right="40" w:hanging="100"/>
        <w:spacing w:after="0" w:line="246" w:lineRule="auto"/>
        <w:tabs>
          <w:tab w:leader="none" w:pos="442" w:val="left"/>
        </w:tabs>
        <w:numPr>
          <w:ilvl w:val="0"/>
          <w:numId w:val="65"/>
        </w:numPr>
        <w:rPr>
          <w:rFonts w:ascii="Arial" w:cs="Arial" w:eastAsia="Arial" w:hAnsi="Arial"/>
          <w:sz w:val="16"/>
          <w:szCs w:val="16"/>
          <w:color w:val="0D0D0D"/>
        </w:rPr>
      </w:pPr>
      <w:r>
        <w:rPr>
          <w:rFonts w:ascii="Arial" w:cs="Arial" w:eastAsia="Arial" w:hAnsi="Arial"/>
          <w:sz w:val="16"/>
          <w:szCs w:val="16"/>
          <w:color w:val="auto"/>
        </w:rPr>
        <w:t>Phase 1</w:t>
      </w:r>
      <w:r>
        <w:rPr>
          <w:rFonts w:ascii="Arial" w:cs="Arial" w:eastAsia="Arial" w:hAnsi="Arial"/>
          <w:sz w:val="16"/>
          <w:szCs w:val="16"/>
          <w:color w:val="0D0D0D"/>
        </w:rPr>
        <w:t>: Financial assets whose credit risk has not increased significantly since initial recognition will recognize a reserve for losses equivalent to the</w:t>
      </w:r>
      <w:r>
        <w:rPr>
          <w:rFonts w:ascii="Arial" w:cs="Arial" w:eastAsia="Arial" w:hAnsi="Arial"/>
          <w:sz w:val="16"/>
          <w:szCs w:val="16"/>
          <w:color w:val="auto"/>
        </w:rPr>
        <w:t xml:space="preserve"> </w:t>
      </w:r>
      <w:r>
        <w:rPr>
          <w:rFonts w:ascii="Arial" w:cs="Arial" w:eastAsia="Arial" w:hAnsi="Arial"/>
          <w:sz w:val="16"/>
          <w:szCs w:val="16"/>
          <w:color w:val="0D0D0D"/>
        </w:rPr>
        <w:t>credit losses expected to occur from defaults in the next 12 months. For instruments with a maturity of less than 12 months, a default probability corresponding to the remaining term to maturity is used.</w:t>
      </w:r>
    </w:p>
    <w:p>
      <w:pPr>
        <w:ind w:left="442" w:hanging="100"/>
        <w:spacing w:after="0" w:line="239" w:lineRule="auto"/>
        <w:tabs>
          <w:tab w:leader="none" w:pos="442" w:val="left"/>
        </w:tabs>
        <w:numPr>
          <w:ilvl w:val="0"/>
          <w:numId w:val="65"/>
        </w:numPr>
        <w:rPr>
          <w:rFonts w:ascii="Arial" w:cs="Arial" w:eastAsia="Arial" w:hAnsi="Arial"/>
          <w:sz w:val="16"/>
          <w:szCs w:val="16"/>
          <w:color w:val="auto"/>
        </w:rPr>
      </w:pPr>
      <w:r>
        <w:rPr>
          <w:rFonts w:ascii="Arial" w:cs="Arial" w:eastAsia="Arial" w:hAnsi="Arial"/>
          <w:sz w:val="16"/>
          <w:szCs w:val="16"/>
          <w:color w:val="auto"/>
        </w:rPr>
        <w:t>Phase 2: Financial assets that have experienced a significant increase in credit risk compared to initial recognition but are not considered impaired will recognize a loss reserve equivalent to the expected credit losses that are expected to occur during the remaining life of the asset.</w:t>
      </w:r>
    </w:p>
    <w:p>
      <w:pPr>
        <w:ind w:left="442" w:right="200" w:hanging="100"/>
        <w:spacing w:after="0" w:line="259" w:lineRule="auto"/>
        <w:tabs>
          <w:tab w:leader="none" w:pos="442" w:val="left"/>
        </w:tabs>
        <w:numPr>
          <w:ilvl w:val="0"/>
          <w:numId w:val="65"/>
        </w:numPr>
        <w:rPr>
          <w:rFonts w:ascii="Arial" w:cs="Arial" w:eastAsia="Arial" w:hAnsi="Arial"/>
          <w:sz w:val="16"/>
          <w:szCs w:val="16"/>
          <w:color w:val="auto"/>
        </w:rPr>
      </w:pPr>
      <w:r>
        <w:rPr>
          <w:rFonts w:ascii="Arial" w:cs="Arial" w:eastAsia="Arial" w:hAnsi="Arial"/>
          <w:sz w:val="16"/>
          <w:szCs w:val="16"/>
          <w:color w:val="auto"/>
        </w:rPr>
        <w:t>Phase 3: Financial assets with credit impairment at the reporting date will recognize a loss reserve equivalent to the expected credit losses over the entire life of the asset. Interest income will be recognized based on the carrying amount of the asset, net of the credit loss provision.</w:t>
      </w:r>
    </w:p>
    <w:p>
      <w:pPr>
        <w:spacing w:after="0" w:line="137" w:lineRule="exact"/>
        <w:rPr>
          <w:sz w:val="20"/>
          <w:szCs w:val="20"/>
          <w:color w:val="auto"/>
        </w:rPr>
      </w:pPr>
    </w:p>
    <w:p>
      <w:pPr>
        <w:ind w:left="282"/>
        <w:spacing w:after="0"/>
        <w:rPr>
          <w:sz w:val="20"/>
          <w:szCs w:val="20"/>
          <w:color w:val="auto"/>
        </w:rPr>
      </w:pPr>
      <w:r>
        <w:rPr>
          <w:rFonts w:ascii="Arial" w:cs="Arial" w:eastAsia="Arial" w:hAnsi="Arial"/>
          <w:sz w:val="16"/>
          <w:szCs w:val="16"/>
          <w:color w:val="auto"/>
        </w:rPr>
        <w:t>Measurement of expected loss –</w:t>
      </w:r>
    </w:p>
    <w:p>
      <w:pPr>
        <w:spacing w:after="0" w:line="183" w:lineRule="exact"/>
        <w:rPr>
          <w:sz w:val="20"/>
          <w:szCs w:val="20"/>
          <w:color w:val="auto"/>
        </w:rPr>
      </w:pPr>
    </w:p>
    <w:p>
      <w:pPr>
        <w:jc w:val="both"/>
        <w:ind w:left="282" w:right="500"/>
        <w:spacing w:after="0" w:line="259" w:lineRule="auto"/>
        <w:rPr>
          <w:sz w:val="20"/>
          <w:szCs w:val="20"/>
          <w:color w:val="auto"/>
        </w:rPr>
      </w:pPr>
      <w:r>
        <w:rPr>
          <w:rFonts w:ascii="Arial" w:cs="Arial" w:eastAsia="Arial" w:hAnsi="Arial"/>
          <w:sz w:val="16"/>
          <w:szCs w:val="16"/>
          <w:color w:val="auto"/>
        </w:rPr>
        <w:t>The measurement of expected credit loss is primarily based on the product of the probability of default (PD), the loss given default (LGD), and the exposure at default (EAD), discounted to the reporting date and considering expected macroeconomic effects and all in accordance with the new regulations.</w:t>
      </w:r>
    </w:p>
    <w:p>
      <w:pPr>
        <w:spacing w:after="0" w:line="296"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306"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The details of these statistical parameters are as follows:</w:t>
      </w:r>
    </w:p>
    <w:p>
      <w:pPr>
        <w:spacing w:after="0" w:line="183" w:lineRule="exact"/>
        <w:rPr>
          <w:sz w:val="20"/>
          <w:szCs w:val="20"/>
          <w:color w:val="auto"/>
        </w:rPr>
      </w:pPr>
    </w:p>
    <w:p>
      <w:pPr>
        <w:ind w:left="160" w:right="360" w:hanging="100"/>
        <w:spacing w:after="0" w:line="280" w:lineRule="auto"/>
        <w:tabs>
          <w:tab w:leader="none" w:pos="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PD: It is an estimate of the probability of default over a specified time horizon. Default can only occur at a given point in time during the estimated remaining life, provided the financial asset has not been derecognized previously and still remains in the portfolio.</w:t>
      </w:r>
    </w:p>
    <w:p>
      <w:pPr>
        <w:spacing w:after="0" w:line="120" w:lineRule="exact"/>
        <w:rPr>
          <w:rFonts w:ascii="Arial" w:cs="Arial" w:eastAsia="Arial" w:hAnsi="Arial"/>
          <w:sz w:val="16"/>
          <w:szCs w:val="16"/>
          <w:color w:val="auto"/>
        </w:rPr>
      </w:pPr>
    </w:p>
    <w:p>
      <w:pPr>
        <w:ind w:left="160" w:right="200" w:hanging="100"/>
        <w:spacing w:after="0" w:line="259" w:lineRule="auto"/>
        <w:tabs>
          <w:tab w:leader="none" w:pos="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LGD: It is an estimate of the loss that occurs in the event of default at a given point in time. It is based on the difference between contractual cash flows owed and those the lender would expect to receive, including from the realization of any collateral. It is typically expressed as a percentage of the EAD.</w:t>
      </w:r>
    </w:p>
    <w:p>
      <w:pPr>
        <w:spacing w:after="0" w:line="137" w:lineRule="exact"/>
        <w:rPr>
          <w:rFonts w:ascii="Arial" w:cs="Arial" w:eastAsia="Arial" w:hAnsi="Arial"/>
          <w:sz w:val="16"/>
          <w:szCs w:val="16"/>
          <w:color w:val="auto"/>
        </w:rPr>
      </w:pPr>
    </w:p>
    <w:p>
      <w:pPr>
        <w:ind w:left="160" w:right="520" w:hanging="100"/>
        <w:spacing w:after="0" w:line="280" w:lineRule="auto"/>
        <w:tabs>
          <w:tab w:leader="none" w:pos="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EAD: It is an estimate of exposure at a future default date, taking into account expected changes in exposure after the reporting date, including principal and interest repayments, either scheduled by contract or otherwise, and interest accrued for overdue payments.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fundamental difference between credit loss considered in Phase 1 and Phase 2 is the PD horizon. Phase 1 estimates use a 12-month horizon, while those in Phase 2 use an expected loss calculated with the remaining term of the asset and consider the effect of significant risk increase. Finally, in Phase 3, the expected loss will be estimated based on the best estimate (“ELBE”), given the status of the collection process for each asset.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Changes from one phase to another –</w:t>
      </w:r>
    </w:p>
    <w:p>
      <w:pPr>
        <w:spacing w:after="0" w:line="183"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classification of an instrument as phase 1 or phase 2 depends on the concept of “significant increase in credit risk” on the reporting date compared to the origination date; in this sense, the definition used considers the following criteria:</w:t>
      </w:r>
    </w:p>
    <w:p>
      <w:pPr>
        <w:spacing w:after="0" w:line="120" w:lineRule="exact"/>
        <w:rPr>
          <w:sz w:val="20"/>
          <w:szCs w:val="20"/>
          <w:color w:val="auto"/>
        </w:rPr>
      </w:pPr>
    </w:p>
    <w:p>
      <w:pPr>
        <w:ind w:left="280" w:hanging="220"/>
        <w:spacing w:after="0"/>
        <w:tabs>
          <w:tab w:leader="none" w:pos="2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it is more than 30 days late.</w:t>
      </w:r>
    </w:p>
    <w:p>
      <w:pPr>
        <w:spacing w:after="0" w:line="182" w:lineRule="exact"/>
        <w:rPr>
          <w:rFonts w:ascii="Arial" w:cs="Arial" w:eastAsia="Arial" w:hAnsi="Arial"/>
          <w:sz w:val="16"/>
          <w:szCs w:val="16"/>
          <w:color w:val="auto"/>
        </w:rPr>
      </w:pPr>
    </w:p>
    <w:p>
      <w:pPr>
        <w:ind w:left="280" w:hanging="220"/>
        <w:spacing w:after="0"/>
        <w:tabs>
          <w:tab w:leader="none" w:pos="2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the probability of default (“PD”) at the reporting date exceeds the PD at the origination date by 50% (absolute thresholds) in all portfolios.</w:t>
      </w:r>
    </w:p>
    <w:p>
      <w:pPr>
        <w:spacing w:after="0" w:line="182" w:lineRule="exact"/>
        <w:rPr>
          <w:rFonts w:ascii="Arial" w:cs="Arial" w:eastAsia="Arial" w:hAnsi="Arial"/>
          <w:sz w:val="16"/>
          <w:szCs w:val="16"/>
          <w:color w:val="auto"/>
        </w:rPr>
      </w:pPr>
    </w:p>
    <w:p>
      <w:pPr>
        <w:ind w:left="280" w:right="840" w:hanging="220"/>
        <w:spacing w:after="0" w:line="280" w:lineRule="auto"/>
        <w:tabs>
          <w:tab w:leader="none" w:pos="2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the PD at the reporting date exceeds the PD at the origination date at an individualized level for each risk level and by portfolio (relative thresholds).</w:t>
      </w:r>
    </w:p>
    <w:p>
      <w:pPr>
        <w:spacing w:after="0" w:line="120" w:lineRule="exact"/>
        <w:rPr>
          <w:rFonts w:ascii="Arial" w:cs="Arial" w:eastAsia="Arial" w:hAnsi="Arial"/>
          <w:sz w:val="16"/>
          <w:szCs w:val="16"/>
          <w:color w:val="auto"/>
        </w:rPr>
      </w:pPr>
    </w:p>
    <w:p>
      <w:pPr>
        <w:ind w:left="280" w:hanging="220"/>
        <w:spacing w:after="0"/>
        <w:tabs>
          <w:tab w:leader="none" w:pos="2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follow-up, alert and monitoring systems for risk portfolios that depend on the current risk policy in Wholesale and Retail Banking are integrated.</w:t>
      </w:r>
    </w:p>
    <w:p>
      <w:pPr>
        <w:spacing w:after="0" w:line="18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Additionally, all accounts classified as defaults at the reporting date are considered Phase 3. Assessments of significant risk increase from initial recognition and credit impairment are independently conducted at each reporting date. Assets can move in both directions from one phase to another. Reference added: See further detail in note 30.1(c).</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Prospective Information –</w:t>
      </w:r>
    </w:p>
    <w:p>
      <w:pPr>
        <w:spacing w:after="0" w:line="183"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The measurement of expected credit losses for each phase and the assessment of significant increases in credit risk must consider information about past events and current conditions, as well as projections of future events and economic conditions. For estimating risk parameters (PD, LGD, EAD) used in calculating the provision in Phases 1 and 2, macroeconomic variables that differ between portfolios were included. These projections have a three-year period and, additionally, a long-term projection.</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estimation of expected loss for Phases 1, 2, and 3 will be a weighted estimate considering three future macroeconomic scenarios. Base, optimistic, and pessimistic scenarios are based on macroeconomic projections provided by the internal economic studies team and approved by Senior Management. This same team also provides the probability of occurrence of each scenario. It should be noted that the scenario design is adjusted at least once a year, possibly more frequently if environmental conditions require.</w:t>
      </w:r>
    </w:p>
    <w:p>
      <w:pPr>
        <w:spacing w:after="0" w:line="302"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41275</wp:posOffset>
            </wp:positionV>
            <wp:extent cx="714565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60"/>
          </w:cols>
          <w:pgMar w:left="600" w:top="306" w:right="339" w:bottom="1440" w:gutter="0" w:footer="0" w:header="0"/>
        </w:sectPr>
      </w:pPr>
    </w:p>
    <w:bookmarkStart w:id="52" w:name="page53"/>
    <w:bookmarkEnd w:id="52"/>
    <w:p>
      <w:pPr>
        <w:ind w:left="282"/>
        <w:spacing w:after="0"/>
        <w:rPr>
          <w:sz w:val="20"/>
          <w:szCs w:val="20"/>
          <w:color w:val="auto"/>
        </w:rPr>
      </w:pPr>
      <w:r>
        <w:rPr>
          <w:rFonts w:ascii="Arial" w:cs="Arial" w:eastAsia="Arial" w:hAnsi="Arial"/>
          <w:sz w:val="16"/>
          <w:szCs w:val="16"/>
          <w:color w:val="auto"/>
        </w:rPr>
        <w:t>Macroeconomic Factors –</w:t>
      </w:r>
    </w:p>
    <w:p>
      <w:pPr>
        <w:spacing w:after="0" w:line="183" w:lineRule="exact"/>
        <w:rPr>
          <w:sz w:val="20"/>
          <w:szCs w:val="20"/>
          <w:color w:val="auto"/>
        </w:rPr>
      </w:pPr>
    </w:p>
    <w:p>
      <w:pPr>
        <w:ind w:left="282" w:right="60"/>
        <w:spacing w:after="0" w:line="259" w:lineRule="auto"/>
        <w:rPr>
          <w:sz w:val="20"/>
          <w:szCs w:val="20"/>
          <w:color w:val="auto"/>
        </w:rPr>
      </w:pPr>
      <w:r>
        <w:rPr>
          <w:rFonts w:ascii="Arial" w:cs="Arial" w:eastAsia="Arial" w:hAnsi="Arial"/>
          <w:sz w:val="16"/>
          <w:szCs w:val="16"/>
          <w:color w:val="auto"/>
        </w:rPr>
        <w:t>In its models, the Group relies on a wide range of prospective information as economic inputs, such as gross domestic product (GDP) growth, unemployment rates, central bank base rates, among others. The inputs and models used to calculate expected credit losses may not always capture all market characteristics at the date of the financial statements. To reflect this, qualitative adjustments or overlays may be made using expert judgment.</w:t>
      </w:r>
    </w:p>
    <w:p>
      <w:pPr>
        <w:spacing w:after="0" w:line="137" w:lineRule="exact"/>
        <w:rPr>
          <w:sz w:val="20"/>
          <w:szCs w:val="20"/>
          <w:color w:val="auto"/>
        </w:rPr>
      </w:pPr>
    </w:p>
    <w:p>
      <w:pPr>
        <w:ind w:left="282"/>
        <w:spacing w:after="0"/>
        <w:rPr>
          <w:sz w:val="20"/>
          <w:szCs w:val="20"/>
          <w:color w:val="auto"/>
        </w:rPr>
      </w:pPr>
      <w:r>
        <w:rPr>
          <w:rFonts w:ascii="Arial" w:cs="Arial" w:eastAsia="Arial" w:hAnsi="Arial"/>
          <w:sz w:val="16"/>
          <w:szCs w:val="16"/>
          <w:color w:val="auto"/>
        </w:rPr>
        <w:t>Expected Lifetime –</w:t>
      </w:r>
    </w:p>
    <w:p>
      <w:pPr>
        <w:spacing w:after="0" w:line="183" w:lineRule="exact"/>
        <w:rPr>
          <w:sz w:val="20"/>
          <w:szCs w:val="20"/>
          <w:color w:val="auto"/>
        </w:rPr>
      </w:pPr>
    </w:p>
    <w:p>
      <w:pPr>
        <w:ind w:left="282" w:right="380"/>
        <w:spacing w:after="0" w:line="259" w:lineRule="auto"/>
        <w:rPr>
          <w:sz w:val="20"/>
          <w:szCs w:val="20"/>
          <w:color w:val="auto"/>
        </w:rPr>
      </w:pPr>
      <w:r>
        <w:rPr>
          <w:rFonts w:ascii="Arial" w:cs="Arial" w:eastAsia="Arial" w:hAnsi="Arial"/>
          <w:sz w:val="16"/>
          <w:szCs w:val="16"/>
          <w:color w:val="auto"/>
        </w:rPr>
        <w:t>For instruments in Phase 2 or 3, loss reserves will cover expected credit losses during the instrument’s lifetime. For most instruments, the expected lifetime is limited to the remaining term of the product, adjusted for expected prepayments. For revolving products, an analysis was conducted to determine the expected lifetime period.</w:t>
      </w:r>
    </w:p>
    <w:p>
      <w:pPr>
        <w:spacing w:after="0" w:line="137" w:lineRule="exact"/>
        <w:rPr>
          <w:sz w:val="20"/>
          <w:szCs w:val="20"/>
          <w:color w:val="auto"/>
        </w:rPr>
      </w:pPr>
    </w:p>
    <w:p>
      <w:pPr>
        <w:ind w:left="282"/>
        <w:spacing w:after="0"/>
        <w:rPr>
          <w:sz w:val="20"/>
          <w:szCs w:val="20"/>
          <w:color w:val="auto"/>
        </w:rPr>
      </w:pPr>
      <w:r>
        <w:rPr>
          <w:rFonts w:ascii="Arial" w:cs="Arial" w:eastAsia="Arial" w:hAnsi="Arial"/>
          <w:sz w:val="16"/>
          <w:szCs w:val="16"/>
          <w:color w:val="auto"/>
        </w:rPr>
        <w:t>Presentation of Credit Loss Provision in the Statement of Financial Position –</w:t>
      </w:r>
    </w:p>
    <w:p>
      <w:pPr>
        <w:spacing w:after="0" w:line="183" w:lineRule="exact"/>
        <w:rPr>
          <w:sz w:val="20"/>
          <w:szCs w:val="20"/>
          <w:color w:val="auto"/>
        </w:rPr>
      </w:pPr>
    </w:p>
    <w:p>
      <w:pPr>
        <w:ind w:left="562" w:hanging="220"/>
        <w:spacing w:after="0"/>
        <w:tabs>
          <w:tab w:leader="none" w:pos="5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Financial assets measured at amortized cost: as a deduction from the gross carrying amount of financial assets;</w:t>
      </w:r>
    </w:p>
    <w:p>
      <w:pPr>
        <w:spacing w:after="0" w:line="15" w:lineRule="exact"/>
        <w:rPr>
          <w:rFonts w:ascii="Arial" w:cs="Arial" w:eastAsia="Arial" w:hAnsi="Arial"/>
          <w:sz w:val="16"/>
          <w:szCs w:val="16"/>
          <w:color w:val="auto"/>
        </w:rPr>
      </w:pPr>
    </w:p>
    <w:p>
      <w:pPr>
        <w:ind w:left="562" w:right="80" w:hanging="220"/>
        <w:spacing w:after="0" w:line="239" w:lineRule="auto"/>
        <w:tabs>
          <w:tab w:leader="none" w:pos="5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Debt instruments measured at fair value through other comprehensive income: no provision is recognized in the statement of financial position because the carrying amount of these assets is their fair value; however, the expected credit loss is presented in accumulated other comprehensive income;</w:t>
      </w:r>
    </w:p>
    <w:p>
      <w:pPr>
        <w:ind w:left="562" w:hanging="220"/>
        <w:spacing w:after="0"/>
        <w:tabs>
          <w:tab w:leader="none" w:pos="5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Indirect credits: the provision for credit loss is presented under “Other liabilities” in the statement of financial position.</w:t>
      </w:r>
    </w:p>
    <w:p>
      <w:pPr>
        <w:spacing w:after="0" w:line="167" w:lineRule="exact"/>
        <w:rPr>
          <w:sz w:val="20"/>
          <w:szCs w:val="20"/>
          <w:color w:val="auto"/>
        </w:rPr>
      </w:pPr>
    </w:p>
    <w:p>
      <w:pPr>
        <w:ind w:left="282"/>
        <w:spacing w:after="0"/>
        <w:rPr>
          <w:sz w:val="20"/>
          <w:szCs w:val="20"/>
          <w:color w:val="auto"/>
        </w:rPr>
      </w:pPr>
      <w:r>
        <w:rPr>
          <w:rFonts w:ascii="Arial" w:cs="Arial" w:eastAsia="Arial" w:hAnsi="Arial"/>
          <w:sz w:val="16"/>
          <w:szCs w:val="16"/>
          <w:color w:val="auto"/>
        </w:rPr>
        <w:t>Renegotiated Credits –</w:t>
      </w:r>
    </w:p>
    <w:p>
      <w:pPr>
        <w:spacing w:after="0" w:line="183" w:lineRule="exact"/>
        <w:rPr>
          <w:sz w:val="20"/>
          <w:szCs w:val="20"/>
          <w:color w:val="auto"/>
        </w:rPr>
      </w:pPr>
    </w:p>
    <w:p>
      <w:pPr>
        <w:ind w:left="282" w:right="60"/>
        <w:spacing w:after="0" w:line="252" w:lineRule="auto"/>
        <w:rPr>
          <w:sz w:val="20"/>
          <w:szCs w:val="20"/>
          <w:color w:val="auto"/>
        </w:rPr>
      </w:pPr>
      <w:r>
        <w:rPr>
          <w:rFonts w:ascii="Arial" w:cs="Arial" w:eastAsia="Arial" w:hAnsi="Arial"/>
          <w:sz w:val="16"/>
          <w:szCs w:val="16"/>
          <w:color w:val="auto"/>
        </w:rPr>
        <w:t>When a credit is modified, it is not considered past due but maintains its previous classification as impaired or unimpaired. If the borrower complies with the new agreement for the next six months, and the analysis of their repayment capacity supports a new risk rating improvement, the credit is classified as unimpaired. If after the credit is modified, the borrower defaults on the new agreement, it is considered impaired and past due. See further detail in note 30.1(c).</w:t>
      </w:r>
    </w:p>
    <w:p>
      <w:pPr>
        <w:spacing w:after="0" w:line="144" w:lineRule="exact"/>
        <w:rPr>
          <w:sz w:val="20"/>
          <w:szCs w:val="20"/>
          <w:color w:val="auto"/>
        </w:rPr>
      </w:pPr>
    </w:p>
    <w:p>
      <w:pPr>
        <w:ind w:left="302" w:hanging="302"/>
        <w:spacing w:after="0"/>
        <w:tabs>
          <w:tab w:leader="none" w:pos="302" w:val="left"/>
        </w:tabs>
        <w:numPr>
          <w:ilvl w:val="0"/>
          <w:numId w:val="69"/>
        </w:numPr>
        <w:rPr>
          <w:rFonts w:ascii="Arial" w:cs="Arial" w:eastAsia="Arial" w:hAnsi="Arial"/>
          <w:sz w:val="16"/>
          <w:szCs w:val="16"/>
          <w:color w:val="auto"/>
        </w:rPr>
      </w:pPr>
      <w:r>
        <w:rPr>
          <w:rFonts w:ascii="Arial" w:cs="Arial" w:eastAsia="Arial" w:hAnsi="Arial"/>
          <w:sz w:val="16"/>
          <w:szCs w:val="16"/>
          <w:color w:val="auto"/>
        </w:rPr>
        <w:t>Business Combinations –</w:t>
      </w:r>
    </w:p>
    <w:p>
      <w:pPr>
        <w:spacing w:after="0" w:line="182" w:lineRule="exact"/>
        <w:rPr>
          <w:rFonts w:ascii="Arial" w:cs="Arial" w:eastAsia="Arial" w:hAnsi="Arial"/>
          <w:sz w:val="16"/>
          <w:szCs w:val="16"/>
          <w:color w:val="auto"/>
        </w:rPr>
      </w:pPr>
    </w:p>
    <w:p>
      <w:pPr>
        <w:ind w:left="282" w:right="260"/>
        <w:spacing w:after="0" w:line="280" w:lineRule="auto"/>
        <w:rPr>
          <w:rFonts w:ascii="Arial" w:cs="Arial" w:eastAsia="Arial" w:hAnsi="Arial"/>
          <w:sz w:val="16"/>
          <w:szCs w:val="16"/>
          <w:color w:val="auto"/>
        </w:rPr>
      </w:pPr>
      <w:r>
        <w:rPr>
          <w:rFonts w:ascii="Arial" w:cs="Arial" w:eastAsia="Arial" w:hAnsi="Arial"/>
          <w:sz w:val="16"/>
          <w:szCs w:val="16"/>
          <w:color w:val="auto"/>
        </w:rPr>
        <w:t>Business combinations are accounted for using the acquisition method as set out in IFRS 3 “Business Combinations”, regardless of whether they are equity instruments or other acquired assets.</w:t>
      </w:r>
    </w:p>
    <w:p>
      <w:pPr>
        <w:spacing w:after="0" w:line="120" w:lineRule="exact"/>
        <w:rPr>
          <w:rFonts w:ascii="Arial" w:cs="Arial" w:eastAsia="Arial" w:hAnsi="Arial"/>
          <w:sz w:val="16"/>
          <w:szCs w:val="16"/>
          <w:color w:val="auto"/>
        </w:rPr>
      </w:pPr>
    </w:p>
    <w:p>
      <w:pPr>
        <w:ind w:left="282"/>
        <w:spacing w:after="0" w:line="252" w:lineRule="auto"/>
        <w:rPr>
          <w:rFonts w:ascii="Arial" w:cs="Arial" w:eastAsia="Arial" w:hAnsi="Arial"/>
          <w:sz w:val="16"/>
          <w:szCs w:val="16"/>
          <w:color w:val="auto"/>
        </w:rPr>
      </w:pPr>
      <w:r>
        <w:rPr>
          <w:rFonts w:ascii="Arial" w:cs="Arial" w:eastAsia="Arial" w:hAnsi="Arial"/>
          <w:sz w:val="16"/>
          <w:szCs w:val="16"/>
          <w:color w:val="auto"/>
        </w:rPr>
        <w:t>The cost of an acquisition is measured as the sum of the consideration transferred, measured at fair value at the acquisition date, and the amount of any non-controlling interest in the acquired entity. For each business combination, the Group decides whether the non-controlling interest in the acquired entity should be measured at fair value or at the proportionate share of the identifiable net assets of the acquired entity. Acquisition-related costs are recognized as expenses and included in the “Administrative expenses” line item in the consolidated statement of profit or loss.</w:t>
      </w:r>
    </w:p>
    <w:p>
      <w:pPr>
        <w:spacing w:after="0" w:line="143" w:lineRule="exact"/>
        <w:rPr>
          <w:rFonts w:ascii="Arial" w:cs="Arial" w:eastAsia="Arial" w:hAnsi="Arial"/>
          <w:sz w:val="16"/>
          <w:szCs w:val="16"/>
          <w:color w:val="auto"/>
        </w:rPr>
      </w:pPr>
    </w:p>
    <w:p>
      <w:pPr>
        <w:ind w:left="282" w:right="260"/>
        <w:spacing w:after="0" w:line="259" w:lineRule="auto"/>
        <w:rPr>
          <w:rFonts w:ascii="Arial" w:cs="Arial" w:eastAsia="Arial" w:hAnsi="Arial"/>
          <w:sz w:val="16"/>
          <w:szCs w:val="16"/>
          <w:color w:val="auto"/>
        </w:rPr>
      </w:pPr>
      <w:r>
        <w:rPr>
          <w:rFonts w:ascii="Arial" w:cs="Arial" w:eastAsia="Arial" w:hAnsi="Arial"/>
          <w:sz w:val="16"/>
          <w:szCs w:val="16"/>
          <w:color w:val="auto"/>
        </w:rPr>
        <w:t>When the Group acquires a business, it assesses the financial assets and liabilities assumed for proper classification and naming in accordance with contractual terms, economic circumstances, and conditions relevant at the acquisition date. This includes the separation of implicit derivatives in contracts entered into by the acquiree.</w:t>
      </w:r>
    </w:p>
    <w:p>
      <w:pPr>
        <w:spacing w:after="0" w:line="296"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306" w:right="339" w:bottom="1440" w:gutter="0" w:footer="0" w:header="0"/>
        </w:sectPr>
      </w:pPr>
    </w:p>
    <w:bookmarkStart w:id="53" w:name="page54"/>
    <w:bookmarkEnd w:id="53"/>
    <w:p>
      <w:pPr>
        <w:ind w:left="282" w:right="20"/>
        <w:spacing w:after="0" w:line="252" w:lineRule="auto"/>
        <w:rPr>
          <w:sz w:val="20"/>
          <w:szCs w:val="20"/>
          <w:color w:val="auto"/>
        </w:rPr>
      </w:pPr>
      <w:r>
        <w:rPr>
          <w:rFonts w:ascii="Arial" w:cs="Arial" w:eastAsia="Arial" w:hAnsi="Arial"/>
          <w:sz w:val="16"/>
          <w:szCs w:val="16"/>
          <w:color w:val="auto"/>
        </w:rPr>
        <w:t>Any contingency transferred by the acquirer must be recognized at its fair value at the acquisition date. The contingency classified as a financial instrument and within the scope of IFRS 9: “Financial Instruments” is measured at fair value through profit or loss or other comprehensive income in the consolidated statement of profit or loss or in the consolidated statement of comprehensive income. If the contingency is classified as equity, it should not be remeasured, and its subsequent settlement is accounted for within equity.</w:t>
      </w:r>
    </w:p>
    <w:p>
      <w:pPr>
        <w:spacing w:after="0" w:line="144" w:lineRule="exact"/>
        <w:rPr>
          <w:sz w:val="20"/>
          <w:szCs w:val="20"/>
          <w:color w:val="auto"/>
        </w:rPr>
      </w:pPr>
    </w:p>
    <w:p>
      <w:pPr>
        <w:jc w:val="both"/>
        <w:ind w:left="282" w:right="320"/>
        <w:spacing w:after="0" w:line="259" w:lineRule="auto"/>
        <w:rPr>
          <w:sz w:val="20"/>
          <w:szCs w:val="20"/>
          <w:color w:val="auto"/>
        </w:rPr>
      </w:pPr>
      <w:r>
        <w:rPr>
          <w:rFonts w:ascii="Arial" w:cs="Arial" w:eastAsia="Arial" w:hAnsi="Arial"/>
          <w:sz w:val="16"/>
          <w:szCs w:val="16"/>
          <w:color w:val="auto"/>
        </w:rPr>
        <w:t>The acquisition of the non-controlling interest is recognized directly in equity; the difference between the amount paid and the net assets acquired is recognized as an equity transaction. Therefore, the Group does not recognize any additional goodwill after acquiring the non-controlling interest, nor does it recognize a gain or loss on the sale of the non-controlling interest.</w:t>
      </w:r>
    </w:p>
    <w:p>
      <w:pPr>
        <w:spacing w:after="0" w:line="137" w:lineRule="exact"/>
        <w:rPr>
          <w:sz w:val="20"/>
          <w:szCs w:val="20"/>
          <w:color w:val="auto"/>
        </w:rPr>
      </w:pPr>
    </w:p>
    <w:p>
      <w:pPr>
        <w:ind w:left="282" w:right="140"/>
        <w:spacing w:after="0" w:line="252" w:lineRule="auto"/>
        <w:rPr>
          <w:sz w:val="20"/>
          <w:szCs w:val="20"/>
          <w:color w:val="auto"/>
        </w:rPr>
      </w:pPr>
      <w:r>
        <w:rPr>
          <w:rFonts w:ascii="Arial" w:cs="Arial" w:eastAsia="Arial" w:hAnsi="Arial"/>
          <w:sz w:val="16"/>
          <w:szCs w:val="16"/>
          <w:color w:val="auto"/>
        </w:rPr>
        <w:t>If there is a contractual obligation to acquire the shares of the non-controlling interest through a put option, the Group will initially recognize a liability at fair value through profit or loss equivalent to the market value of the non-controlling interest against the “Reserves and others” account in equity. After initial recognition, the liability is measured at fair value, recording changes in the statement of profit or loss until the option is exercised. If the option expires without being exercised, the liability is derecognized, adjusting equity.</w:t>
      </w:r>
    </w:p>
    <w:p>
      <w:pPr>
        <w:spacing w:after="0" w:line="144" w:lineRule="exact"/>
        <w:rPr>
          <w:sz w:val="20"/>
          <w:szCs w:val="20"/>
          <w:color w:val="auto"/>
        </w:rPr>
      </w:pPr>
    </w:p>
    <w:p>
      <w:pPr>
        <w:ind w:left="282" w:right="100"/>
        <w:spacing w:after="0" w:line="259" w:lineRule="auto"/>
        <w:rPr>
          <w:sz w:val="20"/>
          <w:szCs w:val="20"/>
          <w:color w:val="auto"/>
        </w:rPr>
      </w:pPr>
      <w:r>
        <w:rPr>
          <w:rFonts w:ascii="Arial" w:cs="Arial" w:eastAsia="Arial" w:hAnsi="Arial"/>
          <w:sz w:val="16"/>
          <w:szCs w:val="16"/>
          <w:color w:val="auto"/>
        </w:rPr>
        <w:t>The equity attributable to the non-controlling interest is presented separately in the consolidated statement of financial position. Profit attributable to the non-controlling interest is presented separately in the consolidated statement of profit or loss and in the consolidated statement of comprehensive income.</w:t>
      </w:r>
    </w:p>
    <w:p>
      <w:pPr>
        <w:spacing w:after="0" w:line="137" w:lineRule="exact"/>
        <w:rPr>
          <w:sz w:val="20"/>
          <w:szCs w:val="20"/>
          <w:color w:val="auto"/>
        </w:rPr>
      </w:pPr>
    </w:p>
    <w:p>
      <w:pPr>
        <w:ind w:left="282" w:right="40"/>
        <w:spacing w:after="0" w:line="259" w:lineRule="auto"/>
        <w:rPr>
          <w:sz w:val="20"/>
          <w:szCs w:val="20"/>
          <w:color w:val="auto"/>
        </w:rPr>
      </w:pPr>
      <w:r>
        <w:rPr>
          <w:rFonts w:ascii="Arial" w:cs="Arial" w:eastAsia="Arial" w:hAnsi="Arial"/>
          <w:sz w:val="16"/>
          <w:szCs w:val="16"/>
          <w:color w:val="auto"/>
        </w:rPr>
        <w:t>If the business combination is achieved in stages, the acquisition date and previous interest in the acquiree are remeasured at fair value at the acquisition date. Gains or losses arising from such remeasurement are recognized in profit for the period. Likewise, in accordance with IFRS 3, from the acquisition date of a company not under common control, the acquirer has a 12-month period to make adjustments to the initial recognition of goodwill.</w:t>
      </w:r>
    </w:p>
    <w:p>
      <w:pPr>
        <w:spacing w:after="0" w:line="137" w:lineRule="exact"/>
        <w:rPr>
          <w:sz w:val="20"/>
          <w:szCs w:val="20"/>
          <w:color w:val="auto"/>
        </w:rPr>
      </w:pPr>
    </w:p>
    <w:p>
      <w:pPr>
        <w:ind w:left="282"/>
        <w:spacing w:after="0"/>
        <w:rPr>
          <w:sz w:val="20"/>
          <w:szCs w:val="20"/>
          <w:color w:val="auto"/>
        </w:rPr>
      </w:pPr>
      <w:r>
        <w:rPr>
          <w:rFonts w:ascii="Arial" w:cs="Arial" w:eastAsia="Arial" w:hAnsi="Arial"/>
          <w:sz w:val="16"/>
          <w:szCs w:val="16"/>
          <w:color w:val="auto"/>
        </w:rPr>
        <w:t>Combinations of Entities under Common Control</w:t>
      </w:r>
    </w:p>
    <w:p>
      <w:pPr>
        <w:spacing w:after="0" w:line="183" w:lineRule="exact"/>
        <w:rPr>
          <w:sz w:val="20"/>
          <w:szCs w:val="20"/>
          <w:color w:val="auto"/>
        </w:rPr>
      </w:pPr>
    </w:p>
    <w:p>
      <w:pPr>
        <w:ind w:left="282"/>
        <w:spacing w:after="0" w:line="252" w:lineRule="auto"/>
        <w:rPr>
          <w:sz w:val="20"/>
          <w:szCs w:val="20"/>
          <w:color w:val="auto"/>
        </w:rPr>
      </w:pPr>
      <w:r>
        <w:rPr>
          <w:rFonts w:ascii="Arial" w:cs="Arial" w:eastAsia="Arial" w:hAnsi="Arial"/>
          <w:sz w:val="16"/>
          <w:szCs w:val="16"/>
          <w:color w:val="auto"/>
        </w:rPr>
        <w:t>A business combination between entities or businesses under common control is outside the scope of IFRS 3, as it represents a business combination in which all entities or businesses being combined are ultimately controlled by the same party or parties, both before and after the business combination. In these transactions, the Group recognizes acquired assets under the pooling of interest method, whereby the assets and liabilities of the combined companies are reflected at their carrying values and no goodwill is recognized as a result of the combination.</w:t>
      </w:r>
    </w:p>
    <w:p>
      <w:pPr>
        <w:spacing w:after="0" w:line="144" w:lineRule="exact"/>
        <w:rPr>
          <w:sz w:val="20"/>
          <w:szCs w:val="20"/>
          <w:color w:val="auto"/>
        </w:rPr>
      </w:pPr>
    </w:p>
    <w:p>
      <w:pPr>
        <w:ind w:left="282"/>
        <w:spacing w:after="0"/>
        <w:rPr>
          <w:sz w:val="20"/>
          <w:szCs w:val="20"/>
          <w:color w:val="auto"/>
        </w:rPr>
      </w:pPr>
      <w:r>
        <w:rPr>
          <w:rFonts w:ascii="Arial" w:cs="Arial" w:eastAsia="Arial" w:hAnsi="Arial"/>
          <w:sz w:val="16"/>
          <w:szCs w:val="16"/>
          <w:color w:val="auto"/>
        </w:rPr>
        <w:t>The consolidated financial statements of the Group have been presented considering the aforementioned.</w:t>
      </w:r>
    </w:p>
    <w:p>
      <w:pPr>
        <w:spacing w:after="0" w:line="183" w:lineRule="exact"/>
        <w:rPr>
          <w:sz w:val="20"/>
          <w:szCs w:val="20"/>
          <w:color w:val="auto"/>
        </w:rPr>
      </w:pPr>
    </w:p>
    <w:p>
      <w:pPr>
        <w:ind w:left="302" w:hanging="302"/>
        <w:spacing w:after="0"/>
        <w:tabs>
          <w:tab w:leader="none" w:pos="302"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Intangibles –</w:t>
      </w:r>
    </w:p>
    <w:p>
      <w:pPr>
        <w:spacing w:after="0" w:line="182" w:lineRule="exact"/>
        <w:rPr>
          <w:rFonts w:ascii="Arial" w:cs="Arial" w:eastAsia="Arial" w:hAnsi="Arial"/>
          <w:sz w:val="16"/>
          <w:szCs w:val="16"/>
          <w:color w:val="auto"/>
        </w:rPr>
      </w:pPr>
    </w:p>
    <w:p>
      <w:pPr>
        <w:ind w:left="282" w:right="200"/>
        <w:spacing w:after="0" w:line="280" w:lineRule="auto"/>
        <w:rPr>
          <w:rFonts w:ascii="Arial" w:cs="Arial" w:eastAsia="Arial" w:hAnsi="Arial"/>
          <w:sz w:val="16"/>
          <w:szCs w:val="16"/>
          <w:color w:val="auto"/>
        </w:rPr>
      </w:pPr>
      <w:r>
        <w:rPr>
          <w:rFonts w:ascii="Arial" w:cs="Arial" w:eastAsia="Arial" w:hAnsi="Arial"/>
          <w:sz w:val="16"/>
          <w:szCs w:val="16"/>
          <w:color w:val="auto"/>
        </w:rPr>
        <w:t>They mainly comprise internal developments and acquisitions of software licenses used by the Group. Such intangibles are initially recognized at cost and are amortized using the straight-line method over their estimated useful life (between 3 and 5 years).</w:t>
      </w:r>
    </w:p>
    <w:p>
      <w:pPr>
        <w:spacing w:after="0" w:line="279"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306" w:right="339" w:bottom="1440" w:gutter="0" w:footer="0" w:header="0"/>
        </w:sectPr>
      </w:pPr>
    </w:p>
    <w:bookmarkStart w:id="54" w:name="page55"/>
    <w:bookmarkEnd w:id="54"/>
    <w:p>
      <w:pPr>
        <w:ind w:left="282" w:right="160"/>
        <w:spacing w:after="0" w:line="280" w:lineRule="auto"/>
        <w:rPr>
          <w:sz w:val="20"/>
          <w:szCs w:val="20"/>
          <w:color w:val="auto"/>
        </w:rPr>
      </w:pPr>
      <w:r>
        <w:rPr>
          <w:rFonts w:ascii="Arial" w:cs="Arial" w:eastAsia="Arial" w:hAnsi="Arial"/>
          <w:sz w:val="16"/>
          <w:szCs w:val="16"/>
          <w:color w:val="auto"/>
        </w:rPr>
        <w:t>Intangible assets identified as a result of the acquisition of subsidiaries are recognized in the consolidated statement of financial position at their estimated market value determined on the acquisition date and are amortized using the straight-line method over their estimated useful life, as follows:</w:t>
      </w:r>
    </w:p>
    <w:p>
      <w:pPr>
        <w:spacing w:after="0" w:line="120" w:lineRule="exact"/>
        <w:rPr>
          <w:sz w:val="20"/>
          <w:szCs w:val="20"/>
          <w:color w:val="auto"/>
        </w:rPr>
      </w:pPr>
    </w:p>
    <w:tbl>
      <w:tblPr>
        <w:tblLayout w:type="fixed"/>
        <w:tblInd w:w="342" w:type="dxa"/>
        <w:tblCellMar>
          <w:top w:w="0" w:type="dxa"/>
          <w:left w:w="0" w:type="dxa"/>
          <w:bottom w:w="0" w:type="dxa"/>
          <w:right w:w="0" w:type="dxa"/>
        </w:tblCellMar>
      </w:tblPr>
      <w:tr>
        <w:trPr>
          <w:trHeight w:val="184"/>
        </w:trPr>
        <w:tc>
          <w:tcPr>
            <w:tcW w:w="8660" w:type="dxa"/>
            <w:vAlign w:val="bottom"/>
          </w:tcPr>
          <w:p>
            <w:pPr>
              <w:spacing w:after="0"/>
              <w:rPr>
                <w:sz w:val="16"/>
                <w:szCs w:val="16"/>
                <w:color w:val="auto"/>
              </w:rPr>
            </w:pPr>
          </w:p>
        </w:tc>
        <w:tc>
          <w:tcPr>
            <w:tcW w:w="2260" w:type="dxa"/>
            <w:vAlign w:val="bottom"/>
          </w:tcPr>
          <w:p>
            <w:pPr>
              <w:ind w:left="60"/>
              <w:spacing w:after="0"/>
              <w:rPr>
                <w:sz w:val="20"/>
                <w:szCs w:val="20"/>
                <w:color w:val="auto"/>
              </w:rPr>
            </w:pPr>
            <w:r>
              <w:rPr>
                <w:rFonts w:ascii="Arial" w:cs="Arial" w:eastAsia="Arial" w:hAnsi="Arial"/>
                <w:sz w:val="16"/>
                <w:szCs w:val="16"/>
                <w:b w:val="1"/>
                <w:bCs w:val="1"/>
                <w:color w:val="auto"/>
              </w:rPr>
              <w:t>Estimated useful</w:t>
            </w:r>
          </w:p>
        </w:tc>
      </w:tr>
      <w:tr>
        <w:trPr>
          <w:trHeight w:val="200"/>
        </w:trPr>
        <w:tc>
          <w:tcPr>
            <w:tcW w:w="8660" w:type="dxa"/>
            <w:vAlign w:val="bottom"/>
          </w:tcPr>
          <w:p>
            <w:pPr>
              <w:spacing w:after="0"/>
              <w:rPr>
                <w:sz w:val="17"/>
                <w:szCs w:val="17"/>
                <w:color w:val="auto"/>
              </w:rPr>
            </w:pPr>
          </w:p>
        </w:tc>
        <w:tc>
          <w:tcPr>
            <w:tcW w:w="2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life in years</w:t>
            </w:r>
          </w:p>
        </w:tc>
      </w:tr>
      <w:tr>
        <w:trPr>
          <w:trHeight w:val="342"/>
        </w:trPr>
        <w:tc>
          <w:tcPr>
            <w:tcW w:w="8660" w:type="dxa"/>
            <w:vAlign w:val="bottom"/>
          </w:tcPr>
          <w:p>
            <w:pPr>
              <w:spacing w:after="0"/>
              <w:rPr>
                <w:sz w:val="20"/>
                <w:szCs w:val="20"/>
                <w:color w:val="auto"/>
              </w:rPr>
            </w:pPr>
            <w:r>
              <w:rPr>
                <w:rFonts w:ascii="Arial" w:cs="Arial" w:eastAsia="Arial" w:hAnsi="Arial"/>
                <w:sz w:val="16"/>
                <w:szCs w:val="16"/>
                <w:color w:val="auto"/>
              </w:rPr>
              <w:t>Client relationship - Prima AFP (AFP Unión Vida)</w:t>
            </w:r>
          </w:p>
        </w:tc>
        <w:tc>
          <w:tcPr>
            <w:tcW w:w="22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183"/>
        </w:trPr>
        <w:tc>
          <w:tcPr>
            <w:tcW w:w="8660" w:type="dxa"/>
            <w:vAlign w:val="bottom"/>
          </w:tcPr>
          <w:p>
            <w:pPr>
              <w:spacing w:after="0"/>
              <w:rPr>
                <w:sz w:val="20"/>
                <w:szCs w:val="20"/>
                <w:color w:val="auto"/>
              </w:rPr>
            </w:pPr>
            <w:r>
              <w:rPr>
                <w:rFonts w:ascii="Arial" w:cs="Arial" w:eastAsia="Arial" w:hAnsi="Arial"/>
                <w:sz w:val="16"/>
                <w:szCs w:val="16"/>
                <w:color w:val="auto"/>
              </w:rPr>
              <w:t>Client relationship – Credicorp Capital Holding Chile (Inversiones IMT)</w:t>
            </w:r>
          </w:p>
        </w:tc>
        <w:tc>
          <w:tcPr>
            <w:tcW w:w="226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183"/>
        </w:trPr>
        <w:tc>
          <w:tcPr>
            <w:tcW w:w="8660" w:type="dxa"/>
            <w:vAlign w:val="bottom"/>
          </w:tcPr>
          <w:p>
            <w:pPr>
              <w:spacing w:after="0"/>
              <w:rPr>
                <w:sz w:val="20"/>
                <w:szCs w:val="20"/>
                <w:color w:val="auto"/>
              </w:rPr>
            </w:pPr>
            <w:r>
              <w:rPr>
                <w:rFonts w:ascii="Arial" w:cs="Arial" w:eastAsia="Arial" w:hAnsi="Arial"/>
                <w:sz w:val="16"/>
                <w:szCs w:val="16"/>
                <w:color w:val="auto"/>
              </w:rPr>
              <w:t>Client relationship - Edyficar Peru</w:t>
            </w:r>
          </w:p>
        </w:tc>
        <w:tc>
          <w:tcPr>
            <w:tcW w:w="22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83"/>
        </w:trPr>
        <w:tc>
          <w:tcPr>
            <w:tcW w:w="8660" w:type="dxa"/>
            <w:vAlign w:val="bottom"/>
          </w:tcPr>
          <w:p>
            <w:pPr>
              <w:spacing w:after="0"/>
              <w:rPr>
                <w:sz w:val="20"/>
                <w:szCs w:val="20"/>
                <w:color w:val="auto"/>
              </w:rPr>
            </w:pPr>
            <w:r>
              <w:rPr>
                <w:rFonts w:ascii="Arial" w:cs="Arial" w:eastAsia="Arial" w:hAnsi="Arial"/>
                <w:sz w:val="16"/>
                <w:szCs w:val="16"/>
                <w:color w:val="auto"/>
              </w:rPr>
              <w:t>Client relationship - Ultraserfinco</w:t>
            </w:r>
          </w:p>
        </w:tc>
        <w:tc>
          <w:tcPr>
            <w:tcW w:w="22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83"/>
        </w:trPr>
        <w:tc>
          <w:tcPr>
            <w:tcW w:w="8660" w:type="dxa"/>
            <w:vAlign w:val="bottom"/>
          </w:tcPr>
          <w:p>
            <w:pPr>
              <w:spacing w:after="0"/>
              <w:rPr>
                <w:sz w:val="20"/>
                <w:szCs w:val="20"/>
                <w:color w:val="auto"/>
              </w:rPr>
            </w:pPr>
            <w:r>
              <w:rPr>
                <w:rFonts w:ascii="Arial" w:cs="Arial" w:eastAsia="Arial" w:hAnsi="Arial"/>
                <w:sz w:val="16"/>
                <w:szCs w:val="16"/>
                <w:color w:val="auto"/>
              </w:rPr>
              <w:t>Client relationship – Mibanco</w:t>
            </w:r>
          </w:p>
        </w:tc>
        <w:tc>
          <w:tcPr>
            <w:tcW w:w="22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183"/>
        </w:trPr>
        <w:tc>
          <w:tcPr>
            <w:tcW w:w="8660" w:type="dxa"/>
            <w:vAlign w:val="bottom"/>
          </w:tcPr>
          <w:p>
            <w:pPr>
              <w:spacing w:after="0"/>
              <w:rPr>
                <w:sz w:val="20"/>
                <w:szCs w:val="20"/>
                <w:color w:val="auto"/>
              </w:rPr>
            </w:pPr>
            <w:r>
              <w:rPr>
                <w:rFonts w:ascii="Arial" w:cs="Arial" w:eastAsia="Arial" w:hAnsi="Arial"/>
                <w:sz w:val="16"/>
                <w:szCs w:val="16"/>
                <w:color w:val="auto"/>
              </w:rPr>
              <w:t>Brand - Mibanco</w:t>
            </w:r>
          </w:p>
        </w:tc>
        <w:tc>
          <w:tcPr>
            <w:tcW w:w="226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183"/>
        </w:trPr>
        <w:tc>
          <w:tcPr>
            <w:tcW w:w="8660" w:type="dxa"/>
            <w:vAlign w:val="bottom"/>
          </w:tcPr>
          <w:p>
            <w:pPr>
              <w:spacing w:after="0"/>
              <w:rPr>
                <w:sz w:val="20"/>
                <w:szCs w:val="20"/>
                <w:color w:val="auto"/>
              </w:rPr>
            </w:pPr>
            <w:r>
              <w:rPr>
                <w:rFonts w:ascii="Arial" w:cs="Arial" w:eastAsia="Arial" w:hAnsi="Arial"/>
                <w:sz w:val="16"/>
                <w:szCs w:val="16"/>
                <w:color w:val="auto"/>
              </w:rPr>
              <w:t>Brand – Joinnus</w:t>
            </w:r>
          </w:p>
        </w:tc>
        <w:tc>
          <w:tcPr>
            <w:tcW w:w="22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183"/>
        </w:trPr>
        <w:tc>
          <w:tcPr>
            <w:tcW w:w="8660" w:type="dxa"/>
            <w:vAlign w:val="bottom"/>
          </w:tcPr>
          <w:p>
            <w:pPr>
              <w:spacing w:after="0"/>
              <w:rPr>
                <w:sz w:val="20"/>
                <w:szCs w:val="20"/>
                <w:color w:val="auto"/>
              </w:rPr>
            </w:pPr>
            <w:r>
              <w:rPr>
                <w:rFonts w:ascii="Arial" w:cs="Arial" w:eastAsia="Arial" w:hAnsi="Arial"/>
                <w:sz w:val="16"/>
                <w:szCs w:val="16"/>
                <w:color w:val="auto"/>
              </w:rPr>
              <w:t>Brand - Culqi</w:t>
            </w:r>
          </w:p>
        </w:tc>
        <w:tc>
          <w:tcPr>
            <w:tcW w:w="22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83"/>
        </w:trPr>
        <w:tc>
          <w:tcPr>
            <w:tcW w:w="8660" w:type="dxa"/>
            <w:vAlign w:val="bottom"/>
          </w:tcPr>
          <w:p>
            <w:pPr>
              <w:spacing w:after="0"/>
              <w:rPr>
                <w:sz w:val="20"/>
                <w:szCs w:val="20"/>
                <w:color w:val="auto"/>
              </w:rPr>
            </w:pPr>
            <w:r>
              <w:rPr>
                <w:rFonts w:ascii="Arial" w:cs="Arial" w:eastAsia="Arial" w:hAnsi="Arial"/>
                <w:sz w:val="16"/>
                <w:szCs w:val="16"/>
                <w:color w:val="auto"/>
              </w:rPr>
              <w:t>Fund manager contract - Credicorp Capital Colombia</w:t>
            </w:r>
          </w:p>
        </w:tc>
        <w:tc>
          <w:tcPr>
            <w:tcW w:w="2260" w:type="dxa"/>
            <w:vAlign w:val="bottom"/>
          </w:tcPr>
          <w:p>
            <w:pPr>
              <w:jc w:val="right"/>
              <w:spacing w:after="0"/>
              <w:rPr>
                <w:sz w:val="20"/>
                <w:szCs w:val="20"/>
                <w:color w:val="auto"/>
              </w:rPr>
            </w:pPr>
            <w:r>
              <w:rPr>
                <w:rFonts w:ascii="Arial" w:cs="Arial" w:eastAsia="Arial" w:hAnsi="Arial"/>
                <w:sz w:val="16"/>
                <w:szCs w:val="16"/>
                <w:color w:val="auto"/>
              </w:rPr>
              <w:t>20.0 and 28.0</w:t>
            </w:r>
          </w:p>
        </w:tc>
      </w:tr>
      <w:tr>
        <w:trPr>
          <w:trHeight w:val="183"/>
        </w:trPr>
        <w:tc>
          <w:tcPr>
            <w:tcW w:w="8660" w:type="dxa"/>
            <w:vAlign w:val="bottom"/>
          </w:tcPr>
          <w:p>
            <w:pPr>
              <w:spacing w:after="0"/>
              <w:rPr>
                <w:sz w:val="20"/>
                <w:szCs w:val="20"/>
                <w:color w:val="auto"/>
              </w:rPr>
            </w:pPr>
            <w:r>
              <w:rPr>
                <w:rFonts w:ascii="Arial" w:cs="Arial" w:eastAsia="Arial" w:hAnsi="Arial"/>
                <w:sz w:val="16"/>
                <w:szCs w:val="16"/>
                <w:color w:val="auto"/>
              </w:rPr>
              <w:t>Fund manager contract - Credicorp Capital Holding Chile (Inversiones IMT)</w:t>
            </w:r>
          </w:p>
        </w:tc>
        <w:tc>
          <w:tcPr>
            <w:tcW w:w="2260" w:type="dxa"/>
            <w:vAlign w:val="bottom"/>
          </w:tcPr>
          <w:p>
            <w:pPr>
              <w:jc w:val="right"/>
              <w:spacing w:after="0"/>
              <w:rPr>
                <w:sz w:val="20"/>
                <w:szCs w:val="20"/>
                <w:color w:val="auto"/>
              </w:rPr>
            </w:pPr>
            <w:r>
              <w:rPr>
                <w:rFonts w:ascii="Arial" w:cs="Arial" w:eastAsia="Arial" w:hAnsi="Arial"/>
                <w:sz w:val="16"/>
                <w:szCs w:val="16"/>
                <w:color w:val="auto"/>
              </w:rPr>
              <w:t>11.0 and 24.0</w:t>
            </w:r>
          </w:p>
        </w:tc>
      </w:tr>
      <w:tr>
        <w:trPr>
          <w:trHeight w:val="183"/>
        </w:trPr>
        <w:tc>
          <w:tcPr>
            <w:tcW w:w="8660" w:type="dxa"/>
            <w:vAlign w:val="bottom"/>
          </w:tcPr>
          <w:p>
            <w:pPr>
              <w:spacing w:after="0"/>
              <w:rPr>
                <w:sz w:val="20"/>
                <w:szCs w:val="20"/>
                <w:color w:val="auto"/>
              </w:rPr>
            </w:pPr>
            <w:r>
              <w:rPr>
                <w:rFonts w:ascii="Arial" w:cs="Arial" w:eastAsia="Arial" w:hAnsi="Arial"/>
                <w:sz w:val="16"/>
                <w:szCs w:val="16"/>
                <w:color w:val="auto"/>
              </w:rPr>
              <w:t>Fund manager contract - Ultraserfinco</w:t>
            </w:r>
          </w:p>
        </w:tc>
        <w:tc>
          <w:tcPr>
            <w:tcW w:w="226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183"/>
        </w:trPr>
        <w:tc>
          <w:tcPr>
            <w:tcW w:w="8660" w:type="dxa"/>
            <w:vAlign w:val="bottom"/>
          </w:tcPr>
          <w:p>
            <w:pPr>
              <w:spacing w:after="0"/>
              <w:rPr>
                <w:sz w:val="20"/>
                <w:szCs w:val="20"/>
                <w:color w:val="auto"/>
              </w:rPr>
            </w:pPr>
            <w:r>
              <w:rPr>
                <w:rFonts w:ascii="Arial" w:cs="Arial" w:eastAsia="Arial" w:hAnsi="Arial"/>
                <w:sz w:val="16"/>
                <w:szCs w:val="16"/>
                <w:color w:val="auto"/>
              </w:rPr>
              <w:t>Core deposits - Mibanco</w:t>
            </w:r>
          </w:p>
        </w:tc>
        <w:tc>
          <w:tcPr>
            <w:tcW w:w="22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5"/>
        </w:trPr>
        <w:tc>
          <w:tcPr>
            <w:tcW w:w="8660" w:type="dxa"/>
            <w:vAlign w:val="bottom"/>
          </w:tcPr>
          <w:p>
            <w:pPr>
              <w:spacing w:after="0"/>
              <w:rPr>
                <w:sz w:val="20"/>
                <w:szCs w:val="20"/>
                <w:color w:val="auto"/>
              </w:rPr>
            </w:pPr>
            <w:r>
              <w:rPr>
                <w:rFonts w:ascii="Arial" w:cs="Arial" w:eastAsia="Arial" w:hAnsi="Arial"/>
                <w:sz w:val="16"/>
                <w:szCs w:val="16"/>
                <w:color w:val="auto"/>
              </w:rPr>
              <w:t>Others</w:t>
            </w:r>
          </w:p>
        </w:tc>
        <w:tc>
          <w:tcPr>
            <w:tcW w:w="2260" w:type="dxa"/>
            <w:vAlign w:val="bottom"/>
          </w:tcPr>
          <w:p>
            <w:pPr>
              <w:jc w:val="right"/>
              <w:spacing w:after="0"/>
              <w:rPr>
                <w:sz w:val="20"/>
                <w:szCs w:val="20"/>
                <w:color w:val="auto"/>
              </w:rPr>
            </w:pPr>
            <w:r>
              <w:rPr>
                <w:rFonts w:ascii="Arial" w:cs="Arial" w:eastAsia="Arial" w:hAnsi="Arial"/>
                <w:sz w:val="16"/>
                <w:szCs w:val="16"/>
                <w:color w:val="auto"/>
              </w:rPr>
              <w:t>Between 2.0 and 7.5</w:t>
            </w:r>
          </w:p>
        </w:tc>
      </w:tr>
    </w:tbl>
    <w:p>
      <w:pPr>
        <w:spacing w:after="0" w:line="151" w:lineRule="exact"/>
        <w:rPr>
          <w:sz w:val="20"/>
          <w:szCs w:val="20"/>
          <w:color w:val="auto"/>
        </w:rPr>
      </w:pPr>
    </w:p>
    <w:p>
      <w:pPr>
        <w:ind w:left="342" w:right="140"/>
        <w:spacing w:after="0" w:line="259" w:lineRule="auto"/>
        <w:rPr>
          <w:sz w:val="20"/>
          <w:szCs w:val="20"/>
          <w:color w:val="auto"/>
        </w:rPr>
      </w:pPr>
      <w:r>
        <w:rPr>
          <w:rFonts w:ascii="Arial" w:cs="Arial" w:eastAsia="Arial" w:hAnsi="Arial"/>
          <w:sz w:val="16"/>
          <w:szCs w:val="16"/>
          <w:color w:val="auto"/>
        </w:rPr>
        <w:t>The period and method of amortization of intangible assets are reviewed at the end of each period. If they differ from the expected useful life of previous estimates, the amortization period should be changed to reflect the change. If there is any change in the expected pattern of future economic benefits embodied in the asset, the amortization method should reflect these changes.</w:t>
      </w:r>
    </w:p>
    <w:p>
      <w:pPr>
        <w:spacing w:after="0" w:line="137" w:lineRule="exact"/>
        <w:rPr>
          <w:sz w:val="20"/>
          <w:szCs w:val="20"/>
          <w:color w:val="auto"/>
        </w:rPr>
      </w:pPr>
    </w:p>
    <w:p>
      <w:pPr>
        <w:ind w:left="342" w:right="20"/>
        <w:spacing w:after="0" w:line="280" w:lineRule="auto"/>
        <w:rPr>
          <w:sz w:val="20"/>
          <w:szCs w:val="20"/>
          <w:color w:val="auto"/>
        </w:rPr>
      </w:pPr>
      <w:r>
        <w:rPr>
          <w:rFonts w:ascii="Arial" w:cs="Arial" w:eastAsia="Arial" w:hAnsi="Arial"/>
          <w:sz w:val="16"/>
          <w:szCs w:val="16"/>
          <w:color w:val="auto"/>
        </w:rPr>
        <w:t>Gains or losses arising from the disposal of an intangible asset are measured as the difference between the net proceeds from the disposal of the asset and the carrying amount of that asset and are recognized in the consolidated statement of income on the date the asset is derecognized.</w:t>
      </w:r>
    </w:p>
    <w:p>
      <w:pPr>
        <w:spacing w:after="0" w:line="120" w:lineRule="exact"/>
        <w:rPr>
          <w:sz w:val="20"/>
          <w:szCs w:val="20"/>
          <w:color w:val="auto"/>
        </w:rPr>
      </w:pPr>
    </w:p>
    <w:p>
      <w:pPr>
        <w:ind w:left="342" w:hanging="342"/>
        <w:spacing w:after="0"/>
        <w:tabs>
          <w:tab w:leader="none" w:pos="342" w:val="left"/>
        </w:tabs>
        <w:numPr>
          <w:ilvl w:val="0"/>
          <w:numId w:val="71"/>
        </w:numPr>
        <w:rPr>
          <w:rFonts w:ascii="Arial" w:cs="Arial" w:eastAsia="Arial" w:hAnsi="Arial"/>
          <w:sz w:val="16"/>
          <w:szCs w:val="16"/>
          <w:color w:val="auto"/>
        </w:rPr>
      </w:pPr>
      <w:r>
        <w:rPr>
          <w:rFonts w:ascii="Arial" w:cs="Arial" w:eastAsia="Arial" w:hAnsi="Arial"/>
          <w:sz w:val="16"/>
          <w:szCs w:val="16"/>
          <w:color w:val="auto"/>
        </w:rPr>
        <w:t>Goodwill –</w:t>
      </w:r>
    </w:p>
    <w:p>
      <w:pPr>
        <w:spacing w:after="0" w:line="182" w:lineRule="exact"/>
        <w:rPr>
          <w:rFonts w:ascii="Arial" w:cs="Arial" w:eastAsia="Arial" w:hAnsi="Arial"/>
          <w:sz w:val="16"/>
          <w:szCs w:val="16"/>
          <w:color w:val="auto"/>
        </w:rPr>
      </w:pPr>
    </w:p>
    <w:p>
      <w:pPr>
        <w:ind w:left="342" w:right="340"/>
        <w:spacing w:after="0" w:line="259" w:lineRule="auto"/>
        <w:rPr>
          <w:rFonts w:ascii="Arial" w:cs="Arial" w:eastAsia="Arial" w:hAnsi="Arial"/>
          <w:sz w:val="16"/>
          <w:szCs w:val="16"/>
          <w:color w:val="auto"/>
        </w:rPr>
      </w:pPr>
      <w:r>
        <w:rPr>
          <w:rFonts w:ascii="Arial" w:cs="Arial" w:eastAsia="Arial" w:hAnsi="Arial"/>
          <w:sz w:val="16"/>
          <w:szCs w:val="16"/>
          <w:color w:val="auto"/>
        </w:rPr>
        <w:t>Goodwill is the excess of the sum of the consideration transferred and the fair value recognized for the acquisition of the net assets acquired and liabilities assumed. If the fair value of the net assets acquired exceeds the consideration transferred, the gain will be recognized in the consolidated statement of income.</w:t>
      </w:r>
    </w:p>
    <w:p>
      <w:pPr>
        <w:spacing w:after="0" w:line="137" w:lineRule="exact"/>
        <w:rPr>
          <w:rFonts w:ascii="Arial" w:cs="Arial" w:eastAsia="Arial" w:hAnsi="Arial"/>
          <w:sz w:val="16"/>
          <w:szCs w:val="16"/>
          <w:color w:val="auto"/>
        </w:rPr>
      </w:pPr>
    </w:p>
    <w:p>
      <w:pPr>
        <w:jc w:val="both"/>
        <w:ind w:left="342" w:right="440"/>
        <w:spacing w:after="0" w:line="259" w:lineRule="auto"/>
        <w:rPr>
          <w:rFonts w:ascii="Arial" w:cs="Arial" w:eastAsia="Arial" w:hAnsi="Arial"/>
          <w:sz w:val="16"/>
          <w:szCs w:val="16"/>
          <w:color w:val="auto"/>
        </w:rPr>
      </w:pPr>
      <w:r>
        <w:rPr>
          <w:rFonts w:ascii="Arial" w:cs="Arial" w:eastAsia="Arial" w:hAnsi="Arial"/>
          <w:sz w:val="16"/>
          <w:szCs w:val="16"/>
          <w:color w:val="auto"/>
        </w:rPr>
        <w:t>After initial recognition, goodwill is measured at cost less accumulated impairment losses. For impairment testing purposes, goodwill acquired in a business combination is, from the acquisition date, allocated to each cash-generating unit (CGU) of the Group that is expected to benefit from the business combination, regardless of whether other assets or liabilities of the acquired entity have been allocated to these units.</w:t>
      </w:r>
    </w:p>
    <w:p>
      <w:pPr>
        <w:spacing w:after="0" w:line="137" w:lineRule="exact"/>
        <w:rPr>
          <w:rFonts w:ascii="Arial" w:cs="Arial" w:eastAsia="Arial" w:hAnsi="Arial"/>
          <w:sz w:val="16"/>
          <w:szCs w:val="16"/>
          <w:color w:val="auto"/>
        </w:rPr>
      </w:pPr>
    </w:p>
    <w:p>
      <w:pPr>
        <w:jc w:val="both"/>
        <w:ind w:left="342" w:right="620"/>
        <w:spacing w:after="0" w:line="259" w:lineRule="auto"/>
        <w:rPr>
          <w:rFonts w:ascii="Arial" w:cs="Arial" w:eastAsia="Arial" w:hAnsi="Arial"/>
          <w:sz w:val="16"/>
          <w:szCs w:val="16"/>
          <w:color w:val="auto"/>
        </w:rPr>
      </w:pPr>
      <w:r>
        <w:rPr>
          <w:rFonts w:ascii="Arial" w:cs="Arial" w:eastAsia="Arial" w:hAnsi="Arial"/>
          <w:sz w:val="16"/>
          <w:szCs w:val="16"/>
          <w:color w:val="auto"/>
        </w:rPr>
        <w:t>If goodwill has been allocated to a cash-generating unit and part of the assets with which that unit operates is disposed of, the goodwill and the disposed assets are included in the transaction’s carrying amount when determining the loss or disposal. Under these circumstances, disposed goodwill is measured based on the relative value of the disposed assets and the portion of the retained cash-generating unit.</w:t>
      </w:r>
    </w:p>
    <w:p>
      <w:pPr>
        <w:spacing w:after="0" w:line="296" w:lineRule="exact"/>
        <w:rPr>
          <w:sz w:val="20"/>
          <w:szCs w:val="20"/>
          <w:color w:val="auto"/>
        </w:rPr>
      </w:pPr>
    </w:p>
    <w:p>
      <w:pPr>
        <w:jc w:val="center"/>
        <w:ind w:right="58"/>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2"/>
          </w:cols>
          <w:pgMar w:left="318" w:top="306" w:right="319" w:bottom="1440" w:gutter="0" w:footer="0" w:header="0"/>
        </w:sectPr>
      </w:pPr>
    </w:p>
    <w:bookmarkStart w:id="55" w:name="page56"/>
    <w:bookmarkEnd w:id="55"/>
    <w:p>
      <w:pPr>
        <w:ind w:left="340" w:right="60"/>
        <w:spacing w:after="0" w:line="259" w:lineRule="auto"/>
        <w:rPr>
          <w:sz w:val="20"/>
          <w:szCs w:val="20"/>
          <w:color w:val="auto"/>
        </w:rPr>
      </w:pPr>
      <w:r>
        <w:rPr>
          <w:rFonts w:ascii="Arial" w:cs="Arial" w:eastAsia="Arial" w:hAnsi="Arial"/>
          <w:sz w:val="16"/>
          <w:szCs w:val="16"/>
          <w:color w:val="auto"/>
        </w:rPr>
        <w:t>The impairment of goodwill is determined by evaluating the recoverable amount for each CGU (or group of CGUs) to which the goodwill relates. When the recoverable amount of the CGU is less than the carrying amount, an impairment loss is recognized. Impairment losses related to goodwill cannot be reversed in future periods.</w:t>
      </w:r>
    </w:p>
    <w:p>
      <w:pPr>
        <w:spacing w:after="0" w:line="13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n)</w:t>
        <w:tab/>
        <w:t>Impairment of Non-Financial Assets –</w:t>
      </w:r>
    </w:p>
    <w:p>
      <w:pPr>
        <w:spacing w:after="0" w:line="183" w:lineRule="exact"/>
        <w:rPr>
          <w:sz w:val="20"/>
          <w:szCs w:val="20"/>
          <w:color w:val="auto"/>
        </w:rPr>
      </w:pPr>
    </w:p>
    <w:p>
      <w:pPr>
        <w:ind w:left="340"/>
        <w:spacing w:after="0" w:line="252" w:lineRule="auto"/>
        <w:rPr>
          <w:sz w:val="20"/>
          <w:szCs w:val="20"/>
          <w:color w:val="auto"/>
        </w:rPr>
      </w:pPr>
      <w:r>
        <w:rPr>
          <w:rFonts w:ascii="Arial" w:cs="Arial" w:eastAsia="Arial" w:hAnsi="Arial"/>
          <w:sz w:val="16"/>
          <w:szCs w:val="16"/>
          <w:color w:val="auto"/>
        </w:rPr>
        <w:t>The Group assesses, at each reporting date, whether there is any indication that an asset may be impaired in value. If there is any indication or when an annual impairment test of an asset is required, the Group estimates the recoverable amount of the asset. The recoverable amount of an asset is the higher of the asset or CGU’s fair value less costs of disposal and its value in use and is determined for each asset individually, unless the asset generates cash flows that are largely independent of those of other assets or group of assets.</w:t>
      </w:r>
    </w:p>
    <w:p>
      <w:pPr>
        <w:spacing w:after="0" w:line="144" w:lineRule="exact"/>
        <w:rPr>
          <w:sz w:val="20"/>
          <w:szCs w:val="20"/>
          <w:color w:val="auto"/>
        </w:rPr>
      </w:pPr>
    </w:p>
    <w:p>
      <w:pPr>
        <w:ind w:left="340" w:right="160"/>
        <w:spacing w:after="0" w:line="247" w:lineRule="auto"/>
        <w:rPr>
          <w:sz w:val="20"/>
          <w:szCs w:val="20"/>
          <w:color w:val="auto"/>
        </w:rPr>
      </w:pPr>
      <w:r>
        <w:rPr>
          <w:rFonts w:ascii="Arial" w:cs="Arial" w:eastAsia="Arial" w:hAnsi="Arial"/>
          <w:sz w:val="16"/>
          <w:szCs w:val="16"/>
          <w:color w:val="auto"/>
        </w:rPr>
        <w:t>When the carrying amount of an asset or its CGU exceeds its recoverable amount, the asset or cash-generating unit is considered impaired and is reduced to its recoverable amount. When assessing the value in use, future cash flows are discounted to their present value using a pre-tax discount rate that reflects current market assessments of the time value of money and the specific risks of the asset. For the determination of fair value less costs of disposal, recent market transactions, if any, are taken into account. If such transactions cannot be identified, a valuation model that is appropriate is used. These calculations are verified against valuation multiples, stock quotes for subsidiaries listed on the stock exchange, and other available indicators of fair value.</w:t>
      </w:r>
    </w:p>
    <w:p>
      <w:pPr>
        <w:spacing w:after="0" w:line="147" w:lineRule="exact"/>
        <w:rPr>
          <w:sz w:val="20"/>
          <w:szCs w:val="20"/>
          <w:color w:val="auto"/>
        </w:rPr>
      </w:pPr>
    </w:p>
    <w:p>
      <w:pPr>
        <w:ind w:left="340" w:right="20"/>
        <w:spacing w:after="0" w:line="252" w:lineRule="auto"/>
        <w:rPr>
          <w:sz w:val="20"/>
          <w:szCs w:val="20"/>
          <w:color w:val="auto"/>
        </w:rPr>
      </w:pPr>
      <w:r>
        <w:rPr>
          <w:rFonts w:ascii="Arial" w:cs="Arial" w:eastAsia="Arial" w:hAnsi="Arial"/>
          <w:sz w:val="16"/>
          <w:szCs w:val="16"/>
          <w:color w:val="auto"/>
        </w:rPr>
        <w:t>For non-financial assets, excluding goodwill, an assessment is made at each reporting date of whether there are indications that previously recognized impairment losses may no longer exist or may have decreased. If such an indication exists, the Group estimates the recoverable amount. A previously recognized impairment loss is reversed only if there has been a change in the estimates used to determine the asset’s recoverable amount since the last impairment loss was recognized.</w:t>
      </w:r>
    </w:p>
    <w:p>
      <w:pPr>
        <w:spacing w:after="0" w:line="144" w:lineRule="exact"/>
        <w:rPr>
          <w:sz w:val="20"/>
          <w:szCs w:val="20"/>
          <w:color w:val="auto"/>
        </w:rPr>
      </w:pPr>
    </w:p>
    <w:p>
      <w:pPr>
        <w:jc w:val="both"/>
        <w:ind w:left="340" w:right="200"/>
        <w:spacing w:after="0" w:line="259" w:lineRule="auto"/>
        <w:rPr>
          <w:sz w:val="20"/>
          <w:szCs w:val="20"/>
          <w:color w:val="auto"/>
        </w:rPr>
      </w:pPr>
      <w:r>
        <w:rPr>
          <w:rFonts w:ascii="Arial" w:cs="Arial" w:eastAsia="Arial" w:hAnsi="Arial"/>
          <w:sz w:val="16"/>
          <w:szCs w:val="16"/>
          <w:color w:val="auto"/>
        </w:rPr>
        <w:t>The reversal is limited so that the carrying amount of the asset does not exceed its recoverable amount, nor exceed the carrying amount that would have been determined net of depreciation, as if no impairment had been recognized in previous years. Such reversal is recorded in the consolidated statement of income.</w:t>
      </w:r>
    </w:p>
    <w:p>
      <w:pPr>
        <w:spacing w:after="0" w:line="13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o)</w:t>
        <w:tab/>
        <w:t>Bank Acceptances –</w:t>
      </w:r>
    </w:p>
    <w:p>
      <w:pPr>
        <w:spacing w:after="0" w:line="183" w:lineRule="exact"/>
        <w:rPr>
          <w:sz w:val="20"/>
          <w:szCs w:val="20"/>
          <w:color w:val="auto"/>
        </w:rPr>
      </w:pPr>
    </w:p>
    <w:p>
      <w:pPr>
        <w:ind w:left="340" w:right="80"/>
        <w:spacing w:after="0" w:line="280" w:lineRule="auto"/>
        <w:rPr>
          <w:sz w:val="20"/>
          <w:szCs w:val="20"/>
          <w:color w:val="auto"/>
        </w:rPr>
      </w:pPr>
      <w:r>
        <w:rPr>
          <w:rFonts w:ascii="Arial" w:cs="Arial" w:eastAsia="Arial" w:hAnsi="Arial"/>
          <w:sz w:val="16"/>
          <w:szCs w:val="16"/>
          <w:color w:val="auto"/>
        </w:rPr>
        <w:t>Customer debt for acceptances corresponds to accounts payable by customers for import and export transactions, the obligations of which have been accepted by the Group. Obligations to be assumed by the Group are recorded as liabilities.</w:t>
      </w:r>
    </w:p>
    <w:p>
      <w:pPr>
        <w:spacing w:after="0" w:line="12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p)</w:t>
        <w:tab/>
        <w:t>Financial Guarantees -</w:t>
      </w:r>
    </w:p>
    <w:p>
      <w:pPr>
        <w:spacing w:after="0" w:line="183" w:lineRule="exact"/>
        <w:rPr>
          <w:sz w:val="20"/>
          <w:szCs w:val="20"/>
          <w:color w:val="auto"/>
        </w:rPr>
      </w:pPr>
    </w:p>
    <w:p>
      <w:pPr>
        <w:ind w:left="340" w:right="120"/>
        <w:spacing w:after="0" w:line="247" w:lineRule="auto"/>
        <w:rPr>
          <w:sz w:val="20"/>
          <w:szCs w:val="20"/>
          <w:color w:val="auto"/>
        </w:rPr>
      </w:pPr>
      <w:r>
        <w:rPr>
          <w:rFonts w:ascii="Arial" w:cs="Arial" w:eastAsia="Arial" w:hAnsi="Arial"/>
          <w:sz w:val="16"/>
          <w:szCs w:val="16"/>
          <w:color w:val="auto"/>
        </w:rPr>
        <w:t>In the ordinary course of business, the Group provides financial guarantees, such as letters of credit, guarantees, and bank acceptances. Financial guarantees are initially measured at fair value, which is equivalent to the initial consideration received; likewise, letters of credit and guarantees are recorded in the “Other Liabilities” line item of the consolidated statement of financial position and bank acceptances are presented in the consolidated statement of financial position. Subsequent to initial recognition, the Group’s liability for each guarantee is measured at the higher of the amount recognized initially, less the accumulated amortization recognized in the consolidated statement of income, and the best estimate of the expense required to settle any obligation arising from the financial guarantee.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0"/>
          </w:cols>
          <w:pgMar w:left="320" w:top="306" w:right="379" w:bottom="1440" w:gutter="0" w:footer="0" w:header="0"/>
        </w:sectPr>
      </w:pPr>
    </w:p>
    <w:bookmarkStart w:id="56" w:name="page57"/>
    <w:bookmarkEnd w:id="56"/>
    <w:p>
      <w:pPr>
        <w:ind w:left="342" w:right="260"/>
        <w:spacing w:after="0" w:line="259" w:lineRule="auto"/>
        <w:rPr>
          <w:sz w:val="20"/>
          <w:szCs w:val="20"/>
          <w:color w:val="auto"/>
        </w:rPr>
      </w:pPr>
      <w:r>
        <w:rPr>
          <w:rFonts w:ascii="Arial" w:cs="Arial" w:eastAsia="Arial" w:hAnsi="Arial"/>
          <w:sz w:val="16"/>
          <w:szCs w:val="16"/>
          <w:color w:val="auto"/>
        </w:rPr>
        <w:t>Any increase in the liability related to a financial guarantee is included in the consolidated statement of income. The consideration received is recognized in the “Commissions and Fees” line item of the consolidated statement of income, based on its straight-line amortization over the term of the granted financial guarantee.</w:t>
      </w:r>
    </w:p>
    <w:p>
      <w:pPr>
        <w:spacing w:after="0" w:line="137" w:lineRule="exact"/>
        <w:rPr>
          <w:sz w:val="20"/>
          <w:szCs w:val="20"/>
          <w:color w:val="auto"/>
        </w:rPr>
      </w:pPr>
    </w:p>
    <w:p>
      <w:pPr>
        <w:ind w:left="2"/>
        <w:spacing w:after="0"/>
        <w:tabs>
          <w:tab w:leader="none" w:pos="282" w:val="left"/>
        </w:tabs>
        <w:rPr>
          <w:sz w:val="20"/>
          <w:szCs w:val="20"/>
          <w:color w:val="auto"/>
        </w:rPr>
      </w:pPr>
      <w:r>
        <w:rPr>
          <w:rFonts w:ascii="Arial" w:cs="Arial" w:eastAsia="Arial" w:hAnsi="Arial"/>
          <w:sz w:val="16"/>
          <w:szCs w:val="16"/>
          <w:color w:val="auto"/>
        </w:rPr>
        <w:t>q)</w:t>
        <w:tab/>
        <w:t>Provisions –</w:t>
      </w:r>
    </w:p>
    <w:p>
      <w:pPr>
        <w:spacing w:after="0" w:line="183" w:lineRule="exact"/>
        <w:rPr>
          <w:sz w:val="20"/>
          <w:szCs w:val="20"/>
          <w:color w:val="auto"/>
        </w:rPr>
      </w:pPr>
    </w:p>
    <w:p>
      <w:pPr>
        <w:ind w:left="342"/>
        <w:spacing w:after="0" w:line="280" w:lineRule="auto"/>
        <w:rPr>
          <w:sz w:val="20"/>
          <w:szCs w:val="20"/>
          <w:color w:val="auto"/>
        </w:rPr>
      </w:pPr>
      <w:r>
        <w:rPr>
          <w:rFonts w:ascii="Arial" w:cs="Arial" w:eastAsia="Arial" w:hAnsi="Arial"/>
          <w:sz w:val="16"/>
          <w:szCs w:val="16"/>
          <w:color w:val="auto"/>
        </w:rPr>
        <w:t>Provisions are recognized when the Group has a present obligation (legal or implicit) as a result of a past event, and it is probable that resources will be required to settle that obligation, and the amount can be determined in a reliable manner.</w:t>
      </w:r>
    </w:p>
    <w:p>
      <w:pPr>
        <w:spacing w:after="0" w:line="120" w:lineRule="exact"/>
        <w:rPr>
          <w:sz w:val="20"/>
          <w:szCs w:val="20"/>
          <w:color w:val="auto"/>
        </w:rPr>
      </w:pPr>
    </w:p>
    <w:p>
      <w:pPr>
        <w:ind w:left="342" w:right="180"/>
        <w:spacing w:after="0" w:line="259" w:lineRule="auto"/>
        <w:rPr>
          <w:sz w:val="20"/>
          <w:szCs w:val="20"/>
          <w:color w:val="auto"/>
        </w:rPr>
      </w:pPr>
      <w:r>
        <w:rPr>
          <w:rFonts w:ascii="Arial" w:cs="Arial" w:eastAsia="Arial" w:hAnsi="Arial"/>
          <w:sz w:val="16"/>
          <w:szCs w:val="16"/>
          <w:color w:val="auto"/>
        </w:rPr>
        <w:t>The expense related to any provision is presented in the consolidated statement of income net of any reimbursement. If the effect of the time value of money is material, the provision is discounted using a current pre-tax rate that reflects, where appropriate, the specific risks of the liability. When discounting is used, the increase in the provision over time is recognized as a financial cost.</w:t>
      </w:r>
    </w:p>
    <w:p>
      <w:pPr>
        <w:spacing w:after="0" w:line="137" w:lineRule="exact"/>
        <w:rPr>
          <w:sz w:val="20"/>
          <w:szCs w:val="20"/>
          <w:color w:val="auto"/>
        </w:rPr>
      </w:pPr>
    </w:p>
    <w:p>
      <w:pPr>
        <w:ind w:left="302" w:hanging="302"/>
        <w:spacing w:after="0"/>
        <w:tabs>
          <w:tab w:leader="none" w:pos="302"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Contingencies –</w:t>
      </w:r>
    </w:p>
    <w:p>
      <w:pPr>
        <w:spacing w:after="0" w:line="183" w:lineRule="exact"/>
        <w:rPr>
          <w:sz w:val="20"/>
          <w:szCs w:val="20"/>
          <w:color w:val="auto"/>
        </w:rPr>
      </w:pPr>
    </w:p>
    <w:p>
      <w:pPr>
        <w:jc w:val="both"/>
        <w:ind w:left="342" w:right="420"/>
        <w:spacing w:after="0" w:line="259" w:lineRule="auto"/>
        <w:rPr>
          <w:sz w:val="20"/>
          <w:szCs w:val="20"/>
          <w:color w:val="auto"/>
        </w:rPr>
      </w:pPr>
      <w:r>
        <w:rPr>
          <w:rFonts w:ascii="Arial" w:cs="Arial" w:eastAsia="Arial" w:hAnsi="Arial"/>
          <w:sz w:val="16"/>
          <w:szCs w:val="16"/>
          <w:color w:val="auto"/>
        </w:rPr>
        <w:t>Contingent liabilities are not recognized in the consolidated financial statements. These are disclosed in notes unless the possibility of a payout is remote. Contingent assets are not recorded in the financial statements; these are disclosed if it is probable that an inflow of economic benefits will occur.</w:t>
      </w:r>
    </w:p>
    <w:p>
      <w:pPr>
        <w:spacing w:after="0" w:line="137" w:lineRule="exact"/>
        <w:rPr>
          <w:sz w:val="20"/>
          <w:szCs w:val="20"/>
          <w:color w:val="auto"/>
        </w:rPr>
      </w:pPr>
    </w:p>
    <w:p>
      <w:pPr>
        <w:ind w:left="2"/>
        <w:spacing w:after="0"/>
        <w:tabs>
          <w:tab w:leader="none" w:pos="282"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Income Tax –</w:t>
      </w:r>
    </w:p>
    <w:p>
      <w:pPr>
        <w:spacing w:after="0" w:line="183" w:lineRule="exact"/>
        <w:rPr>
          <w:sz w:val="20"/>
          <w:szCs w:val="20"/>
          <w:color w:val="auto"/>
        </w:rPr>
      </w:pPr>
    </w:p>
    <w:p>
      <w:pPr>
        <w:ind w:left="342"/>
        <w:spacing w:after="0"/>
        <w:rPr>
          <w:sz w:val="20"/>
          <w:szCs w:val="20"/>
          <w:color w:val="auto"/>
        </w:rPr>
      </w:pPr>
      <w:r>
        <w:rPr>
          <w:rFonts w:ascii="Arial" w:cs="Arial" w:eastAsia="Arial" w:hAnsi="Arial"/>
          <w:sz w:val="16"/>
          <w:szCs w:val="16"/>
          <w:color w:val="auto"/>
        </w:rPr>
        <w:t>Income tax is calculated based on the individual financial statements of each Group entity.</w:t>
      </w:r>
    </w:p>
    <w:p>
      <w:pPr>
        <w:spacing w:after="0" w:line="183" w:lineRule="exact"/>
        <w:rPr>
          <w:sz w:val="20"/>
          <w:szCs w:val="20"/>
          <w:color w:val="auto"/>
        </w:rPr>
      </w:pPr>
    </w:p>
    <w:p>
      <w:pPr>
        <w:ind w:left="342" w:right="80"/>
        <w:spacing w:after="0" w:line="249" w:lineRule="auto"/>
        <w:rPr>
          <w:sz w:val="20"/>
          <w:szCs w:val="20"/>
          <w:color w:val="auto"/>
        </w:rPr>
      </w:pPr>
      <w:r>
        <w:rPr>
          <w:rFonts w:ascii="Arial" w:cs="Arial" w:eastAsia="Arial" w:hAnsi="Arial"/>
          <w:sz w:val="16"/>
          <w:szCs w:val="16"/>
          <w:color w:val="auto"/>
        </w:rPr>
        <w:t>Deferred income tax reflects the effects of temporary differences between the carrying amounts of assets and liabilities for accounting purposes and those determined for tax purposes. Deferred assets and liabilities are measured using the tax rates expected to apply to taxable income in the years in which these differences are expected to be recovered or settled. The measurement of deferred assets and liabilities reflects the tax consequences derived from how Credicorp and its Subsidiaries expect to recover or settle the value of their assets and liabilities at the date of the consolidated statement of financial position.</w:t>
      </w:r>
    </w:p>
    <w:p>
      <w:pPr>
        <w:spacing w:after="0" w:line="145" w:lineRule="exact"/>
        <w:rPr>
          <w:sz w:val="20"/>
          <w:szCs w:val="20"/>
          <w:color w:val="auto"/>
        </w:rPr>
      </w:pPr>
    </w:p>
    <w:p>
      <w:pPr>
        <w:ind w:left="342"/>
        <w:spacing w:after="0" w:line="252" w:lineRule="auto"/>
        <w:rPr>
          <w:sz w:val="20"/>
          <w:szCs w:val="20"/>
          <w:color w:val="auto"/>
        </w:rPr>
      </w:pPr>
      <w:r>
        <w:rPr>
          <w:rFonts w:ascii="Arial" w:cs="Arial" w:eastAsia="Arial" w:hAnsi="Arial"/>
          <w:sz w:val="16"/>
          <w:szCs w:val="16"/>
          <w:color w:val="auto"/>
        </w:rPr>
        <w:t>The carrying amount of deferred tax assets and liabilities may change, even when the amount of temporary differences has not changed, due to a change in the income tax rate. The effect of the change in deferred tax, corresponding to the rate change, will be recognized in the consolidated statement of income for the period, except for items previously recognized outside the consolidated statement of income (either in other comprehensive income or directly in equity).</w:t>
      </w:r>
    </w:p>
    <w:p>
      <w:pPr>
        <w:spacing w:after="0" w:line="144" w:lineRule="exact"/>
        <w:rPr>
          <w:sz w:val="20"/>
          <w:szCs w:val="20"/>
          <w:color w:val="auto"/>
        </w:rPr>
      </w:pPr>
    </w:p>
    <w:p>
      <w:pPr>
        <w:ind w:left="342" w:right="120"/>
        <w:spacing w:after="0" w:line="259" w:lineRule="auto"/>
        <w:rPr>
          <w:sz w:val="20"/>
          <w:szCs w:val="20"/>
          <w:color w:val="auto"/>
        </w:rPr>
      </w:pPr>
      <w:r>
        <w:rPr>
          <w:rFonts w:ascii="Arial" w:cs="Arial" w:eastAsia="Arial" w:hAnsi="Arial"/>
          <w:sz w:val="16"/>
          <w:szCs w:val="16"/>
          <w:color w:val="auto"/>
        </w:rPr>
        <w:t>Deferred tax assets and liabilities are recognized regardless of the time it is estimated that temporary differences are offset. Deferred assets are recognized when it is probable that there will be sufficient future tax benefits for the temporary difference to be applied. At the date of the consolidated statement of financial position, Credicorp and its Subsidiaries assess unrecognized deferred assets and the balance of recognized ones.</w:t>
      </w:r>
    </w:p>
    <w:p>
      <w:pPr>
        <w:spacing w:after="0" w:line="137" w:lineRule="exact"/>
        <w:rPr>
          <w:sz w:val="20"/>
          <w:szCs w:val="20"/>
          <w:color w:val="auto"/>
        </w:rPr>
      </w:pPr>
    </w:p>
    <w:p>
      <w:pPr>
        <w:ind w:left="342" w:right="80"/>
        <w:spacing w:after="0" w:line="280" w:lineRule="auto"/>
        <w:rPr>
          <w:sz w:val="20"/>
          <w:szCs w:val="20"/>
          <w:color w:val="auto"/>
        </w:rPr>
      </w:pPr>
      <w:r>
        <w:rPr>
          <w:rFonts w:ascii="Arial" w:cs="Arial" w:eastAsia="Arial" w:hAnsi="Arial"/>
          <w:sz w:val="16"/>
          <w:szCs w:val="16"/>
          <w:color w:val="auto"/>
        </w:rPr>
        <w:t>Credicorp and its Subsidiaries determine their deferred tax based on the tax rate applicable to their undistributed profits, recognizing any additional tax for dividend distribution on the date the liability is recognized.</w:t>
      </w:r>
    </w:p>
    <w:p>
      <w:pPr>
        <w:spacing w:after="0" w:line="120" w:lineRule="exact"/>
        <w:rPr>
          <w:sz w:val="20"/>
          <w:szCs w:val="20"/>
          <w:color w:val="auto"/>
        </w:rPr>
      </w:pPr>
    </w:p>
    <w:p>
      <w:pPr>
        <w:ind w:left="342" w:right="180"/>
        <w:spacing w:after="0" w:line="280" w:lineRule="auto"/>
        <w:rPr>
          <w:sz w:val="20"/>
          <w:szCs w:val="20"/>
          <w:color w:val="auto"/>
        </w:rPr>
      </w:pPr>
      <w:r>
        <w:rPr>
          <w:rFonts w:ascii="Arial" w:cs="Arial" w:eastAsia="Arial" w:hAnsi="Arial"/>
          <w:sz w:val="16"/>
          <w:szCs w:val="16"/>
          <w:color w:val="auto"/>
        </w:rPr>
        <w:t>Deferred tax assets and liabilities are offset if there is a legal right to offset them and the deferred taxes are related to the same taxable entity and the same tax authority.</w:t>
      </w:r>
    </w:p>
    <w:p>
      <w:pPr>
        <w:spacing w:after="0" w:line="279"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306" w:right="339" w:bottom="1440" w:gutter="0" w:footer="0" w:header="0"/>
        </w:sectPr>
      </w:pPr>
    </w:p>
    <w:bookmarkStart w:id="57" w:name="page58"/>
    <w:bookmarkEnd w:id="57"/>
    <w:p>
      <w:pPr>
        <w:ind w:left="302" w:hanging="302"/>
        <w:spacing w:after="0"/>
        <w:tabs>
          <w:tab w:leader="none" w:pos="302"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Earnings for Share –</w:t>
      </w:r>
    </w:p>
    <w:p>
      <w:pPr>
        <w:spacing w:after="0" w:line="183" w:lineRule="exact"/>
        <w:rPr>
          <w:sz w:val="20"/>
          <w:szCs w:val="20"/>
          <w:color w:val="auto"/>
        </w:rPr>
      </w:pPr>
    </w:p>
    <w:p>
      <w:pPr>
        <w:ind w:left="342" w:right="60"/>
        <w:spacing w:after="0" w:line="280" w:lineRule="auto"/>
        <w:rPr>
          <w:sz w:val="20"/>
          <w:szCs w:val="20"/>
          <w:color w:val="auto"/>
        </w:rPr>
      </w:pPr>
      <w:r>
        <w:rPr>
          <w:rFonts w:ascii="Arial" w:cs="Arial" w:eastAsia="Arial" w:hAnsi="Arial"/>
          <w:sz w:val="16"/>
          <w:szCs w:val="16"/>
          <w:color w:val="auto"/>
        </w:rPr>
        <w:t>Basic earnings per share are calculated by dividing the net income for the year attributable to Credicorp shareholders by the weighted average number of common shares outstanding during the period, excluding common shares purchased and held as treasury shares.</w:t>
      </w:r>
    </w:p>
    <w:p>
      <w:pPr>
        <w:spacing w:after="0" w:line="120" w:lineRule="exact"/>
        <w:rPr>
          <w:sz w:val="20"/>
          <w:szCs w:val="20"/>
          <w:color w:val="auto"/>
        </w:rPr>
      </w:pPr>
    </w:p>
    <w:p>
      <w:pPr>
        <w:ind w:left="342" w:right="360"/>
        <w:spacing w:after="0" w:line="259" w:lineRule="auto"/>
        <w:rPr>
          <w:sz w:val="20"/>
          <w:szCs w:val="20"/>
          <w:color w:val="auto"/>
        </w:rPr>
      </w:pPr>
      <w:r>
        <w:rPr>
          <w:rFonts w:ascii="Arial" w:cs="Arial" w:eastAsia="Arial" w:hAnsi="Arial"/>
          <w:sz w:val="16"/>
          <w:szCs w:val="16"/>
          <w:color w:val="auto"/>
        </w:rPr>
        <w:t>Diluted earnings per share are calculated by dividing the net income for the year attributable to Credicorp shareholders by the weighted average of common shares outstanding during the period, excluding common shares purchased and held as treasury shares, plus the weighted average of common shares that would have been issued if all potential dilutive common shares had been converted into common shares.</w:t>
      </w:r>
    </w:p>
    <w:p>
      <w:pPr>
        <w:spacing w:after="0" w:line="137" w:lineRule="exact"/>
        <w:rPr>
          <w:sz w:val="20"/>
          <w:szCs w:val="20"/>
          <w:color w:val="auto"/>
        </w:rPr>
      </w:pPr>
    </w:p>
    <w:p>
      <w:pPr>
        <w:ind w:left="342" w:right="6680" w:hanging="342"/>
        <w:spacing w:after="0" w:line="478" w:lineRule="auto"/>
        <w:tabs>
          <w:tab w:leader="none" w:pos="289"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Derivative Financial Instruments and Accounting Hedging – Negotiable –</w:t>
      </w:r>
    </w:p>
    <w:p>
      <w:pPr>
        <w:ind w:left="342" w:right="120"/>
        <w:spacing w:after="0" w:line="280" w:lineRule="auto"/>
        <w:rPr>
          <w:sz w:val="20"/>
          <w:szCs w:val="20"/>
          <w:color w:val="auto"/>
        </w:rPr>
      </w:pPr>
      <w:r>
        <w:rPr>
          <w:rFonts w:ascii="Arial" w:cs="Arial" w:eastAsia="Arial" w:hAnsi="Arial"/>
          <w:sz w:val="16"/>
          <w:szCs w:val="16"/>
          <w:color w:val="auto"/>
        </w:rPr>
        <w:t>The Group trades derivative financial instruments to meet the needs of its clients. The Group may also take positions with the expectation of to benefit from favorable movements in prices, rates, or indices.</w:t>
      </w:r>
    </w:p>
    <w:p>
      <w:pPr>
        <w:spacing w:after="0" w:line="120" w:lineRule="exact"/>
        <w:rPr>
          <w:sz w:val="20"/>
          <w:szCs w:val="20"/>
          <w:color w:val="auto"/>
        </w:rPr>
      </w:pPr>
    </w:p>
    <w:p>
      <w:pPr>
        <w:ind w:left="342" w:right="20"/>
        <w:spacing w:after="0" w:line="280" w:lineRule="auto"/>
        <w:rPr>
          <w:sz w:val="20"/>
          <w:szCs w:val="20"/>
          <w:color w:val="auto"/>
        </w:rPr>
      </w:pPr>
      <w:r>
        <w:rPr>
          <w:rFonts w:ascii="Arial" w:cs="Arial" w:eastAsia="Arial" w:hAnsi="Arial"/>
          <w:sz w:val="16"/>
          <w:szCs w:val="16"/>
          <w:color w:val="auto"/>
        </w:rPr>
        <w:t>Part of the derivative transactions that provide effective economic hedges under the Group’s risk management positions do not qualify as hedges under the specific rules of IFRS 9 and are therefore treated as derivatives for trading purposes.</w:t>
      </w:r>
    </w:p>
    <w:p>
      <w:pPr>
        <w:spacing w:after="0" w:line="120" w:lineRule="exact"/>
        <w:rPr>
          <w:sz w:val="20"/>
          <w:szCs w:val="20"/>
          <w:color w:val="auto"/>
        </w:rPr>
      </w:pPr>
    </w:p>
    <w:p>
      <w:pPr>
        <w:ind w:left="342" w:right="40"/>
        <w:spacing w:after="0" w:line="259" w:lineRule="auto"/>
        <w:rPr>
          <w:sz w:val="20"/>
          <w:szCs w:val="20"/>
          <w:color w:val="auto"/>
        </w:rPr>
      </w:pPr>
      <w:r>
        <w:rPr>
          <w:rFonts w:ascii="Arial" w:cs="Arial" w:eastAsia="Arial" w:hAnsi="Arial"/>
          <w:sz w:val="16"/>
          <w:szCs w:val="16"/>
          <w:color w:val="auto"/>
        </w:rPr>
        <w:t>Derivative financial instruments are initially recognized in the consolidated statement of financial position at fair value and subsequently measured at fair value. Fair values are​ obtained based on market exchange rates and interest rates. All derivatives are considered assets when fair value is positive and liabilities when fair value is negative. Gains and losses from changes in fair value are recorded in the consolidated statement of income.</w:t>
      </w:r>
    </w:p>
    <w:p>
      <w:pPr>
        <w:spacing w:after="0" w:line="137" w:lineRule="exact"/>
        <w:rPr>
          <w:sz w:val="20"/>
          <w:szCs w:val="20"/>
          <w:color w:val="auto"/>
        </w:rPr>
      </w:pPr>
    </w:p>
    <w:p>
      <w:pPr>
        <w:ind w:left="342"/>
        <w:spacing w:after="0"/>
        <w:rPr>
          <w:sz w:val="20"/>
          <w:szCs w:val="20"/>
          <w:color w:val="auto"/>
        </w:rPr>
      </w:pPr>
      <w:r>
        <w:rPr>
          <w:rFonts w:ascii="Arial" w:cs="Arial" w:eastAsia="Arial" w:hAnsi="Arial"/>
          <w:sz w:val="16"/>
          <w:szCs w:val="16"/>
          <w:color w:val="auto"/>
        </w:rPr>
        <w:t>Hedging -</w:t>
      </w:r>
    </w:p>
    <w:p>
      <w:pPr>
        <w:spacing w:after="0" w:line="183" w:lineRule="exact"/>
        <w:rPr>
          <w:sz w:val="20"/>
          <w:szCs w:val="20"/>
          <w:color w:val="auto"/>
        </w:rPr>
      </w:pPr>
    </w:p>
    <w:p>
      <w:pPr>
        <w:ind w:left="342" w:right="420"/>
        <w:spacing w:after="0" w:line="280" w:lineRule="auto"/>
        <w:rPr>
          <w:sz w:val="20"/>
          <w:szCs w:val="20"/>
          <w:color w:val="auto"/>
        </w:rPr>
      </w:pPr>
      <w:r>
        <w:rPr>
          <w:rFonts w:ascii="Arial" w:cs="Arial" w:eastAsia="Arial" w:hAnsi="Arial"/>
          <w:sz w:val="16"/>
          <w:szCs w:val="16"/>
          <w:color w:val="auto"/>
        </w:rPr>
        <w:t>The Group uses derivative instruments to manage its exposure to interest rates and foreign currency. In order to manage specific risks, the Group applies hedge accounting for transactions that meet the specific criteria for it.</w:t>
      </w:r>
    </w:p>
    <w:p>
      <w:pPr>
        <w:spacing w:after="0" w:line="120" w:lineRule="exact"/>
        <w:rPr>
          <w:sz w:val="20"/>
          <w:szCs w:val="20"/>
          <w:color w:val="auto"/>
        </w:rPr>
      </w:pPr>
    </w:p>
    <w:p>
      <w:pPr>
        <w:ind w:left="342"/>
        <w:spacing w:after="0"/>
        <w:rPr>
          <w:sz w:val="20"/>
          <w:szCs w:val="20"/>
          <w:color w:val="auto"/>
        </w:rPr>
      </w:pPr>
      <w:r>
        <w:rPr>
          <w:rFonts w:ascii="Arial" w:cs="Arial" w:eastAsia="Arial" w:hAnsi="Arial"/>
          <w:sz w:val="16"/>
          <w:szCs w:val="16"/>
          <w:color w:val="auto"/>
        </w:rPr>
        <w:t>According to IFRS 9, to qualify as hedging transactions, all the following conditions must be met:</w:t>
      </w:r>
    </w:p>
    <w:p>
      <w:pPr>
        <w:spacing w:after="0" w:line="183" w:lineRule="exact"/>
        <w:rPr>
          <w:sz w:val="20"/>
          <w:szCs w:val="20"/>
          <w:color w:val="auto"/>
        </w:rPr>
      </w:pPr>
    </w:p>
    <w:p>
      <w:pPr>
        <w:ind w:left="1162" w:hanging="295"/>
        <w:spacing w:after="0"/>
        <w:tabs>
          <w:tab w:leader="none" w:pos="116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hedging relationship consists only of hedging instruments and eligible hedged items.</w:t>
      </w:r>
    </w:p>
    <w:p>
      <w:pPr>
        <w:spacing w:after="0" w:line="182" w:lineRule="exact"/>
        <w:rPr>
          <w:rFonts w:ascii="Arial" w:cs="Arial" w:eastAsia="Arial" w:hAnsi="Arial"/>
          <w:sz w:val="16"/>
          <w:szCs w:val="16"/>
          <w:color w:val="auto"/>
        </w:rPr>
      </w:pPr>
    </w:p>
    <w:p>
      <w:pPr>
        <w:ind w:left="1162" w:hanging="295"/>
        <w:spacing w:after="0" w:line="252" w:lineRule="auto"/>
        <w:tabs>
          <w:tab w:leader="none" w:pos="1162" w:val="left"/>
        </w:tabs>
        <w:numPr>
          <w:ilvl w:val="0"/>
          <w:numId w:val="75"/>
        </w:numPr>
        <w:rPr>
          <w:rFonts w:ascii="Arial" w:cs="Arial" w:eastAsia="Arial" w:hAnsi="Arial"/>
          <w:sz w:val="16"/>
          <w:szCs w:val="16"/>
          <w:color w:val="auto"/>
        </w:rPr>
      </w:pPr>
      <w:r>
        <w:rPr>
          <w:rFonts w:ascii="Arial" w:cs="Arial" w:eastAsia="Arial" w:hAnsi="Arial"/>
          <w:sz w:val="16"/>
          <w:szCs w:val="16"/>
          <w:color w:val="auto"/>
        </w:rPr>
        <w:t>At the beginning of the hedging relationship, there is a formal designation and documentation of the hedging relationship and the entity’s risk management objective and strategy to undertake the hedge. This documentation will include the identification of the hedging instrument, the hedged item, the nature of the risk being hedged, and how the entity will assess whether the hedging relationship meets the hedge effectiveness requirements.</w:t>
      </w:r>
    </w:p>
    <w:p>
      <w:pPr>
        <w:spacing w:after="0" w:line="143" w:lineRule="exact"/>
        <w:rPr>
          <w:rFonts w:ascii="Arial" w:cs="Arial" w:eastAsia="Arial" w:hAnsi="Arial"/>
          <w:sz w:val="16"/>
          <w:szCs w:val="16"/>
          <w:color w:val="auto"/>
        </w:rPr>
      </w:pPr>
    </w:p>
    <w:p>
      <w:pPr>
        <w:ind w:left="1162"/>
        <w:spacing w:after="0"/>
        <w:rPr>
          <w:rFonts w:ascii="Arial" w:cs="Arial" w:eastAsia="Arial" w:hAnsi="Arial"/>
          <w:sz w:val="16"/>
          <w:szCs w:val="16"/>
          <w:color w:val="auto"/>
        </w:rPr>
      </w:pPr>
      <w:r>
        <w:rPr>
          <w:rFonts w:ascii="Arial" w:cs="Arial" w:eastAsia="Arial" w:hAnsi="Arial"/>
          <w:sz w:val="16"/>
          <w:szCs w:val="16"/>
          <w:color w:val="auto"/>
        </w:rPr>
        <w:t>The hedging relationship meets all of the following hedge effectiveness requirements:</w:t>
      </w:r>
    </w:p>
    <w:p>
      <w:pPr>
        <w:spacing w:after="0" w:line="182" w:lineRule="exact"/>
        <w:rPr>
          <w:rFonts w:ascii="Arial" w:cs="Arial" w:eastAsia="Arial" w:hAnsi="Arial"/>
          <w:sz w:val="16"/>
          <w:szCs w:val="16"/>
          <w:color w:val="auto"/>
        </w:rPr>
      </w:pPr>
    </w:p>
    <w:p>
      <w:pPr>
        <w:ind w:left="1382" w:hanging="295"/>
        <w:spacing w:after="0"/>
        <w:tabs>
          <w:tab w:leader="none" w:pos="1382"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There is an economic relationship between the hedged item and the hedging instrument.</w:t>
      </w:r>
    </w:p>
    <w:p>
      <w:pPr>
        <w:spacing w:after="0" w:line="341"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306" w:right="339" w:bottom="1440" w:gutter="0" w:footer="0" w:header="0"/>
        </w:sectPr>
      </w:pPr>
    </w:p>
    <w:bookmarkStart w:id="58" w:name="page59"/>
    <w:bookmarkEnd w:id="58"/>
    <w:p>
      <w:pPr>
        <w:ind w:left="1040" w:hanging="295"/>
        <w:spacing w:after="0"/>
        <w:tabs>
          <w:tab w:leader="none" w:pos="10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effect of credit risk does not dominate the value changes that come from this economic relationship.</w:t>
      </w:r>
    </w:p>
    <w:p>
      <w:pPr>
        <w:spacing w:after="0" w:line="15" w:lineRule="exact"/>
        <w:rPr>
          <w:rFonts w:ascii="Arial" w:cs="Arial" w:eastAsia="Arial" w:hAnsi="Arial"/>
          <w:sz w:val="16"/>
          <w:szCs w:val="16"/>
          <w:color w:val="auto"/>
        </w:rPr>
      </w:pPr>
    </w:p>
    <w:p>
      <w:pPr>
        <w:ind w:left="1040" w:hanging="295"/>
        <w:spacing w:after="0" w:line="259" w:lineRule="auto"/>
        <w:tabs>
          <w:tab w:leader="none" w:pos="10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hedge ratio of the hedging relationship is the same as that arising from the amount of the hedged item that the entity actually hedges and the amount of the hedging instrument that the entity actually uses to hedge that amount of the hedged item.</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treatment is established according to the nature of the hedged item and the fulfillment of the hedging criteria.</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 Cash flow hedges -</w:t>
      </w:r>
    </w:p>
    <w:p>
      <w:pPr>
        <w:spacing w:after="0" w:line="183" w:lineRule="exact"/>
        <w:rPr>
          <w:sz w:val="20"/>
          <w:szCs w:val="20"/>
          <w:color w:val="auto"/>
        </w:rPr>
      </w:pPr>
    </w:p>
    <w:p>
      <w:pPr>
        <w:ind w:left="460" w:right="80"/>
        <w:spacing w:after="0" w:line="252" w:lineRule="auto"/>
        <w:rPr>
          <w:sz w:val="20"/>
          <w:szCs w:val="20"/>
          <w:color w:val="auto"/>
        </w:rPr>
      </w:pPr>
      <w:r>
        <w:rPr>
          <w:rFonts w:ascii="Arial" w:cs="Arial" w:eastAsia="Arial" w:hAnsi="Arial"/>
          <w:sz w:val="16"/>
          <w:szCs w:val="16"/>
          <w:color w:val="auto"/>
        </w:rPr>
        <w:t>The effective portion of the cumulative gain or loss on the hedging instrument is recognized directly in other comprehensive income in the “Cash flow hedge reserve” line of the consolidated statement of changes in equity, and is reclassified to the consolidated statement of income in the same period or periods in which the hedged transaction affects results; that is, when the income or financial expenses related to the hedge are recorded, or when an anticipated transaction occurs.</w:t>
      </w:r>
    </w:p>
    <w:p>
      <w:pPr>
        <w:spacing w:after="0" w:line="144" w:lineRule="exact"/>
        <w:rPr>
          <w:sz w:val="20"/>
          <w:szCs w:val="20"/>
          <w:color w:val="auto"/>
        </w:rPr>
      </w:pPr>
    </w:p>
    <w:p>
      <w:pPr>
        <w:ind w:left="460" w:right="460"/>
        <w:spacing w:after="0" w:line="280" w:lineRule="auto"/>
        <w:rPr>
          <w:sz w:val="20"/>
          <w:szCs w:val="20"/>
          <w:color w:val="auto"/>
        </w:rPr>
      </w:pPr>
      <w:r>
        <w:rPr>
          <w:rFonts w:ascii="Arial" w:cs="Arial" w:eastAsia="Arial" w:hAnsi="Arial"/>
          <w:sz w:val="16"/>
          <w:szCs w:val="16"/>
          <w:color w:val="auto"/>
        </w:rPr>
        <w:t>The part of the gain or loss on derivatives that represents the ineffective portion is recognized immediately in the consolidated statement of income.</w:t>
      </w:r>
    </w:p>
    <w:p>
      <w:pPr>
        <w:spacing w:after="0" w:line="120" w:lineRule="exact"/>
        <w:rPr>
          <w:sz w:val="20"/>
          <w:szCs w:val="20"/>
          <w:color w:val="auto"/>
        </w:rPr>
      </w:pPr>
    </w:p>
    <w:p>
      <w:pPr>
        <w:ind w:left="460" w:right="40"/>
        <w:spacing w:after="0" w:line="280" w:lineRule="auto"/>
        <w:rPr>
          <w:sz w:val="20"/>
          <w:szCs w:val="20"/>
          <w:color w:val="auto"/>
        </w:rPr>
      </w:pPr>
      <w:r>
        <w:rPr>
          <w:rFonts w:ascii="Arial" w:cs="Arial" w:eastAsia="Arial" w:hAnsi="Arial"/>
          <w:sz w:val="16"/>
          <w:szCs w:val="16"/>
          <w:color w:val="auto"/>
        </w:rPr>
        <w:t>Amounts originally recorded in other comprehensive income and subsequently reclassified to the consolidated statement of income are recorded in the corresponding expense or income lines in which the hedged item is reported.</w:t>
      </w:r>
    </w:p>
    <w:p>
      <w:pPr>
        <w:spacing w:after="0" w:line="120" w:lineRule="exact"/>
        <w:rPr>
          <w:sz w:val="20"/>
          <w:szCs w:val="20"/>
          <w:color w:val="auto"/>
        </w:rPr>
      </w:pPr>
    </w:p>
    <w:p>
      <w:pPr>
        <w:ind w:left="460" w:right="40"/>
        <w:spacing w:after="0" w:line="249" w:lineRule="auto"/>
        <w:rPr>
          <w:sz w:val="20"/>
          <w:szCs w:val="20"/>
          <w:color w:val="auto"/>
        </w:rPr>
      </w:pPr>
      <w:r>
        <w:rPr>
          <w:rFonts w:ascii="Arial" w:cs="Arial" w:eastAsia="Arial" w:hAnsi="Arial"/>
          <w:sz w:val="16"/>
          <w:szCs w:val="16"/>
          <w:color w:val="auto"/>
        </w:rPr>
        <w:t>If the anticipated transaction or firm commitment is no longer expected to occur, the cumulative gain or loss in the cash flow hedge reserve is transferred to the consolidated statement of income. If the derivative expires or is sold, settled, or exercised without replacement or renewal, or if its designation as a hedge has been revoked, any unrealized gain or loss accumulated in the cash flow hedge reserve remains in that reserve until the anticipated transaction or firm commitment affects results. At the same time, the derivative is recognized as a tradable derivative financial instrument.</w:t>
      </w:r>
    </w:p>
    <w:p>
      <w:pPr>
        <w:spacing w:after="0" w:line="145" w:lineRule="exact"/>
        <w:rPr>
          <w:sz w:val="20"/>
          <w:szCs w:val="20"/>
          <w:color w:val="auto"/>
        </w:rPr>
      </w:pPr>
    </w:p>
    <w:p>
      <w:pPr>
        <w:ind w:left="460" w:hanging="225"/>
        <w:spacing w:after="0"/>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Fair value hedges -</w:t>
      </w:r>
    </w:p>
    <w:p>
      <w:pPr>
        <w:spacing w:after="0" w:line="182" w:lineRule="exact"/>
        <w:rPr>
          <w:rFonts w:ascii="Arial" w:cs="Arial" w:eastAsia="Arial" w:hAnsi="Arial"/>
          <w:sz w:val="16"/>
          <w:szCs w:val="16"/>
          <w:color w:val="auto"/>
        </w:rPr>
      </w:pPr>
    </w:p>
    <w:p>
      <w:pPr>
        <w:ind w:left="460" w:right="40"/>
        <w:spacing w:after="0" w:line="280" w:lineRule="auto"/>
        <w:rPr>
          <w:rFonts w:ascii="Arial" w:cs="Arial" w:eastAsia="Arial" w:hAnsi="Arial"/>
          <w:sz w:val="16"/>
          <w:szCs w:val="16"/>
          <w:color w:val="auto"/>
        </w:rPr>
      </w:pPr>
      <w:r>
        <w:rPr>
          <w:rFonts w:ascii="Arial" w:cs="Arial" w:eastAsia="Arial" w:hAnsi="Arial"/>
          <w:sz w:val="16"/>
          <w:szCs w:val="16"/>
          <w:color w:val="auto"/>
        </w:rPr>
        <w:t>The change in the fair value of a fair value hedge and the change in the fair value of the hedged item attributable to the hedged risk are recorded by affecting the book value of the hedged item and are recognized in the consolidated statement of income.</w:t>
      </w:r>
    </w:p>
    <w:p>
      <w:pPr>
        <w:spacing w:after="0" w:line="120" w:lineRule="exact"/>
        <w:rPr>
          <w:rFonts w:ascii="Arial" w:cs="Arial" w:eastAsia="Arial" w:hAnsi="Arial"/>
          <w:sz w:val="16"/>
          <w:szCs w:val="16"/>
          <w:color w:val="auto"/>
        </w:rPr>
      </w:pPr>
    </w:p>
    <w:p>
      <w:pPr>
        <w:ind w:left="460" w:right="180"/>
        <w:spacing w:after="0" w:line="252" w:lineRule="auto"/>
        <w:rPr>
          <w:rFonts w:ascii="Arial" w:cs="Arial" w:eastAsia="Arial" w:hAnsi="Arial"/>
          <w:sz w:val="16"/>
          <w:szCs w:val="16"/>
          <w:color w:val="auto"/>
        </w:rPr>
      </w:pPr>
      <w:r>
        <w:rPr>
          <w:rFonts w:ascii="Arial" w:cs="Arial" w:eastAsia="Arial" w:hAnsi="Arial"/>
          <w:sz w:val="16"/>
          <w:szCs w:val="16"/>
          <w:color w:val="auto"/>
        </w:rPr>
        <w:t>For fair value hedges related to items recorded at amortized cost, any adjustment to the book value of such items as a result of hedge discontinuation will be amortized through the consolidated statement of income over the remaining term of the hedge. Amortization at the effective interest rate may begin as soon as an adjustment occurs, but no later than when the hedged item is no longer adjusted for changes in its fair value attributable to the hedged risk.</w:t>
      </w:r>
    </w:p>
    <w:p>
      <w:pPr>
        <w:spacing w:after="0" w:line="14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If the hedged item is derecognized, the unamortized fair value is recognized immediately in the consolidated statement of income.</w:t>
      </w:r>
    </w:p>
    <w:p>
      <w:pPr>
        <w:spacing w:after="0" w:line="182" w:lineRule="exact"/>
        <w:rPr>
          <w:rFonts w:ascii="Arial" w:cs="Arial" w:eastAsia="Arial" w:hAnsi="Arial"/>
          <w:sz w:val="16"/>
          <w:szCs w:val="16"/>
          <w:color w:val="auto"/>
        </w:rPr>
      </w:pPr>
    </w:p>
    <w:p>
      <w:pPr>
        <w:ind w:left="460" w:right="40"/>
        <w:spacing w:after="0" w:line="249" w:lineRule="auto"/>
        <w:rPr>
          <w:rFonts w:ascii="Arial" w:cs="Arial" w:eastAsia="Arial" w:hAnsi="Arial"/>
          <w:sz w:val="16"/>
          <w:szCs w:val="16"/>
          <w:color w:val="auto"/>
        </w:rPr>
      </w:pPr>
      <w:r>
        <w:rPr>
          <w:rFonts w:ascii="Arial" w:cs="Arial" w:eastAsia="Arial" w:hAnsi="Arial"/>
          <w:sz w:val="16"/>
          <w:szCs w:val="16"/>
          <w:color w:val="auto"/>
        </w:rPr>
        <w:t>If a hedging instrument expires, is sold, settled, or exercised, or if its designation as a hedge no longer meets the criteria to be recorded as such, the hedging relationship is terminated. For fair value hedges related to items recorded at amortized cost, the difference between the fair value and the book value of the hedged item at the end and the face value is amortized over the remaining term of the initial hedge, using the effective interest rate. If the hedged item is derecognized, the unamortized fair value is immediately recognized in the consolidated statement of income. At the same time, the derivative is recognized as a tradable derivative financial instrument.</w:t>
      </w:r>
    </w:p>
    <w:p>
      <w:pPr>
        <w:spacing w:after="0" w:line="304"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41275</wp:posOffset>
            </wp:positionV>
            <wp:extent cx="714565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00"/>
          </w:cols>
          <w:pgMar w:left="660" w:top="306" w:right="339" w:bottom="1440" w:gutter="0" w:footer="0" w:header="0"/>
        </w:sectPr>
      </w:pPr>
    </w:p>
    <w:bookmarkStart w:id="59" w:name="page60"/>
    <w:bookmarkEnd w:id="59"/>
    <w:p>
      <w:pPr>
        <w:ind w:left="580"/>
        <w:spacing w:after="0"/>
        <w:rPr>
          <w:sz w:val="20"/>
          <w:szCs w:val="20"/>
          <w:color w:val="auto"/>
        </w:rPr>
      </w:pPr>
      <w:r>
        <w:rPr>
          <w:rFonts w:ascii="Arial" w:cs="Arial" w:eastAsia="Arial" w:hAnsi="Arial"/>
          <w:sz w:val="16"/>
          <w:szCs w:val="16"/>
          <w:color w:val="auto"/>
        </w:rPr>
        <w:t>(iii) Foreign currency net investment hedges -</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Foreign currency net investment hedges are accounted for similarly to cash flow hedges.</w:t>
      </w:r>
    </w:p>
    <w:p>
      <w:pPr>
        <w:spacing w:after="0" w:line="183" w:lineRule="exact"/>
        <w:rPr>
          <w:sz w:val="20"/>
          <w:szCs w:val="20"/>
          <w:color w:val="auto"/>
        </w:rPr>
      </w:pPr>
    </w:p>
    <w:p>
      <w:pPr>
        <w:ind w:left="800" w:right="380"/>
        <w:spacing w:after="0" w:line="259" w:lineRule="auto"/>
        <w:rPr>
          <w:sz w:val="20"/>
          <w:szCs w:val="20"/>
          <w:color w:val="auto"/>
        </w:rPr>
      </w:pPr>
      <w:r>
        <w:rPr>
          <w:rFonts w:ascii="Arial" w:cs="Arial" w:eastAsia="Arial" w:hAnsi="Arial"/>
          <w:sz w:val="16"/>
          <w:szCs w:val="16"/>
          <w:color w:val="auto"/>
        </w:rPr>
        <w:t>Any gain or loss on the hedging instrument related to the effective portion of the hedge is recognized in other comprehensive income and accumulated in the “Translation of operations abroad” line of the consolidated statement of changes in equity. The gain or loss related to the ineffective portion is recognized immediately in the consolidated statement of income within “Other income” or “Other expenses”.</w:t>
      </w:r>
    </w:p>
    <w:p>
      <w:pPr>
        <w:spacing w:after="0" w:line="137" w:lineRule="exact"/>
        <w:rPr>
          <w:sz w:val="20"/>
          <w:szCs w:val="20"/>
          <w:color w:val="auto"/>
        </w:rPr>
      </w:pPr>
    </w:p>
    <w:p>
      <w:pPr>
        <w:jc w:val="both"/>
        <w:ind w:left="800" w:right="80"/>
        <w:spacing w:after="0" w:line="280" w:lineRule="auto"/>
        <w:rPr>
          <w:sz w:val="20"/>
          <w:szCs w:val="20"/>
          <w:color w:val="auto"/>
        </w:rPr>
      </w:pPr>
      <w:r>
        <w:rPr>
          <w:rFonts w:ascii="Arial" w:cs="Arial" w:eastAsia="Arial" w:hAnsi="Arial"/>
          <w:sz w:val="16"/>
          <w:szCs w:val="16"/>
          <w:color w:val="auto"/>
        </w:rPr>
        <w:t>Accumulated gains and losses in the consolidated statement of changes in equity are reclassified to the consolidated statement of income when the net investment abroad is disposed of or partially sold.</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(iv) Implicit derivatives -</w:t>
      </w:r>
    </w:p>
    <w:p>
      <w:pPr>
        <w:spacing w:after="0" w:line="183" w:lineRule="exact"/>
        <w:rPr>
          <w:sz w:val="20"/>
          <w:szCs w:val="20"/>
          <w:color w:val="auto"/>
        </w:rPr>
      </w:pPr>
    </w:p>
    <w:p>
      <w:pPr>
        <w:jc w:val="both"/>
        <w:ind w:left="800" w:right="60"/>
        <w:spacing w:after="0" w:line="259" w:lineRule="auto"/>
        <w:rPr>
          <w:sz w:val="20"/>
          <w:szCs w:val="20"/>
          <w:color w:val="auto"/>
        </w:rPr>
      </w:pPr>
      <w:r>
        <w:rPr>
          <w:rFonts w:ascii="Arial" w:cs="Arial" w:eastAsia="Arial" w:hAnsi="Arial"/>
          <w:sz w:val="16"/>
          <w:szCs w:val="16"/>
          <w:color w:val="auto"/>
        </w:rPr>
        <w:t>Implicit derivatives in a principal (or host) contract are treated as separate derivatives and recorded at fair value if their economic characteristics and risks are not closely related to those of the principal contract and such principal contract is not held for trading or measured at fair value with effect on income.</w:t>
      </w:r>
    </w:p>
    <w:p>
      <w:pPr>
        <w:spacing w:after="0" w:line="137" w:lineRule="exact"/>
        <w:rPr>
          <w:sz w:val="20"/>
          <w:szCs w:val="20"/>
          <w:color w:val="auto"/>
        </w:rPr>
      </w:pPr>
    </w:p>
    <w:p>
      <w:pPr>
        <w:ind w:left="800" w:right="320"/>
        <w:spacing w:after="0" w:line="280" w:lineRule="auto"/>
        <w:rPr>
          <w:sz w:val="20"/>
          <w:szCs w:val="20"/>
          <w:color w:val="auto"/>
        </w:rPr>
      </w:pPr>
      <w:r>
        <w:rPr>
          <w:rFonts w:ascii="Arial" w:cs="Arial" w:eastAsia="Arial" w:hAnsi="Arial"/>
          <w:sz w:val="16"/>
          <w:szCs w:val="16"/>
          <w:color w:val="auto"/>
        </w:rPr>
        <w:t>The Group has investments indexed to certain liabilities from life insurance contracts, called “</w:t>
      </w:r>
      <w:r>
        <w:rPr>
          <w:rFonts w:ascii="Arial" w:cs="Arial" w:eastAsia="Arial" w:hAnsi="Arial"/>
          <w:sz w:val="16"/>
          <w:szCs w:val="16"/>
          <w:i w:val="1"/>
          <w:iCs w:val="1"/>
          <w:color w:val="auto"/>
        </w:rPr>
        <w:t>Investment Link</w:t>
      </w:r>
      <w:r>
        <w:rPr>
          <w:rFonts w:ascii="Arial" w:cs="Arial" w:eastAsia="Arial" w:hAnsi="Arial"/>
          <w:sz w:val="16"/>
          <w:szCs w:val="16"/>
          <w:color w:val="auto"/>
        </w:rPr>
        <w:t>”. These instruments have been classified by the Group since their initial recognition as “Financial instruments at fair value with changes in income”.</w:t>
      </w:r>
    </w:p>
    <w:p>
      <w:pPr>
        <w:spacing w:after="0" w:line="12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v)</w:t>
        <w:tab/>
        <w:t>Fair value measurement -</w:t>
      </w:r>
    </w:p>
    <w:p>
      <w:pPr>
        <w:spacing w:after="0" w:line="183" w:lineRule="exact"/>
        <w:rPr>
          <w:sz w:val="20"/>
          <w:szCs w:val="20"/>
          <w:color w:val="auto"/>
        </w:rPr>
      </w:pPr>
    </w:p>
    <w:p>
      <w:pPr>
        <w:ind w:left="340" w:right="140"/>
        <w:spacing w:after="0" w:line="259" w:lineRule="auto"/>
        <w:rPr>
          <w:sz w:val="20"/>
          <w:szCs w:val="20"/>
          <w:color w:val="auto"/>
        </w:rPr>
      </w:pPr>
      <w:r>
        <w:rPr>
          <w:rFonts w:ascii="Arial" w:cs="Arial" w:eastAsia="Arial" w:hAnsi="Arial"/>
          <w:sz w:val="16"/>
          <w:szCs w:val="16"/>
          <w:color w:val="auto"/>
        </w:rPr>
        <w:t>Fair value is the price that would be received for selling an asset or that would be paid to transfer a liability in an orderly transaction between market participants at the measurement date. Fair value measurement is based on the assumption that the transaction to sell the asset or transfer the liability takes place, either:</w:t>
      </w:r>
    </w:p>
    <w:p>
      <w:pPr>
        <w:spacing w:after="0" w:line="137" w:lineRule="exact"/>
        <w:rPr>
          <w:sz w:val="20"/>
          <w:szCs w:val="20"/>
          <w:color w:val="auto"/>
        </w:rPr>
      </w:pPr>
    </w:p>
    <w:p>
      <w:pPr>
        <w:ind w:left="560" w:hanging="110"/>
        <w:spacing w:after="0"/>
        <w:tabs>
          <w:tab w:leader="none" w:pos="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the principal market for the asset or liability, or</w:t>
      </w:r>
    </w:p>
    <w:p>
      <w:pPr>
        <w:spacing w:after="0" w:line="15" w:lineRule="exact"/>
        <w:rPr>
          <w:rFonts w:ascii="Arial" w:cs="Arial" w:eastAsia="Arial" w:hAnsi="Arial"/>
          <w:sz w:val="16"/>
          <w:szCs w:val="16"/>
          <w:color w:val="auto"/>
        </w:rPr>
      </w:pPr>
    </w:p>
    <w:p>
      <w:pPr>
        <w:ind w:left="560" w:hanging="110"/>
        <w:spacing w:after="0"/>
        <w:tabs>
          <w:tab w:leader="none" w:pos="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the absence of a principal market, in the most advantageous market for the asset or liability.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principal or most advantageous market must be accessible to the Group. Also, the fair value of a liability reflects its default risk.</w:t>
      </w:r>
    </w:p>
    <w:p>
      <w:pPr>
        <w:spacing w:after="0" w:line="183" w:lineRule="exact"/>
        <w:rPr>
          <w:sz w:val="20"/>
          <w:szCs w:val="20"/>
          <w:color w:val="auto"/>
        </w:rPr>
      </w:pPr>
    </w:p>
    <w:p>
      <w:pPr>
        <w:ind w:left="340"/>
        <w:spacing w:after="0" w:line="280" w:lineRule="auto"/>
        <w:rPr>
          <w:sz w:val="20"/>
          <w:szCs w:val="20"/>
          <w:color w:val="auto"/>
        </w:rPr>
      </w:pPr>
      <w:r>
        <w:rPr>
          <w:rFonts w:ascii="Arial" w:cs="Arial" w:eastAsia="Arial" w:hAnsi="Arial"/>
          <w:sz w:val="16"/>
          <w:szCs w:val="16"/>
          <w:color w:val="auto"/>
        </w:rPr>
        <w:t>When available, the Group measures the fair value of an instrument using the quoted price in an active market for that instrument. A market is considered active if transactions for the asset or liability occur with sufficient frequency and volume to provide pricing information on a continuous basis.</w:t>
      </w:r>
    </w:p>
    <w:p>
      <w:pPr>
        <w:spacing w:after="0" w:line="120" w:lineRule="exact"/>
        <w:rPr>
          <w:sz w:val="20"/>
          <w:szCs w:val="20"/>
          <w:color w:val="auto"/>
        </w:rPr>
      </w:pPr>
    </w:p>
    <w:p>
      <w:pPr>
        <w:ind w:left="340"/>
        <w:spacing w:after="0" w:line="280" w:lineRule="auto"/>
        <w:rPr>
          <w:sz w:val="20"/>
          <w:szCs w:val="20"/>
          <w:color w:val="auto"/>
        </w:rPr>
      </w:pPr>
      <w:r>
        <w:rPr>
          <w:rFonts w:ascii="Arial" w:cs="Arial" w:eastAsia="Arial" w:hAnsi="Arial"/>
          <w:sz w:val="16"/>
          <w:szCs w:val="16"/>
          <w:color w:val="auto"/>
        </w:rPr>
        <w:t>If there is no quoted price in an active market, the Group uses valuation techniques that maximize the use of relevant observable data and minimize the use of unobservable data.</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6"/>
          <w:szCs w:val="16"/>
          <w:color w:val="auto"/>
        </w:rPr>
        <w:t>The valuation technique chosen incorporates all factors that market participants would consider when setting the price of a transaction.</w:t>
      </w:r>
    </w:p>
    <w:p>
      <w:pPr>
        <w:spacing w:after="0" w:line="183" w:lineRule="exact"/>
        <w:rPr>
          <w:sz w:val="20"/>
          <w:szCs w:val="20"/>
          <w:color w:val="auto"/>
        </w:rPr>
      </w:pPr>
    </w:p>
    <w:p>
      <w:pPr>
        <w:ind w:left="340" w:right="240"/>
        <w:spacing w:after="0" w:line="280" w:lineRule="auto"/>
        <w:rPr>
          <w:sz w:val="20"/>
          <w:szCs w:val="20"/>
          <w:color w:val="auto"/>
        </w:rPr>
      </w:pPr>
      <w:r>
        <w:rPr>
          <w:rFonts w:ascii="Arial" w:cs="Arial" w:eastAsia="Arial" w:hAnsi="Arial"/>
          <w:sz w:val="16"/>
          <w:szCs w:val="16"/>
          <w:color w:val="auto"/>
        </w:rPr>
        <w:t>All assets and liabilities for which fair values are determined or disclosed in the consolidated financial statements are classified within the fair value hierarchy, described below, based on the lowest level of data used that is significant to the fair value measurement as a whole:</w:t>
      </w:r>
    </w:p>
    <w:p>
      <w:pPr>
        <w:spacing w:after="0" w:line="120" w:lineRule="exact"/>
        <w:rPr>
          <w:sz w:val="20"/>
          <w:szCs w:val="20"/>
          <w:color w:val="auto"/>
        </w:rPr>
      </w:pPr>
    </w:p>
    <w:p>
      <w:pPr>
        <w:ind w:left="680" w:hanging="291"/>
        <w:spacing w:after="0"/>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Level 1: Quoted prices (unadjusted) in active markets for identical assets or liabilities.</w:t>
      </w:r>
    </w:p>
    <w:p>
      <w:pPr>
        <w:spacing w:after="0" w:line="15" w:lineRule="exact"/>
        <w:rPr>
          <w:rFonts w:ascii="Arial" w:cs="Arial" w:eastAsia="Arial" w:hAnsi="Arial"/>
          <w:sz w:val="16"/>
          <w:szCs w:val="16"/>
          <w:color w:val="auto"/>
        </w:rPr>
      </w:pPr>
    </w:p>
    <w:p>
      <w:pPr>
        <w:ind w:left="680" w:right="400" w:hanging="291"/>
        <w:spacing w:after="0" w:line="239" w:lineRule="auto"/>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Level 2: Valuation techniques by which the lowest level of information that is significant to the fair value measurement is directly or indirectly observable.</w:t>
      </w:r>
    </w:p>
    <w:p>
      <w:pPr>
        <w:ind w:left="680" w:hanging="291"/>
        <w:spacing w:after="0"/>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Level 3: Valuation techniques by which the lowest level of information that is significant to the fair value measurement is not observable.</w:t>
      </w:r>
    </w:p>
    <w:p>
      <w:pPr>
        <w:spacing w:after="0" w:line="167" w:lineRule="exact"/>
        <w:rPr>
          <w:sz w:val="20"/>
          <w:szCs w:val="20"/>
          <w:color w:val="auto"/>
        </w:rPr>
      </w:pPr>
    </w:p>
    <w:p>
      <w:pPr>
        <w:ind w:left="340" w:right="60"/>
        <w:spacing w:after="0" w:line="280" w:lineRule="auto"/>
        <w:rPr>
          <w:sz w:val="20"/>
          <w:szCs w:val="20"/>
          <w:color w:val="auto"/>
        </w:rPr>
      </w:pPr>
      <w:r>
        <w:rPr>
          <w:rFonts w:ascii="Arial" w:cs="Arial" w:eastAsia="Arial" w:hAnsi="Arial"/>
          <w:sz w:val="16"/>
          <w:szCs w:val="16"/>
          <w:color w:val="auto"/>
        </w:rPr>
        <w:t>The Group determines for assets and liabilities that are recognized at fair value in the consolidated financial statements on a recurring basis, whether transfers occurred between different levels within the hierarchy by reviewing the categorization at the end of each reporting period.</w:t>
      </w:r>
    </w:p>
    <w:p>
      <w:pPr>
        <w:spacing w:after="0" w:line="120" w:lineRule="exact"/>
        <w:rPr>
          <w:sz w:val="20"/>
          <w:szCs w:val="20"/>
          <w:color w:val="auto"/>
        </w:rPr>
      </w:pPr>
    </w:p>
    <w:p>
      <w:pPr>
        <w:ind w:left="340"/>
        <w:spacing w:after="0" w:line="280" w:lineRule="auto"/>
        <w:rPr>
          <w:sz w:val="20"/>
          <w:szCs w:val="20"/>
          <w:color w:val="auto"/>
        </w:rPr>
      </w:pPr>
      <w:r>
        <w:rPr>
          <w:rFonts w:ascii="Arial" w:cs="Arial" w:eastAsia="Arial" w:hAnsi="Arial"/>
          <w:sz w:val="16"/>
          <w:szCs w:val="16"/>
          <w:color w:val="auto"/>
        </w:rPr>
        <w:t>For fair value disclosure purposes, the Group has determined the classes of assets and liabilities based on the nature, characteristics, and risks of the asset or liability and the level of the fair value hierarchy as explained above.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Also, the fair value of financial instruments measured at amortized cost is disclosed in note 30.11(b).</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  Segment information -</w:t>
      </w:r>
    </w:p>
    <w:p>
      <w:pPr>
        <w:spacing w:after="0" w:line="183" w:lineRule="exact"/>
        <w:rPr>
          <w:sz w:val="20"/>
          <w:szCs w:val="20"/>
          <w:color w:val="auto"/>
        </w:rPr>
      </w:pPr>
    </w:p>
    <w:p>
      <w:pPr>
        <w:ind w:left="340" w:right="40"/>
        <w:spacing w:after="0" w:line="280" w:lineRule="auto"/>
        <w:rPr>
          <w:sz w:val="20"/>
          <w:szCs w:val="20"/>
          <w:color w:val="auto"/>
        </w:rPr>
      </w:pPr>
      <w:r>
        <w:rPr>
          <w:rFonts w:ascii="Arial" w:cs="Arial" w:eastAsia="Arial" w:hAnsi="Arial"/>
          <w:sz w:val="16"/>
          <w:szCs w:val="16"/>
          <w:color w:val="0D0D0D"/>
        </w:rPr>
        <w:t>The Group reports financial and descriptive information about its reportable segments. Reportable segments are operating segments or aggregations of operating segments that meet specific criteria.</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0D0D0D"/>
        </w:rPr>
        <w:t>Operating segments are a component of an entity for which separate financial information is available and is evaluated periodically by the chief</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0D0D0D"/>
        </w:rPr>
        <w:t>operating decision-maker (“CODM”) related to the allocation of resources and performance evaluation. The Group discloses the same financial</w:t>
      </w:r>
    </w:p>
    <w:p>
      <w:pPr>
        <w:ind w:left="340"/>
        <w:spacing w:after="0"/>
        <w:rPr>
          <w:sz w:val="20"/>
          <w:szCs w:val="20"/>
          <w:color w:val="auto"/>
        </w:rPr>
      </w:pPr>
      <w:r>
        <w:rPr>
          <w:rFonts w:ascii="Arial" w:cs="Arial" w:eastAsia="Arial" w:hAnsi="Arial"/>
          <w:sz w:val="16"/>
          <w:szCs w:val="16"/>
          <w:color w:val="0D0D0D"/>
        </w:rPr>
        <w:t>information that is used internally to assess the performance of operating segments and decide how to allocate resources to segments, note 27.</w:t>
      </w:r>
    </w:p>
    <w:p>
      <w:pPr>
        <w:spacing w:after="0" w:line="16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x)</w:t>
        <w:tab/>
        <w:t>Fiduciary activities, fund management, and pension funds -</w:t>
      </w:r>
    </w:p>
    <w:p>
      <w:pPr>
        <w:spacing w:after="0" w:line="183" w:lineRule="exact"/>
        <w:rPr>
          <w:sz w:val="20"/>
          <w:szCs w:val="20"/>
          <w:color w:val="auto"/>
        </w:rPr>
      </w:pPr>
    </w:p>
    <w:p>
      <w:pPr>
        <w:jc w:val="both"/>
        <w:ind w:left="340" w:right="20"/>
        <w:spacing w:after="0" w:line="280" w:lineRule="auto"/>
        <w:rPr>
          <w:sz w:val="20"/>
          <w:szCs w:val="20"/>
          <w:color w:val="auto"/>
        </w:rPr>
      </w:pPr>
      <w:r>
        <w:rPr>
          <w:rFonts w:ascii="Arial" w:cs="Arial" w:eastAsia="Arial" w:hAnsi="Arial"/>
          <w:sz w:val="16"/>
          <w:szCs w:val="16"/>
          <w:color w:val="0D0D0D"/>
        </w:rPr>
        <w:t>The Group provides custody, administration, investment management, and advisory services to third parties that result in holding or lending assets on their behalf. These assets and the results on them are excluded from the consolidated financial statements, as they are not Group assets, note 30.12.</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0D0D0D"/>
        </w:rPr>
        <w:t>Commissions generated by this activity are included in the “Commissions and fees” line of the consolidated statement of income.</w:t>
      </w:r>
    </w:p>
    <w:p>
      <w:pPr>
        <w:spacing w:after="0" w:line="183"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y)</w:t>
        <w:tab/>
        <w:t>Cash and cash equivalents -</w:t>
      </w:r>
    </w:p>
    <w:p>
      <w:pPr>
        <w:spacing w:after="0" w:line="183" w:lineRule="exact"/>
        <w:rPr>
          <w:sz w:val="20"/>
          <w:szCs w:val="20"/>
          <w:color w:val="auto"/>
        </w:rPr>
      </w:pPr>
    </w:p>
    <w:p>
      <w:pPr>
        <w:ind w:left="340" w:right="20"/>
        <w:spacing w:after="0" w:line="259" w:lineRule="auto"/>
        <w:rPr>
          <w:sz w:val="20"/>
          <w:szCs w:val="20"/>
          <w:color w:val="auto"/>
        </w:rPr>
      </w:pPr>
      <w:r>
        <w:rPr>
          <w:rFonts w:ascii="Arial" w:cs="Arial" w:eastAsia="Arial" w:hAnsi="Arial"/>
          <w:sz w:val="16"/>
          <w:szCs w:val="16"/>
          <w:color w:val="0D0D0D"/>
        </w:rPr>
        <w:t>For the purposes of the consolidated statement of cash flows, cash and cash equivalents correspond to cash balances, funds deposited with central banks, “overnight” deposits, interbank funds, and deposits with maturities of three months or less from the acquisition date, excluding restricted funds, see note 4(a).</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120"/>
          </w:cols>
          <w:pgMar w:left="320" w:top="306" w:right="459" w:bottom="1440" w:gutter="0" w:footer="0" w:header="0"/>
        </w:sectPr>
      </w:pPr>
    </w:p>
    <w:bookmarkStart w:id="61" w:name="page62"/>
    <w:bookmarkEnd w:id="61"/>
    <w:p>
      <w:pPr>
        <w:ind w:left="340" w:right="340"/>
        <w:spacing w:after="0" w:line="280" w:lineRule="auto"/>
        <w:rPr>
          <w:sz w:val="20"/>
          <w:szCs w:val="20"/>
          <w:color w:val="auto"/>
        </w:rPr>
      </w:pPr>
      <w:r>
        <w:rPr>
          <w:rFonts w:ascii="Arial" w:cs="Arial" w:eastAsia="Arial" w:hAnsi="Arial"/>
          <w:sz w:val="16"/>
          <w:szCs w:val="16"/>
          <w:color w:val="0D0D0D"/>
        </w:rPr>
        <w:t>Guarantee funds committed as part of a repurchase agreement are presented in the “Guarantee funds, repurchase agreements, and financing with securities” line of the consolidated statement of financial position, see note 5(a).</w:t>
      </w:r>
    </w:p>
    <w:p>
      <w:pPr>
        <w:spacing w:after="0" w:line="120" w:lineRule="exact"/>
        <w:rPr>
          <w:sz w:val="20"/>
          <w:szCs w:val="20"/>
          <w:color w:val="auto"/>
        </w:rPr>
      </w:pPr>
    </w:p>
    <w:p>
      <w:pPr>
        <w:ind w:left="340" w:right="500"/>
        <w:spacing w:after="0" w:line="280" w:lineRule="auto"/>
        <w:rPr>
          <w:sz w:val="20"/>
          <w:szCs w:val="20"/>
          <w:color w:val="auto"/>
        </w:rPr>
      </w:pPr>
      <w:r>
        <w:rPr>
          <w:rFonts w:ascii="Arial" w:cs="Arial" w:eastAsia="Arial" w:hAnsi="Arial"/>
          <w:sz w:val="16"/>
          <w:szCs w:val="16"/>
          <w:color w:val="0D0D0D"/>
        </w:rPr>
        <w:t>Guarantee funds committed in trading of derivative financial instruments are presented in the “Other assets” line of the consolidated statement of financial position, see note 12(c).</w:t>
      </w:r>
    </w:p>
    <w:p>
      <w:pPr>
        <w:spacing w:after="0" w:line="120" w:lineRule="exact"/>
        <w:rPr>
          <w:sz w:val="20"/>
          <w:szCs w:val="20"/>
          <w:color w:val="auto"/>
        </w:rPr>
      </w:pPr>
    </w:p>
    <w:p>
      <w:pPr>
        <w:ind w:left="340"/>
        <w:spacing w:after="0" w:line="252" w:lineRule="auto"/>
        <w:rPr>
          <w:sz w:val="20"/>
          <w:szCs w:val="20"/>
          <w:color w:val="auto"/>
        </w:rPr>
      </w:pPr>
      <w:r>
        <w:rPr>
          <w:rFonts w:ascii="Arial" w:cs="Arial" w:eastAsia="Arial" w:hAnsi="Arial"/>
          <w:sz w:val="16"/>
          <w:szCs w:val="16"/>
          <w:color w:val="auto"/>
        </w:rPr>
        <w:t>Unrealised gains and losses arising from changes in foreign currency exchange rates are not cash flows. However, the effect of exchange rate changes on cash and cash equivalents held or due in a foreign currency is reported in the statement of cash flows in order to reconcile cash and cash equivalents at the beginning and the end of the period. This amount is presented separately from cash flows from operating, investing and financing activities and includes the differences, if any, had those cash flows been reported at end of period exchange rates.</w:t>
      </w:r>
    </w:p>
    <w:p>
      <w:pPr>
        <w:spacing w:after="0" w:line="144"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z)</w:t>
        <w:tab/>
        <w:t>Repurchase and resale agreements and loans and financing with securities -</w:t>
      </w:r>
    </w:p>
    <w:p>
      <w:pPr>
        <w:spacing w:after="0" w:line="183" w:lineRule="exact"/>
        <w:rPr>
          <w:sz w:val="20"/>
          <w:szCs w:val="20"/>
          <w:color w:val="auto"/>
        </w:rPr>
      </w:pPr>
    </w:p>
    <w:p>
      <w:pPr>
        <w:ind w:left="340" w:right="60"/>
        <w:spacing w:after="0" w:line="247" w:lineRule="auto"/>
        <w:rPr>
          <w:sz w:val="20"/>
          <w:szCs w:val="20"/>
          <w:color w:val="auto"/>
        </w:rPr>
      </w:pPr>
      <w:r>
        <w:rPr>
          <w:rFonts w:ascii="Arial" w:cs="Arial" w:eastAsia="Arial" w:hAnsi="Arial"/>
          <w:sz w:val="16"/>
          <w:szCs w:val="16"/>
          <w:color w:val="0D0D0D"/>
        </w:rPr>
        <w:t>Securities sold under agreements to repurchase on a specific future date are not derecognized from the consolidated statement of financial position because the Group retains substantially all risks and benefits inherent in ownership. The cash received is recorded as an asset in the “Available funds” line, and the corresponding obligation to return it, including accrued interest, is recorded as a liability in the “Accounts payable for repurchase agreements and securities loans” line, reflecting the economic substance of the operation as a loan received by the Group. The difference between the selling price and the repurchase price is accrued during the contract term using the effective interest rate method and is recorded in the “Interest and similar expenses” line of the consolidated statement of income.</w:t>
      </w:r>
    </w:p>
    <w:p>
      <w:pPr>
        <w:spacing w:after="0" w:line="147" w:lineRule="exact"/>
        <w:rPr>
          <w:sz w:val="20"/>
          <w:szCs w:val="20"/>
          <w:color w:val="auto"/>
        </w:rPr>
      </w:pPr>
    </w:p>
    <w:p>
      <w:pPr>
        <w:ind w:left="340" w:right="40"/>
        <w:spacing w:after="0" w:line="245" w:lineRule="auto"/>
        <w:rPr>
          <w:sz w:val="20"/>
          <w:szCs w:val="20"/>
          <w:color w:val="auto"/>
        </w:rPr>
      </w:pPr>
      <w:r>
        <w:rPr>
          <w:rFonts w:ascii="Arial" w:cs="Arial" w:eastAsia="Arial" w:hAnsi="Arial"/>
          <w:sz w:val="16"/>
          <w:szCs w:val="16"/>
          <w:color w:val="0D0D0D"/>
        </w:rPr>
        <w:t>As part of this transaction, the Group delivers assets as collateral. When the counterparty receives securities and has the right to sell them or re-deliver them as collateral, the Group reclassifies these securities to the “Investments at fair value with changes in other comprehensive income under collateral” or “Investments at amortized cost under collateral” lines, as appropriate, in the consolidated statement of financial position. When the counterparty receives guarantee funds that will be restricted until the contract maturity, the Group reclassifies such cash to the “Guarantee funds, repurchase agreements, and financing with securities” line of the consolidated statement of financial position. When the counterparty receives credit portfolios as collateral, the Group maintains these credits in the “Credit portfolio, net” line in the statement of financial position, the control of which is kept in off-balance sheet accounts.</w:t>
      </w:r>
    </w:p>
    <w:p>
      <w:pPr>
        <w:spacing w:after="0" w:line="151" w:lineRule="exact"/>
        <w:rPr>
          <w:sz w:val="20"/>
          <w:szCs w:val="20"/>
          <w:color w:val="auto"/>
        </w:rPr>
      </w:pPr>
    </w:p>
    <w:p>
      <w:pPr>
        <w:ind w:left="340" w:right="120"/>
        <w:spacing w:after="0" w:line="249" w:lineRule="auto"/>
        <w:rPr>
          <w:sz w:val="20"/>
          <w:szCs w:val="20"/>
          <w:color w:val="auto"/>
        </w:rPr>
      </w:pPr>
      <w:r>
        <w:rPr>
          <w:rFonts w:ascii="Arial" w:cs="Arial" w:eastAsia="Arial" w:hAnsi="Arial"/>
          <w:sz w:val="16"/>
          <w:szCs w:val="16"/>
          <w:color w:val="0D0D0D"/>
        </w:rPr>
        <w:t>On the other hand, securities purchased under agreements to resell on a specific future date are not recognized in the consolidated statement of financial position. The cash granted is recorded as an outflow of an asset from the “Available funds” line, and the corresponding right to collect it, including accrued interest, is recorded in the “Guarantee funds, repurchase agreements, and financing with securities” line, reflecting the economic substance of the operation as a loan granted by the Group. The difference between the purchase price and the resale price is accrued during the contract term using the effective interest rate method and is recorded in the “Interest and similar income” line of the consolidated statement of income.</w:t>
      </w:r>
    </w:p>
    <w:p>
      <w:pPr>
        <w:spacing w:after="0" w:line="145" w:lineRule="exact"/>
        <w:rPr>
          <w:sz w:val="20"/>
          <w:szCs w:val="20"/>
          <w:color w:val="auto"/>
        </w:rPr>
      </w:pPr>
    </w:p>
    <w:p>
      <w:pPr>
        <w:ind w:left="340" w:right="320"/>
        <w:spacing w:after="0" w:line="259" w:lineRule="auto"/>
        <w:rPr>
          <w:sz w:val="20"/>
          <w:szCs w:val="20"/>
          <w:color w:val="auto"/>
        </w:rPr>
      </w:pPr>
      <w:r>
        <w:rPr>
          <w:rFonts w:ascii="Arial" w:cs="Arial" w:eastAsia="Arial" w:hAnsi="Arial"/>
          <w:sz w:val="16"/>
          <w:szCs w:val="16"/>
          <w:color w:val="0D0D0D"/>
        </w:rPr>
        <w:t>If securities purchased under a resale agreement are subsequently sold to third parties, the obligation to return the securities is recorded as a short sale in the “Financial liabilities at fair value with changes in income” line of the consolidated statement of financial position, and is measured at fair value, recording gains or losses in the “Net gain on securities” line of the consolidated statement of income.</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2" w:name="page63"/>
    <w:bookmarkEnd w:id="62"/>
    <w:p>
      <w:pPr>
        <w:ind w:left="340" w:right="360"/>
        <w:spacing w:after="0" w:line="280" w:lineRule="auto"/>
        <w:rPr>
          <w:sz w:val="20"/>
          <w:szCs w:val="20"/>
          <w:color w:val="auto"/>
        </w:rPr>
      </w:pPr>
      <w:r>
        <w:rPr>
          <w:rFonts w:ascii="Arial" w:cs="Arial" w:eastAsia="Arial" w:hAnsi="Arial"/>
          <w:sz w:val="16"/>
          <w:szCs w:val="16"/>
          <w:color w:val="0D0D0D"/>
        </w:rPr>
        <w:t>Loans and financing are usually secured by securities. The transfer of securities to counterparties is only reflected in the consolidated statement of financial position if the risks and benefits inherent in ownership are also transferred.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aa) International Financial Reporting Standards issued, but not yet effective -</w:t>
      </w:r>
    </w:p>
    <w:p>
      <w:pPr>
        <w:spacing w:after="0" w:line="183" w:lineRule="exact"/>
        <w:rPr>
          <w:sz w:val="20"/>
          <w:szCs w:val="20"/>
          <w:color w:val="auto"/>
        </w:rPr>
      </w:pPr>
    </w:p>
    <w:p>
      <w:pPr>
        <w:ind w:left="340" w:right="200"/>
        <w:spacing w:after="0" w:line="478" w:lineRule="auto"/>
        <w:rPr>
          <w:sz w:val="20"/>
          <w:szCs w:val="20"/>
          <w:color w:val="auto"/>
        </w:rPr>
      </w:pPr>
      <w:r>
        <w:rPr>
          <w:rFonts w:ascii="Arial" w:cs="Arial" w:eastAsia="Arial" w:hAnsi="Arial"/>
          <w:sz w:val="16"/>
          <w:szCs w:val="16"/>
          <w:color w:val="0D0D0D"/>
        </w:rPr>
        <w:t>The Group decided not to early adopt the following standards and interpretations that were issued but are not yet effective as of December 31, 2023. Modifications to IAS 1: Classification of Liabilities as Current or Non-Current</w:t>
      </w:r>
    </w:p>
    <w:p>
      <w:pPr>
        <w:ind w:left="340" w:right="140"/>
        <w:spacing w:after="0" w:line="280" w:lineRule="auto"/>
        <w:rPr>
          <w:sz w:val="20"/>
          <w:szCs w:val="20"/>
          <w:color w:val="auto"/>
        </w:rPr>
      </w:pPr>
      <w:r>
        <w:rPr>
          <w:rFonts w:ascii="Arial" w:cs="Arial" w:eastAsia="Arial" w:hAnsi="Arial"/>
          <w:sz w:val="16"/>
          <w:szCs w:val="16"/>
          <w:color w:val="0D0D0D"/>
        </w:rPr>
        <w:t>In January 2020 and October 2022, the IASB issued amendments to paragraphs 69 to 76 of IAS 1 to specify the requirements for classifying liabilities as current or non-current. The amendments clarify the following points:</w:t>
      </w:r>
    </w:p>
    <w:p>
      <w:pPr>
        <w:spacing w:after="0" w:line="120" w:lineRule="exact"/>
        <w:rPr>
          <w:sz w:val="20"/>
          <w:szCs w:val="20"/>
          <w:color w:val="auto"/>
        </w:rPr>
      </w:pPr>
    </w:p>
    <w:p>
      <w:pPr>
        <w:ind w:left="1140" w:hanging="568"/>
        <w:spacing w:after="0"/>
        <w:tabs>
          <w:tab w:leader="none" w:pos="1140" w:val="left"/>
        </w:tabs>
        <w:numPr>
          <w:ilvl w:val="0"/>
          <w:numId w:val="80"/>
        </w:numPr>
        <w:rPr>
          <w:rFonts w:ascii="Arial" w:cs="Arial" w:eastAsia="Arial" w:hAnsi="Arial"/>
          <w:sz w:val="16"/>
          <w:szCs w:val="16"/>
          <w:color w:val="0D0D0D"/>
        </w:rPr>
      </w:pPr>
      <w:r>
        <w:rPr>
          <w:rFonts w:ascii="Arial" w:cs="Arial" w:eastAsia="Arial" w:hAnsi="Arial"/>
          <w:sz w:val="16"/>
          <w:szCs w:val="16"/>
          <w:color w:val="0D0D0D"/>
        </w:rPr>
        <w:t>The meaning of the right to defer settlement of a liability.</w:t>
      </w:r>
    </w:p>
    <w:p>
      <w:pPr>
        <w:spacing w:after="0" w:line="15" w:lineRule="exact"/>
        <w:rPr>
          <w:rFonts w:ascii="Arial" w:cs="Arial" w:eastAsia="Arial" w:hAnsi="Arial"/>
          <w:sz w:val="16"/>
          <w:szCs w:val="16"/>
          <w:color w:val="0D0D0D"/>
        </w:rPr>
      </w:pPr>
    </w:p>
    <w:p>
      <w:pPr>
        <w:ind w:left="1140" w:hanging="568"/>
        <w:spacing w:after="0"/>
        <w:tabs>
          <w:tab w:leader="none" w:pos="1140" w:val="left"/>
        </w:tabs>
        <w:numPr>
          <w:ilvl w:val="0"/>
          <w:numId w:val="80"/>
        </w:numPr>
        <w:rPr>
          <w:rFonts w:ascii="Arial" w:cs="Arial" w:eastAsia="Arial" w:hAnsi="Arial"/>
          <w:sz w:val="16"/>
          <w:szCs w:val="16"/>
          <w:color w:val="0D0D0D"/>
        </w:rPr>
      </w:pPr>
      <w:r>
        <w:rPr>
          <w:rFonts w:ascii="Arial" w:cs="Arial" w:eastAsia="Arial" w:hAnsi="Arial"/>
          <w:sz w:val="16"/>
          <w:szCs w:val="16"/>
          <w:color w:val="0D0D0D"/>
        </w:rPr>
        <w:t>That the right to defer settlement of the liability must exist at the end of the period.</w:t>
      </w:r>
    </w:p>
    <w:p>
      <w:pPr>
        <w:ind w:left="1140" w:hanging="568"/>
        <w:spacing w:after="0"/>
        <w:tabs>
          <w:tab w:leader="none" w:pos="1140" w:val="left"/>
        </w:tabs>
        <w:numPr>
          <w:ilvl w:val="0"/>
          <w:numId w:val="80"/>
        </w:numPr>
        <w:rPr>
          <w:rFonts w:ascii="Arial" w:cs="Arial" w:eastAsia="Arial" w:hAnsi="Arial"/>
          <w:sz w:val="16"/>
          <w:szCs w:val="16"/>
          <w:color w:val="0D0D0D"/>
        </w:rPr>
      </w:pPr>
      <w:r>
        <w:rPr>
          <w:rFonts w:ascii="Arial" w:cs="Arial" w:eastAsia="Arial" w:hAnsi="Arial"/>
          <w:sz w:val="16"/>
          <w:szCs w:val="16"/>
          <w:color w:val="0D0D0D"/>
        </w:rPr>
        <w:t>That classification is not affected by the probability that the entity will exercise its right to defer settlement of the liability.</w:t>
      </w:r>
    </w:p>
    <w:p>
      <w:pPr>
        <w:ind w:left="1140" w:hanging="568"/>
        <w:spacing w:after="0" w:line="259" w:lineRule="auto"/>
        <w:tabs>
          <w:tab w:leader="none" w:pos="1140" w:val="left"/>
        </w:tabs>
        <w:numPr>
          <w:ilvl w:val="0"/>
          <w:numId w:val="80"/>
        </w:numPr>
        <w:rPr>
          <w:rFonts w:ascii="Arial" w:cs="Arial" w:eastAsia="Arial" w:hAnsi="Arial"/>
          <w:sz w:val="16"/>
          <w:szCs w:val="16"/>
          <w:color w:val="0D0D0D"/>
        </w:rPr>
      </w:pPr>
      <w:r>
        <w:rPr>
          <w:rFonts w:ascii="Arial" w:cs="Arial" w:eastAsia="Arial" w:hAnsi="Arial"/>
          <w:sz w:val="16"/>
          <w:szCs w:val="16"/>
          <w:color w:val="0D0D0D"/>
        </w:rPr>
        <w:t>That only if any implicit derivative in a convertible liability represents an equity instrument in itself, the terms of the liability would not affect its classification.</w:t>
      </w:r>
    </w:p>
    <w:p>
      <w:pPr>
        <w:spacing w:after="0" w:line="137" w:lineRule="exact"/>
        <w:rPr>
          <w:sz w:val="20"/>
          <w:szCs w:val="20"/>
          <w:color w:val="auto"/>
        </w:rPr>
      </w:pPr>
    </w:p>
    <w:p>
      <w:pPr>
        <w:ind w:left="340" w:right="100"/>
        <w:spacing w:after="0" w:line="280" w:lineRule="auto"/>
        <w:rPr>
          <w:sz w:val="20"/>
          <w:szCs w:val="20"/>
          <w:color w:val="auto"/>
        </w:rPr>
      </w:pPr>
      <w:r>
        <w:rPr>
          <w:rFonts w:ascii="Arial" w:cs="Arial" w:eastAsia="Arial" w:hAnsi="Arial"/>
          <w:sz w:val="16"/>
          <w:szCs w:val="16"/>
          <w:color w:val="0D0D0D"/>
        </w:rPr>
        <w:t>In addition, a disclosure requirement was introduced when a liability derived from a loan agreement is classified as non-current and the entity’s right to defer settlement is subject to the fulfillment of future commitments within a period included in a twelve-month period.</w:t>
      </w:r>
    </w:p>
    <w:p>
      <w:pPr>
        <w:spacing w:after="0" w:line="120" w:lineRule="exact"/>
        <w:rPr>
          <w:sz w:val="20"/>
          <w:szCs w:val="20"/>
          <w:color w:val="auto"/>
        </w:rPr>
      </w:pPr>
    </w:p>
    <w:p>
      <w:pPr>
        <w:ind w:left="340" w:right="200"/>
        <w:spacing w:after="0" w:line="280" w:lineRule="auto"/>
        <w:rPr>
          <w:sz w:val="20"/>
          <w:szCs w:val="20"/>
          <w:color w:val="auto"/>
        </w:rPr>
      </w:pPr>
      <w:r>
        <w:rPr>
          <w:rFonts w:ascii="Arial" w:cs="Arial" w:eastAsia="Arial" w:hAnsi="Arial"/>
          <w:sz w:val="16"/>
          <w:szCs w:val="16"/>
          <w:color w:val="0D0D0D"/>
        </w:rPr>
        <w:t>The amendments will be effective for periods beginning on or after January 1, 2024, and must be applied retrospectively. The Group is assessing the impact these amendments will have on its current practices.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0D0D0D"/>
        </w:rPr>
        <w:t>The amendments are not expected to have a material impact on the Group’s financial statements.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color w:val="0D0D0D"/>
        </w:rPr>
        <w:t>Supplier Financing Agreements - Modifications to IAS 7 and IFRS 7</w:t>
      </w:r>
    </w:p>
    <w:p>
      <w:pPr>
        <w:spacing w:after="0" w:line="183" w:lineRule="exact"/>
        <w:rPr>
          <w:sz w:val="20"/>
          <w:szCs w:val="20"/>
          <w:color w:val="auto"/>
        </w:rPr>
      </w:pPr>
    </w:p>
    <w:p>
      <w:pPr>
        <w:ind w:left="340" w:right="320"/>
        <w:spacing w:after="0" w:line="252" w:lineRule="auto"/>
        <w:rPr>
          <w:sz w:val="20"/>
          <w:szCs w:val="20"/>
          <w:color w:val="auto"/>
        </w:rPr>
      </w:pPr>
      <w:r>
        <w:rPr>
          <w:rFonts w:ascii="Arial" w:cs="Arial" w:eastAsia="Arial" w:hAnsi="Arial"/>
          <w:sz w:val="16"/>
          <w:szCs w:val="16"/>
          <w:color w:val="0D0D0D"/>
        </w:rPr>
        <w:t>In May 2023, the IASB issued amendments to IAS 7 Statement of Cash Flows and IFRS 7 Financial Instruments: Disclosures to clarify the characteristics of supplier financing arrangements and require additional information about such arrangements to be disclosed. The objective of the disclosure requirements imposed by the amendments is to help users of financial statements have a better understanding of the effects of supplier financing arrangements on liabilities, cash flows and exposure to liquidity risk. of an entity.</w:t>
      </w:r>
    </w:p>
    <w:p>
      <w:pPr>
        <w:spacing w:after="0" w:line="144" w:lineRule="exact"/>
        <w:rPr>
          <w:sz w:val="20"/>
          <w:szCs w:val="20"/>
          <w:color w:val="auto"/>
        </w:rPr>
      </w:pPr>
    </w:p>
    <w:p>
      <w:pPr>
        <w:ind w:left="340" w:right="660"/>
        <w:spacing w:after="0" w:line="280" w:lineRule="auto"/>
        <w:rPr>
          <w:sz w:val="20"/>
          <w:szCs w:val="20"/>
          <w:color w:val="auto"/>
        </w:rPr>
      </w:pPr>
      <w:r>
        <w:rPr>
          <w:rFonts w:ascii="Arial" w:cs="Arial" w:eastAsia="Arial" w:hAnsi="Arial"/>
          <w:sz w:val="16"/>
          <w:szCs w:val="16"/>
          <w:color w:val="0D0D0D"/>
        </w:rPr>
        <w:t>The amendments will be effective for annual periods beginning on or after January 1, 2024. Early application is permitted as long as this fact is disclosed.</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0D0D0D"/>
        </w:rPr>
        <w:t>The amendments are not expected to have a material impact on the Group’s financial statements.</w:t>
      </w:r>
    </w:p>
    <w:p>
      <w:pPr>
        <w:spacing w:after="0" w:line="183" w:lineRule="exact"/>
        <w:rPr>
          <w:sz w:val="20"/>
          <w:szCs w:val="20"/>
          <w:color w:val="auto"/>
        </w:rPr>
      </w:pPr>
    </w:p>
    <w:p>
      <w:pPr>
        <w:ind w:left="340"/>
        <w:spacing w:after="0" w:line="280" w:lineRule="auto"/>
        <w:rPr>
          <w:sz w:val="20"/>
          <w:szCs w:val="20"/>
          <w:color w:val="auto"/>
        </w:rPr>
      </w:pPr>
      <w:r>
        <w:rPr>
          <w:rFonts w:ascii="Arial" w:cs="Arial" w:eastAsia="Arial" w:hAnsi="Arial"/>
          <w:sz w:val="16"/>
          <w:szCs w:val="16"/>
          <w:color w:val="0D0D0D"/>
        </w:rPr>
        <w:t>There are no other standards and amendments to standards that have not yet come into force and that are expected to have a significant impact on the Group, either in the current or future period, as well as in foreseeable future transactions.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3"/>
        </w:trPr>
        <w:tc>
          <w:tcPr>
            <w:tcW w:w="340" w:type="dxa"/>
            <w:vAlign w:val="bottom"/>
          </w:tcPr>
          <w:p>
            <w:pPr>
              <w:jc w:val="right"/>
              <w:ind w:right="184"/>
              <w:spacing w:after="0"/>
              <w:rPr>
                <w:sz w:val="20"/>
                <w:szCs w:val="20"/>
                <w:color w:val="auto"/>
              </w:rPr>
            </w:pPr>
            <w:r>
              <w:rPr>
                <w:rFonts w:ascii="Arial" w:cs="Arial" w:eastAsia="Arial" w:hAnsi="Arial"/>
                <w:sz w:val="15"/>
                <w:szCs w:val="15"/>
                <w:b w:val="1"/>
                <w:bCs w:val="1"/>
                <w:color w:val="auto"/>
                <w:w w:val="71"/>
              </w:rPr>
              <w:t>4</w:t>
            </w:r>
          </w:p>
        </w:tc>
        <w:tc>
          <w:tcPr>
            <w:tcW w:w="7860" w:type="dxa"/>
            <w:vAlign w:val="bottom"/>
          </w:tcPr>
          <w:p>
            <w:pPr>
              <w:ind w:left="240"/>
              <w:spacing w:after="0"/>
              <w:rPr>
                <w:sz w:val="20"/>
                <w:szCs w:val="20"/>
                <w:color w:val="auto"/>
              </w:rPr>
            </w:pPr>
            <w:r>
              <w:rPr>
                <w:rFonts w:ascii="Arial" w:cs="Arial" w:eastAsia="Arial" w:hAnsi="Arial"/>
                <w:sz w:val="16"/>
                <w:szCs w:val="16"/>
                <w:b w:val="1"/>
                <w:bCs w:val="1"/>
                <w:color w:val="auto"/>
              </w:rPr>
              <w:t>CASH AND DUE FROM BANKS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9"/>
        </w:trPr>
        <w:tc>
          <w:tcPr>
            <w:tcW w:w="340" w:type="dxa"/>
            <w:vAlign w:val="bottom"/>
          </w:tcPr>
          <w:p>
            <w:pPr>
              <w:spacing w:after="0"/>
              <w:rPr>
                <w:sz w:val="24"/>
                <w:szCs w:val="24"/>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a)  The composition of the item is presented below:</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3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24"/>
                <w:szCs w:val="24"/>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10"/>
        </w:trPr>
        <w:tc>
          <w:tcPr>
            <w:tcW w:w="340" w:type="dxa"/>
            <w:vAlign w:val="bottom"/>
          </w:tcPr>
          <w:p>
            <w:pPr>
              <w:spacing w:after="0"/>
              <w:rPr>
                <w:sz w:val="24"/>
                <w:szCs w:val="24"/>
                <w:color w:val="auto"/>
              </w:rPr>
            </w:pPr>
          </w:p>
        </w:tc>
        <w:tc>
          <w:tcPr>
            <w:tcW w:w="7860" w:type="dxa"/>
            <w:vAlign w:val="bottom"/>
          </w:tcPr>
          <w:p>
            <w:pPr>
              <w:ind w:left="540"/>
              <w:spacing w:after="0"/>
              <w:rPr>
                <w:sz w:val="20"/>
                <w:szCs w:val="20"/>
                <w:color w:val="auto"/>
              </w:rPr>
            </w:pPr>
            <w:r>
              <w:rPr>
                <w:rFonts w:ascii="Arial" w:cs="Arial" w:eastAsia="Arial" w:hAnsi="Arial"/>
                <w:sz w:val="16"/>
                <w:szCs w:val="16"/>
                <w:color w:val="auto"/>
              </w:rPr>
              <w:t>Cash and clearing (b)</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5,227,446</w:t>
            </w:r>
          </w:p>
        </w:tc>
        <w:tc>
          <w:tcPr>
            <w:tcW w:w="1240" w:type="dxa"/>
            <w:vAlign w:val="bottom"/>
          </w:tcPr>
          <w:p>
            <w:pPr>
              <w:jc w:val="right"/>
              <w:spacing w:after="0"/>
              <w:rPr>
                <w:sz w:val="20"/>
                <w:szCs w:val="20"/>
                <w:color w:val="auto"/>
              </w:rPr>
            </w:pPr>
            <w:r>
              <w:rPr>
                <w:rFonts w:ascii="Arial" w:cs="Arial" w:eastAsia="Arial" w:hAnsi="Arial"/>
                <w:sz w:val="16"/>
                <w:szCs w:val="16"/>
                <w:color w:val="auto"/>
              </w:rPr>
              <w:t>5,410,294</w:t>
            </w:r>
          </w:p>
        </w:tc>
        <w:tc>
          <w:tcPr>
            <w:tcW w:w="20" w:type="dxa"/>
            <w:vAlign w:val="bottom"/>
          </w:tcPr>
          <w:p>
            <w:pPr>
              <w:spacing w:after="0"/>
              <w:rPr>
                <w:sz w:val="24"/>
                <w:szCs w:val="24"/>
                <w:color w:val="auto"/>
              </w:rPr>
            </w:pPr>
          </w:p>
        </w:tc>
      </w:tr>
      <w:tr>
        <w:trPr>
          <w:trHeight w:val="183"/>
        </w:trPr>
        <w:tc>
          <w:tcPr>
            <w:tcW w:w="340" w:type="dxa"/>
            <w:vAlign w:val="bottom"/>
          </w:tcPr>
          <w:p>
            <w:pPr>
              <w:spacing w:after="0"/>
              <w:rPr>
                <w:sz w:val="15"/>
                <w:szCs w:val="15"/>
                <w:color w:val="auto"/>
              </w:rPr>
            </w:pPr>
          </w:p>
        </w:tc>
        <w:tc>
          <w:tcPr>
            <w:tcW w:w="7860" w:type="dxa"/>
            <w:vAlign w:val="bottom"/>
          </w:tcPr>
          <w:p>
            <w:pPr>
              <w:ind w:left="540"/>
              <w:spacing w:after="0"/>
              <w:rPr>
                <w:sz w:val="20"/>
                <w:szCs w:val="20"/>
                <w:color w:val="auto"/>
              </w:rPr>
            </w:pPr>
            <w:r>
              <w:rPr>
                <w:rFonts w:ascii="Arial" w:cs="Arial" w:eastAsia="Arial" w:hAnsi="Arial"/>
                <w:sz w:val="16"/>
                <w:szCs w:val="16"/>
                <w:color w:val="auto"/>
              </w:rPr>
              <w:t>Deposits with Central Reserve Bank of Peru (BCRP) (b)</w:t>
            </w:r>
          </w:p>
        </w:tc>
        <w:tc>
          <w:tcPr>
            <w:tcW w:w="1220" w:type="dxa"/>
            <w:vAlign w:val="bottom"/>
          </w:tcPr>
          <w:p>
            <w:pPr>
              <w:jc w:val="right"/>
              <w:spacing w:after="0"/>
              <w:rPr>
                <w:sz w:val="20"/>
                <w:szCs w:val="20"/>
                <w:color w:val="auto"/>
              </w:rPr>
            </w:pPr>
            <w:r>
              <w:rPr>
                <w:rFonts w:ascii="Arial" w:cs="Arial" w:eastAsia="Arial" w:hAnsi="Arial"/>
                <w:sz w:val="16"/>
                <w:szCs w:val="16"/>
                <w:color w:val="auto"/>
              </w:rPr>
              <w:t>23,673,777</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24,160,723</w:t>
            </w:r>
          </w:p>
        </w:tc>
        <w:tc>
          <w:tcPr>
            <w:tcW w:w="2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7860" w:type="dxa"/>
            <w:vAlign w:val="bottom"/>
          </w:tcPr>
          <w:p>
            <w:pPr>
              <w:ind w:left="540"/>
              <w:spacing w:after="0"/>
              <w:rPr>
                <w:sz w:val="20"/>
                <w:szCs w:val="20"/>
                <w:color w:val="auto"/>
              </w:rPr>
            </w:pPr>
            <w:r>
              <w:rPr>
                <w:rFonts w:ascii="Arial" w:cs="Arial" w:eastAsia="Arial" w:hAnsi="Arial"/>
                <w:sz w:val="16"/>
                <w:szCs w:val="16"/>
                <w:color w:val="auto"/>
              </w:rPr>
              <w:t>Deposits with Central Reserve Bank of Bolivia and bank Republic of Colombia (b)</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1,397,469</w:t>
            </w:r>
          </w:p>
        </w:tc>
        <w:tc>
          <w:tcPr>
            <w:tcW w:w="1240" w:type="dxa"/>
            <w:vAlign w:val="bottom"/>
          </w:tcPr>
          <w:p>
            <w:pPr>
              <w:jc w:val="right"/>
              <w:spacing w:after="0"/>
              <w:rPr>
                <w:sz w:val="20"/>
                <w:szCs w:val="20"/>
                <w:color w:val="auto"/>
              </w:rPr>
            </w:pPr>
            <w:r>
              <w:rPr>
                <w:rFonts w:ascii="Arial" w:cs="Arial" w:eastAsia="Arial" w:hAnsi="Arial"/>
                <w:sz w:val="16"/>
                <w:szCs w:val="16"/>
                <w:color w:val="auto"/>
              </w:rPr>
              <w:t>634,684</w:t>
            </w:r>
          </w:p>
        </w:tc>
        <w:tc>
          <w:tcPr>
            <w:tcW w:w="2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7860" w:type="dxa"/>
            <w:vAlign w:val="bottom"/>
          </w:tcPr>
          <w:p>
            <w:pPr>
              <w:ind w:left="540"/>
              <w:spacing w:after="0"/>
              <w:rPr>
                <w:sz w:val="20"/>
                <w:szCs w:val="20"/>
                <w:color w:val="auto"/>
              </w:rPr>
            </w:pPr>
            <w:r>
              <w:rPr>
                <w:rFonts w:ascii="Arial" w:cs="Arial" w:eastAsia="Arial" w:hAnsi="Arial"/>
                <w:sz w:val="16"/>
                <w:szCs w:val="16"/>
                <w:color w:val="auto"/>
              </w:rPr>
              <w:t>Deposits with foreign banks (c)</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2,951,396</w:t>
            </w:r>
          </w:p>
        </w:tc>
        <w:tc>
          <w:tcPr>
            <w:tcW w:w="1240" w:type="dxa"/>
            <w:vAlign w:val="bottom"/>
          </w:tcPr>
          <w:p>
            <w:pPr>
              <w:jc w:val="right"/>
              <w:spacing w:after="0"/>
              <w:rPr>
                <w:sz w:val="20"/>
                <w:szCs w:val="20"/>
                <w:color w:val="auto"/>
              </w:rPr>
            </w:pPr>
            <w:r>
              <w:rPr>
                <w:rFonts w:ascii="Arial" w:cs="Arial" w:eastAsia="Arial" w:hAnsi="Arial"/>
                <w:sz w:val="16"/>
                <w:szCs w:val="16"/>
                <w:color w:val="auto"/>
              </w:rPr>
              <w:t>2,582,838</w:t>
            </w:r>
          </w:p>
        </w:tc>
        <w:tc>
          <w:tcPr>
            <w:tcW w:w="2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7860" w:type="dxa"/>
            <w:vAlign w:val="bottom"/>
          </w:tcPr>
          <w:p>
            <w:pPr>
              <w:ind w:left="540"/>
              <w:spacing w:after="0"/>
              <w:rPr>
                <w:sz w:val="20"/>
                <w:szCs w:val="20"/>
                <w:color w:val="auto"/>
              </w:rPr>
            </w:pPr>
            <w:r>
              <w:rPr>
                <w:rFonts w:ascii="Arial" w:cs="Arial" w:eastAsia="Arial" w:hAnsi="Arial"/>
                <w:sz w:val="16"/>
                <w:szCs w:val="16"/>
                <w:color w:val="auto"/>
              </w:rPr>
              <w:t>Deposits with local banks (c)</w:t>
            </w:r>
          </w:p>
        </w:tc>
        <w:tc>
          <w:tcPr>
            <w:tcW w:w="1220" w:type="dxa"/>
            <w:vAlign w:val="bottom"/>
          </w:tcPr>
          <w:p>
            <w:pPr>
              <w:jc w:val="right"/>
              <w:spacing w:after="0"/>
              <w:rPr>
                <w:sz w:val="20"/>
                <w:szCs w:val="20"/>
                <w:color w:val="auto"/>
              </w:rPr>
            </w:pPr>
            <w:r>
              <w:rPr>
                <w:rFonts w:ascii="Arial" w:cs="Arial" w:eastAsia="Arial" w:hAnsi="Arial"/>
                <w:sz w:val="16"/>
                <w:szCs w:val="16"/>
                <w:color w:val="auto"/>
              </w:rPr>
              <w:t>600,180</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1,009,997</w:t>
            </w:r>
          </w:p>
        </w:tc>
        <w:tc>
          <w:tcPr>
            <w:tcW w:w="2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7860" w:type="dxa"/>
            <w:vAlign w:val="bottom"/>
          </w:tcPr>
          <w:p>
            <w:pPr>
              <w:ind w:left="540"/>
              <w:spacing w:after="0"/>
              <w:rPr>
                <w:sz w:val="20"/>
                <w:szCs w:val="20"/>
                <w:color w:val="auto"/>
              </w:rPr>
            </w:pPr>
            <w:r>
              <w:rPr>
                <w:rFonts w:ascii="Arial" w:cs="Arial" w:eastAsia="Arial" w:hAnsi="Arial"/>
                <w:sz w:val="16"/>
                <w:szCs w:val="16"/>
                <w:color w:val="auto"/>
              </w:rPr>
              <w:t>Interbank funds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269,314</w:t>
            </w:r>
          </w:p>
        </w:tc>
        <w:tc>
          <w:tcPr>
            <w:tcW w:w="20" w:type="dxa"/>
            <w:vAlign w:val="bottom"/>
          </w:tcPr>
          <w:p>
            <w:pPr>
              <w:spacing w:after="0"/>
              <w:rPr>
                <w:sz w:val="15"/>
                <w:szCs w:val="15"/>
                <w:color w:val="auto"/>
              </w:rPr>
            </w:pPr>
          </w:p>
        </w:tc>
      </w:tr>
      <w:tr>
        <w:trPr>
          <w:trHeight w:val="212"/>
        </w:trPr>
        <w:tc>
          <w:tcPr>
            <w:tcW w:w="340" w:type="dxa"/>
            <w:vAlign w:val="bottom"/>
          </w:tcPr>
          <w:p>
            <w:pPr>
              <w:spacing w:after="0"/>
              <w:rPr>
                <w:sz w:val="18"/>
                <w:szCs w:val="18"/>
                <w:color w:val="auto"/>
              </w:rPr>
            </w:pPr>
          </w:p>
        </w:tc>
        <w:tc>
          <w:tcPr>
            <w:tcW w:w="7860" w:type="dxa"/>
            <w:vAlign w:val="bottom"/>
          </w:tcPr>
          <w:p>
            <w:pPr>
              <w:ind w:left="540"/>
              <w:spacing w:after="0"/>
              <w:rPr>
                <w:sz w:val="20"/>
                <w:szCs w:val="20"/>
                <w:color w:val="auto"/>
              </w:rPr>
            </w:pPr>
            <w:r>
              <w:rPr>
                <w:rFonts w:ascii="Arial" w:cs="Arial" w:eastAsia="Arial" w:hAnsi="Arial"/>
                <w:sz w:val="16"/>
                <w:szCs w:val="16"/>
                <w:color w:val="auto"/>
              </w:rPr>
              <w:t>Accrued interest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70,346</w:t>
            </w:r>
          </w:p>
        </w:tc>
        <w:tc>
          <w:tcPr>
            <w:tcW w:w="1240" w:type="dxa"/>
            <w:vAlign w:val="bottom"/>
          </w:tcPr>
          <w:p>
            <w:pPr>
              <w:jc w:val="right"/>
              <w:spacing w:after="0"/>
              <w:rPr>
                <w:sz w:val="20"/>
                <w:szCs w:val="20"/>
                <w:color w:val="auto"/>
              </w:rPr>
            </w:pPr>
            <w:r>
              <w:rPr>
                <w:rFonts w:ascii="Arial" w:cs="Arial" w:eastAsia="Arial" w:hAnsi="Arial"/>
                <w:sz w:val="16"/>
                <w:szCs w:val="16"/>
                <w:color w:val="auto"/>
              </w:rPr>
              <w:t>53,112</w:t>
            </w:r>
          </w:p>
        </w:tc>
        <w:tc>
          <w:tcPr>
            <w:tcW w:w="20" w:type="dxa"/>
            <w:vAlign w:val="bottom"/>
          </w:tcPr>
          <w:p>
            <w:pPr>
              <w:spacing w:after="0"/>
              <w:rPr>
                <w:sz w:val="18"/>
                <w:szCs w:val="18"/>
                <w:color w:val="auto"/>
              </w:rPr>
            </w:pPr>
          </w:p>
        </w:tc>
      </w:tr>
      <w:tr>
        <w:trPr>
          <w:trHeight w:val="159"/>
        </w:trPr>
        <w:tc>
          <w:tcPr>
            <w:tcW w:w="340" w:type="dxa"/>
            <w:vAlign w:val="bottom"/>
          </w:tcPr>
          <w:p>
            <w:pPr>
              <w:spacing w:after="0"/>
              <w:rPr>
                <w:sz w:val="13"/>
                <w:szCs w:val="13"/>
                <w:color w:val="auto"/>
              </w:rPr>
            </w:pPr>
          </w:p>
        </w:tc>
        <w:tc>
          <w:tcPr>
            <w:tcW w:w="7860" w:type="dxa"/>
            <w:vAlign w:val="bottom"/>
          </w:tcPr>
          <w:p>
            <w:pPr>
              <w:ind w:left="540"/>
              <w:spacing w:after="0" w:line="159" w:lineRule="exact"/>
              <w:rPr>
                <w:sz w:val="20"/>
                <w:szCs w:val="20"/>
                <w:color w:val="auto"/>
              </w:rPr>
            </w:pPr>
            <w:r>
              <w:rPr>
                <w:rFonts w:ascii="Arial" w:cs="Arial" w:eastAsia="Arial" w:hAnsi="Arial"/>
                <w:sz w:val="16"/>
                <w:szCs w:val="16"/>
                <w:color w:val="auto"/>
              </w:rPr>
              <w:t>Total cash and cash equivalents</w:t>
            </w:r>
          </w:p>
        </w:tc>
        <w:tc>
          <w:tcPr>
            <w:tcW w:w="12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33,920,614</w:t>
            </w:r>
          </w:p>
        </w:tc>
        <w:tc>
          <w:tcPr>
            <w:tcW w:w="220" w:type="dxa"/>
            <w:vAlign w:val="bottom"/>
          </w:tcPr>
          <w:p>
            <w:pPr>
              <w:spacing w:after="0"/>
              <w:rPr>
                <w:sz w:val="13"/>
                <w:szCs w:val="13"/>
                <w:color w:val="auto"/>
              </w:rPr>
            </w:pPr>
          </w:p>
        </w:tc>
        <w:tc>
          <w:tcPr>
            <w:tcW w:w="12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34,120,962</w:t>
            </w:r>
          </w:p>
        </w:tc>
        <w:tc>
          <w:tcPr>
            <w:tcW w:w="20" w:type="dxa"/>
            <w:vAlign w:val="bottom"/>
            <w:tcBorders>
              <w:top w:val="single" w:sz="8" w:color="auto"/>
            </w:tcBorders>
          </w:tcPr>
          <w:p>
            <w:pPr>
              <w:spacing w:after="0"/>
              <w:rPr>
                <w:sz w:val="13"/>
                <w:szCs w:val="13"/>
                <w:color w:val="auto"/>
              </w:rPr>
            </w:pPr>
          </w:p>
        </w:tc>
      </w:tr>
      <w:tr>
        <w:trPr>
          <w:trHeight w:val="212"/>
        </w:trPr>
        <w:tc>
          <w:tcPr>
            <w:tcW w:w="340" w:type="dxa"/>
            <w:vAlign w:val="bottom"/>
          </w:tcPr>
          <w:p>
            <w:pPr>
              <w:spacing w:after="0"/>
              <w:rPr>
                <w:sz w:val="18"/>
                <w:szCs w:val="18"/>
                <w:color w:val="auto"/>
              </w:rPr>
            </w:pPr>
          </w:p>
        </w:tc>
        <w:tc>
          <w:tcPr>
            <w:tcW w:w="7860" w:type="dxa"/>
            <w:vAlign w:val="bottom"/>
          </w:tcPr>
          <w:p>
            <w:pPr>
              <w:ind w:left="540"/>
              <w:spacing w:after="0"/>
              <w:rPr>
                <w:sz w:val="20"/>
                <w:szCs w:val="20"/>
                <w:color w:val="auto"/>
              </w:rPr>
            </w:pPr>
            <w:r>
              <w:rPr>
                <w:rFonts w:ascii="Arial" w:cs="Arial" w:eastAsia="Arial" w:hAnsi="Arial"/>
                <w:sz w:val="16"/>
                <w:szCs w:val="16"/>
                <w:color w:val="auto"/>
              </w:rPr>
              <w:t>Restricted funds</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10,334</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62,878</w:t>
            </w:r>
          </w:p>
        </w:tc>
      </w:tr>
      <w:tr>
        <w:trPr>
          <w:trHeight w:val="180"/>
        </w:trPr>
        <w:tc>
          <w:tcPr>
            <w:tcW w:w="340" w:type="dxa"/>
            <w:vAlign w:val="bottom"/>
          </w:tcPr>
          <w:p>
            <w:pPr>
              <w:spacing w:after="0"/>
              <w:rPr>
                <w:sz w:val="15"/>
                <w:szCs w:val="15"/>
                <w:color w:val="auto"/>
              </w:rPr>
            </w:pPr>
          </w:p>
        </w:tc>
        <w:tc>
          <w:tcPr>
            <w:tcW w:w="7860" w:type="dxa"/>
            <w:vAlign w:val="bottom"/>
          </w:tcPr>
          <w:p>
            <w:pPr>
              <w:ind w:left="540"/>
              <w:spacing w:after="0" w:line="175" w:lineRule="exact"/>
              <w:rPr>
                <w:sz w:val="20"/>
                <w:szCs w:val="20"/>
                <w:color w:val="auto"/>
              </w:rPr>
            </w:pPr>
            <w:r>
              <w:rPr>
                <w:rFonts w:ascii="Arial" w:cs="Arial" w:eastAsia="Arial" w:hAnsi="Arial"/>
                <w:sz w:val="16"/>
                <w:szCs w:val="16"/>
                <w:b w:val="1"/>
                <w:bCs w:val="1"/>
                <w:color w:val="auto"/>
              </w:rPr>
              <w:t>Total cash</w:t>
            </w:r>
          </w:p>
        </w:tc>
        <w:tc>
          <w:tcPr>
            <w:tcW w:w="12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33,930,948</w:t>
            </w:r>
          </w:p>
        </w:tc>
        <w:tc>
          <w:tcPr>
            <w:tcW w:w="22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34,183,840</w:t>
            </w:r>
          </w:p>
        </w:tc>
        <w:tc>
          <w:tcPr>
            <w:tcW w:w="20" w:type="dxa"/>
            <w:vAlign w:val="bottom"/>
            <w:tcBorders>
              <w:top w:val="single" w:sz="8" w:color="auto"/>
              <w:bottom w:val="single" w:sz="8" w:color="auto"/>
            </w:tcBorders>
          </w:tcPr>
          <w:p>
            <w:pPr>
              <w:spacing w:after="0"/>
              <w:rPr>
                <w:sz w:val="15"/>
                <w:szCs w:val="15"/>
                <w:color w:val="auto"/>
              </w:rPr>
            </w:pPr>
          </w:p>
        </w:tc>
      </w:tr>
    </w:tbl>
    <w:p>
      <w:pPr>
        <w:spacing w:after="0" w:line="16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Cash and cash equivalents presented in the consolidated statement of cash flows exclude restricted funds, see note 3(y).</w:t>
      </w:r>
    </w:p>
    <w:p>
      <w:pPr>
        <w:spacing w:after="0" w:line="183" w:lineRule="exact"/>
        <w:rPr>
          <w:sz w:val="20"/>
          <w:szCs w:val="20"/>
          <w:color w:val="auto"/>
        </w:rPr>
      </w:pPr>
    </w:p>
    <w:p>
      <w:pPr>
        <w:ind w:left="880" w:hanging="296"/>
        <w:spacing w:after="0"/>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Cash, clearing and deposits with Central Banks and Bank of the Republic -</w:t>
      </w:r>
    </w:p>
    <w:p>
      <w:pPr>
        <w:spacing w:after="0" w:line="182" w:lineRule="exact"/>
        <w:rPr>
          <w:rFonts w:ascii="Arial" w:cs="Arial" w:eastAsia="Arial" w:hAnsi="Arial"/>
          <w:sz w:val="16"/>
          <w:szCs w:val="16"/>
          <w:color w:val="auto"/>
        </w:rPr>
      </w:pPr>
    </w:p>
    <w:p>
      <w:pPr>
        <w:ind w:left="880" w:right="200"/>
        <w:spacing w:after="0" w:line="280" w:lineRule="auto"/>
        <w:rPr>
          <w:rFonts w:ascii="Arial" w:cs="Arial" w:eastAsia="Arial" w:hAnsi="Arial"/>
          <w:sz w:val="16"/>
          <w:szCs w:val="16"/>
          <w:color w:val="auto"/>
        </w:rPr>
      </w:pPr>
      <w:r>
        <w:rPr>
          <w:rFonts w:ascii="Arial" w:cs="Arial" w:eastAsia="Arial" w:hAnsi="Arial"/>
          <w:sz w:val="16"/>
          <w:szCs w:val="16"/>
          <w:color w:val="auto"/>
        </w:rPr>
        <w:t>These accounts mainly include the legal cash requirements that Subsidiaries of Credicorp must keep to be able to honor their obligations with the public. The composition of these funds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60" w:type="dxa"/>
            <w:vAlign w:val="bottom"/>
          </w:tcPr>
          <w:p>
            <w:pPr>
              <w:spacing w:after="0"/>
              <w:rPr>
                <w:sz w:val="17"/>
                <w:szCs w:val="17"/>
                <w:color w:val="auto"/>
              </w:rPr>
            </w:pPr>
          </w:p>
        </w:tc>
        <w:tc>
          <w:tcPr>
            <w:tcW w:w="4160" w:type="dxa"/>
            <w:vAlign w:val="bottom"/>
            <w:gridSpan w:val="2"/>
          </w:tcPr>
          <w:p>
            <w:pPr>
              <w:ind w:left="304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240" w:type="dxa"/>
            <w:vAlign w:val="bottom"/>
          </w:tcPr>
          <w:p>
            <w:pPr>
              <w:ind w:left="12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6"/>
        </w:trPr>
        <w:tc>
          <w:tcPr>
            <w:tcW w:w="52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4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10"/>
        </w:trPr>
        <w:tc>
          <w:tcPr>
            <w:tcW w:w="5260" w:type="dxa"/>
            <w:vAlign w:val="bottom"/>
          </w:tcPr>
          <w:p>
            <w:pPr>
              <w:ind w:left="880"/>
              <w:spacing w:after="0"/>
              <w:rPr>
                <w:sz w:val="20"/>
                <w:szCs w:val="20"/>
                <w:color w:val="auto"/>
              </w:rPr>
            </w:pPr>
            <w:r>
              <w:rPr>
                <w:rFonts w:ascii="Arial" w:cs="Arial" w:eastAsia="Arial" w:hAnsi="Arial"/>
                <w:sz w:val="16"/>
                <w:szCs w:val="16"/>
                <w:b w:val="1"/>
                <w:bCs w:val="1"/>
                <w:color w:val="auto"/>
              </w:rPr>
              <w:t>Legal cash requirements (i)</w:t>
            </w:r>
          </w:p>
        </w:tc>
        <w:tc>
          <w:tcPr>
            <w:tcW w:w="2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3"/>
        </w:trPr>
        <w:tc>
          <w:tcPr>
            <w:tcW w:w="5260" w:type="dxa"/>
            <w:vAlign w:val="bottom"/>
          </w:tcPr>
          <w:p>
            <w:pPr>
              <w:ind w:left="880"/>
              <w:spacing w:after="0"/>
              <w:rPr>
                <w:sz w:val="20"/>
                <w:szCs w:val="20"/>
                <w:color w:val="auto"/>
              </w:rPr>
            </w:pPr>
            <w:r>
              <w:rPr>
                <w:rFonts w:ascii="Arial" w:cs="Arial" w:eastAsia="Arial" w:hAnsi="Arial"/>
                <w:sz w:val="16"/>
                <w:szCs w:val="16"/>
                <w:color w:val="auto"/>
              </w:rPr>
              <w:t>Deposits with Central Reserve Bank of Peru</w:t>
            </w:r>
          </w:p>
        </w:tc>
        <w:tc>
          <w:tcPr>
            <w:tcW w:w="4160" w:type="dxa"/>
            <w:vAlign w:val="bottom"/>
            <w:gridSpan w:val="2"/>
          </w:tcPr>
          <w:p>
            <w:pPr>
              <w:jc w:val="right"/>
              <w:spacing w:after="0"/>
              <w:rPr>
                <w:sz w:val="20"/>
                <w:szCs w:val="20"/>
                <w:color w:val="auto"/>
              </w:rPr>
            </w:pPr>
            <w:r>
              <w:rPr>
                <w:rFonts w:ascii="Arial" w:cs="Arial" w:eastAsia="Arial" w:hAnsi="Arial"/>
                <w:sz w:val="16"/>
                <w:szCs w:val="16"/>
                <w:color w:val="auto"/>
              </w:rPr>
              <w:t>21,182,492</w:t>
            </w:r>
          </w:p>
        </w:tc>
        <w:tc>
          <w:tcPr>
            <w:tcW w:w="22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21,103,687</w:t>
            </w:r>
          </w:p>
        </w:tc>
        <w:tc>
          <w:tcPr>
            <w:tcW w:w="360" w:type="dxa"/>
            <w:vAlign w:val="bottom"/>
          </w:tcPr>
          <w:p>
            <w:pPr>
              <w:spacing w:after="0"/>
              <w:rPr>
                <w:sz w:val="15"/>
                <w:szCs w:val="15"/>
                <w:color w:val="auto"/>
              </w:rPr>
            </w:pPr>
          </w:p>
        </w:tc>
      </w:tr>
      <w:tr>
        <w:trPr>
          <w:trHeight w:val="183"/>
        </w:trPr>
        <w:tc>
          <w:tcPr>
            <w:tcW w:w="5260" w:type="dxa"/>
            <w:vAlign w:val="bottom"/>
          </w:tcPr>
          <w:p>
            <w:pPr>
              <w:ind w:left="880"/>
              <w:spacing w:after="0"/>
              <w:rPr>
                <w:sz w:val="20"/>
                <w:szCs w:val="20"/>
                <w:color w:val="auto"/>
              </w:rPr>
            </w:pPr>
            <w:r>
              <w:rPr>
                <w:rFonts w:ascii="Arial" w:cs="Arial" w:eastAsia="Arial" w:hAnsi="Arial"/>
                <w:sz w:val="16"/>
                <w:szCs w:val="16"/>
                <w:color w:val="auto"/>
              </w:rPr>
              <w:t>Deposits with Central Reserve Bank of Bolivia</w:t>
            </w:r>
          </w:p>
        </w:tc>
        <w:tc>
          <w:tcPr>
            <w:tcW w:w="4380" w:type="dxa"/>
            <w:vAlign w:val="bottom"/>
            <w:gridSpan w:val="3"/>
          </w:tcPr>
          <w:p>
            <w:pPr>
              <w:jc w:val="right"/>
              <w:ind w:right="200"/>
              <w:spacing w:after="0"/>
              <w:rPr>
                <w:sz w:val="20"/>
                <w:szCs w:val="20"/>
                <w:color w:val="auto"/>
              </w:rPr>
            </w:pPr>
            <w:r>
              <w:rPr>
                <w:rFonts w:ascii="Arial" w:cs="Arial" w:eastAsia="Arial" w:hAnsi="Arial"/>
                <w:sz w:val="16"/>
                <w:szCs w:val="16"/>
                <w:color w:val="auto"/>
              </w:rPr>
              <w:t>1,352,378</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628,399</w:t>
            </w:r>
          </w:p>
        </w:tc>
        <w:tc>
          <w:tcPr>
            <w:tcW w:w="360" w:type="dxa"/>
            <w:vAlign w:val="bottom"/>
          </w:tcPr>
          <w:p>
            <w:pPr>
              <w:spacing w:after="0"/>
              <w:rPr>
                <w:sz w:val="15"/>
                <w:szCs w:val="15"/>
                <w:color w:val="auto"/>
              </w:rPr>
            </w:pPr>
          </w:p>
        </w:tc>
      </w:tr>
      <w:tr>
        <w:trPr>
          <w:trHeight w:val="183"/>
        </w:trPr>
        <w:tc>
          <w:tcPr>
            <w:tcW w:w="5260" w:type="dxa"/>
            <w:vAlign w:val="bottom"/>
          </w:tcPr>
          <w:p>
            <w:pPr>
              <w:ind w:left="880"/>
              <w:spacing w:after="0"/>
              <w:rPr>
                <w:sz w:val="20"/>
                <w:szCs w:val="20"/>
                <w:color w:val="auto"/>
              </w:rPr>
            </w:pPr>
            <w:r>
              <w:rPr>
                <w:rFonts w:ascii="Arial" w:cs="Arial" w:eastAsia="Arial" w:hAnsi="Arial"/>
                <w:sz w:val="16"/>
                <w:szCs w:val="16"/>
                <w:color w:val="auto"/>
              </w:rPr>
              <w:t>Deposits with Republic Bank of Colombia</w:t>
            </w:r>
          </w:p>
        </w:tc>
        <w:tc>
          <w:tcPr>
            <w:tcW w:w="4380" w:type="dxa"/>
            <w:vAlign w:val="bottom"/>
            <w:gridSpan w:val="3"/>
          </w:tcPr>
          <w:p>
            <w:pPr>
              <w:jc w:val="right"/>
              <w:ind w:right="200"/>
              <w:spacing w:after="0"/>
              <w:rPr>
                <w:sz w:val="20"/>
                <w:szCs w:val="20"/>
                <w:color w:val="auto"/>
              </w:rPr>
            </w:pPr>
            <w:r>
              <w:rPr>
                <w:rFonts w:ascii="Arial" w:cs="Arial" w:eastAsia="Arial" w:hAnsi="Arial"/>
                <w:sz w:val="16"/>
                <w:szCs w:val="16"/>
                <w:color w:val="auto"/>
              </w:rPr>
              <w:t>45,091</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6,285</w:t>
            </w:r>
          </w:p>
        </w:tc>
        <w:tc>
          <w:tcPr>
            <w:tcW w:w="360" w:type="dxa"/>
            <w:vAlign w:val="bottom"/>
          </w:tcPr>
          <w:p>
            <w:pPr>
              <w:spacing w:after="0"/>
              <w:rPr>
                <w:sz w:val="15"/>
                <w:szCs w:val="15"/>
                <w:color w:val="auto"/>
              </w:rPr>
            </w:pPr>
          </w:p>
        </w:tc>
      </w:tr>
      <w:tr>
        <w:trPr>
          <w:trHeight w:val="212"/>
        </w:trPr>
        <w:tc>
          <w:tcPr>
            <w:tcW w:w="5260" w:type="dxa"/>
            <w:vAlign w:val="bottom"/>
          </w:tcPr>
          <w:p>
            <w:pPr>
              <w:ind w:left="880"/>
              <w:spacing w:after="0"/>
              <w:rPr>
                <w:sz w:val="20"/>
                <w:szCs w:val="20"/>
                <w:color w:val="auto"/>
              </w:rPr>
            </w:pPr>
            <w:r>
              <w:rPr>
                <w:rFonts w:ascii="Arial" w:cs="Arial" w:eastAsia="Arial" w:hAnsi="Arial"/>
                <w:sz w:val="16"/>
                <w:szCs w:val="16"/>
                <w:color w:val="auto"/>
              </w:rPr>
              <w:t>Cash in vaults of Bank</w:t>
            </w:r>
          </w:p>
        </w:tc>
        <w:tc>
          <w:tcPr>
            <w:tcW w:w="4380" w:type="dxa"/>
            <w:vAlign w:val="bottom"/>
            <w:gridSpan w:val="3"/>
          </w:tcPr>
          <w:p>
            <w:pPr>
              <w:jc w:val="right"/>
              <w:ind w:right="200"/>
              <w:spacing w:after="0"/>
              <w:rPr>
                <w:sz w:val="20"/>
                <w:szCs w:val="20"/>
                <w:color w:val="auto"/>
              </w:rPr>
            </w:pPr>
            <w:r>
              <w:rPr>
                <w:rFonts w:ascii="Arial" w:cs="Arial" w:eastAsia="Arial" w:hAnsi="Arial"/>
                <w:sz w:val="16"/>
                <w:szCs w:val="16"/>
                <w:color w:val="auto"/>
              </w:rPr>
              <w:t>4,490,602</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4,714,275</w:t>
            </w:r>
          </w:p>
        </w:tc>
        <w:tc>
          <w:tcPr>
            <w:tcW w:w="360" w:type="dxa"/>
            <w:vAlign w:val="bottom"/>
          </w:tcPr>
          <w:p>
            <w:pPr>
              <w:spacing w:after="0"/>
              <w:rPr>
                <w:sz w:val="18"/>
                <w:szCs w:val="18"/>
                <w:color w:val="auto"/>
              </w:rPr>
            </w:pPr>
          </w:p>
        </w:tc>
      </w:tr>
      <w:tr>
        <w:trPr>
          <w:trHeight w:val="180"/>
        </w:trPr>
        <w:tc>
          <w:tcPr>
            <w:tcW w:w="526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Total legal cash requirements</w:t>
            </w:r>
          </w:p>
        </w:tc>
        <w:tc>
          <w:tcPr>
            <w:tcW w:w="2940" w:type="dxa"/>
            <w:vAlign w:val="bottom"/>
          </w:tcPr>
          <w:p>
            <w:pPr>
              <w:spacing w:after="0"/>
              <w:rPr>
                <w:sz w:val="15"/>
                <w:szCs w:val="15"/>
                <w:color w:val="auto"/>
              </w:rPr>
            </w:pPr>
          </w:p>
        </w:tc>
        <w:tc>
          <w:tcPr>
            <w:tcW w:w="12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27,070,563</w:t>
            </w:r>
          </w:p>
        </w:tc>
        <w:tc>
          <w:tcPr>
            <w:tcW w:w="220" w:type="dxa"/>
            <w:vAlign w:val="bottom"/>
          </w:tcPr>
          <w:p>
            <w:pPr>
              <w:spacing w:after="0"/>
              <w:rPr>
                <w:sz w:val="15"/>
                <w:szCs w:val="15"/>
                <w:color w:val="auto"/>
              </w:rPr>
            </w:pPr>
          </w:p>
        </w:tc>
        <w:tc>
          <w:tcPr>
            <w:tcW w:w="1260" w:type="dxa"/>
            <w:vAlign w:val="bottom"/>
            <w:tcBorders>
              <w:top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26,452,646</w:t>
            </w:r>
          </w:p>
        </w:tc>
        <w:tc>
          <w:tcPr>
            <w:tcW w:w="360" w:type="dxa"/>
            <w:vAlign w:val="bottom"/>
          </w:tcPr>
          <w:p>
            <w:pPr>
              <w:spacing w:after="0"/>
              <w:rPr>
                <w:sz w:val="15"/>
                <w:szCs w:val="15"/>
                <w:color w:val="auto"/>
              </w:rPr>
            </w:pPr>
          </w:p>
        </w:tc>
      </w:tr>
      <w:tr>
        <w:trPr>
          <w:trHeight w:val="350"/>
        </w:trPr>
        <w:tc>
          <w:tcPr>
            <w:tcW w:w="5260" w:type="dxa"/>
            <w:vAlign w:val="bottom"/>
          </w:tcPr>
          <w:p>
            <w:pPr>
              <w:ind w:left="880"/>
              <w:spacing w:after="0"/>
              <w:rPr>
                <w:sz w:val="20"/>
                <w:szCs w:val="20"/>
                <w:color w:val="auto"/>
              </w:rPr>
            </w:pPr>
            <w:r>
              <w:rPr>
                <w:rFonts w:ascii="Arial" w:cs="Arial" w:eastAsia="Arial" w:hAnsi="Arial"/>
                <w:sz w:val="16"/>
                <w:szCs w:val="16"/>
                <w:b w:val="1"/>
                <w:bCs w:val="1"/>
                <w:color w:val="auto"/>
              </w:rPr>
              <w:t>Additional funds</w:t>
            </w:r>
          </w:p>
        </w:tc>
        <w:tc>
          <w:tcPr>
            <w:tcW w:w="29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3"/>
        </w:trPr>
        <w:tc>
          <w:tcPr>
            <w:tcW w:w="5260" w:type="dxa"/>
            <w:vAlign w:val="bottom"/>
          </w:tcPr>
          <w:p>
            <w:pPr>
              <w:ind w:left="880"/>
              <w:spacing w:after="0"/>
              <w:rPr>
                <w:sz w:val="20"/>
                <w:szCs w:val="20"/>
                <w:color w:val="auto"/>
              </w:rPr>
            </w:pPr>
            <w:r>
              <w:rPr>
                <w:rFonts w:ascii="Arial" w:cs="Arial" w:eastAsia="Arial" w:hAnsi="Arial"/>
                <w:sz w:val="16"/>
                <w:szCs w:val="16"/>
                <w:color w:val="auto"/>
              </w:rPr>
              <w:t>Overnight deposits with Central Reserve Bank of Peru (ii)</w:t>
            </w:r>
          </w:p>
        </w:tc>
        <w:tc>
          <w:tcPr>
            <w:tcW w:w="4380" w:type="dxa"/>
            <w:vAlign w:val="bottom"/>
            <w:gridSpan w:val="3"/>
          </w:tcPr>
          <w:p>
            <w:pPr>
              <w:jc w:val="right"/>
              <w:ind w:right="200"/>
              <w:spacing w:after="0"/>
              <w:rPr>
                <w:sz w:val="20"/>
                <w:szCs w:val="20"/>
                <w:color w:val="auto"/>
              </w:rPr>
            </w:pPr>
            <w:r>
              <w:rPr>
                <w:rFonts w:ascii="Arial" w:cs="Arial" w:eastAsia="Arial" w:hAnsi="Arial"/>
                <w:sz w:val="16"/>
                <w:szCs w:val="16"/>
                <w:color w:val="auto"/>
              </w:rPr>
              <w:t>1,546,478</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2,013,703</w:t>
            </w:r>
          </w:p>
        </w:tc>
        <w:tc>
          <w:tcPr>
            <w:tcW w:w="360" w:type="dxa"/>
            <w:vAlign w:val="bottom"/>
          </w:tcPr>
          <w:p>
            <w:pPr>
              <w:spacing w:after="0"/>
              <w:rPr>
                <w:sz w:val="15"/>
                <w:szCs w:val="15"/>
                <w:color w:val="auto"/>
              </w:rPr>
            </w:pPr>
          </w:p>
        </w:tc>
      </w:tr>
      <w:tr>
        <w:trPr>
          <w:trHeight w:val="183"/>
        </w:trPr>
        <w:tc>
          <w:tcPr>
            <w:tcW w:w="5260" w:type="dxa"/>
            <w:vAlign w:val="bottom"/>
          </w:tcPr>
          <w:p>
            <w:pPr>
              <w:ind w:left="880"/>
              <w:spacing w:after="0"/>
              <w:rPr>
                <w:sz w:val="20"/>
                <w:szCs w:val="20"/>
                <w:color w:val="auto"/>
              </w:rPr>
            </w:pPr>
            <w:r>
              <w:rPr>
                <w:rFonts w:ascii="Arial" w:cs="Arial" w:eastAsia="Arial" w:hAnsi="Arial"/>
                <w:sz w:val="16"/>
                <w:szCs w:val="16"/>
                <w:color w:val="auto"/>
              </w:rPr>
              <w:t>Term deposits with Central Reserve Bank of Peru (iii)</w:t>
            </w:r>
          </w:p>
        </w:tc>
        <w:tc>
          <w:tcPr>
            <w:tcW w:w="4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545,000</w:t>
            </w:r>
          </w:p>
        </w:tc>
        <w:tc>
          <w:tcPr>
            <w:tcW w:w="360" w:type="dxa"/>
            <w:vAlign w:val="bottom"/>
          </w:tcPr>
          <w:p>
            <w:pPr>
              <w:spacing w:after="0"/>
              <w:rPr>
                <w:sz w:val="15"/>
                <w:szCs w:val="15"/>
                <w:color w:val="auto"/>
              </w:rPr>
            </w:pPr>
          </w:p>
        </w:tc>
      </w:tr>
      <w:tr>
        <w:trPr>
          <w:trHeight w:val="183"/>
        </w:trPr>
        <w:tc>
          <w:tcPr>
            <w:tcW w:w="5260" w:type="dxa"/>
            <w:vAlign w:val="bottom"/>
          </w:tcPr>
          <w:p>
            <w:pPr>
              <w:ind w:left="880"/>
              <w:spacing w:after="0"/>
              <w:rPr>
                <w:sz w:val="20"/>
                <w:szCs w:val="20"/>
                <w:color w:val="auto"/>
              </w:rPr>
            </w:pPr>
            <w:r>
              <w:rPr>
                <w:rFonts w:ascii="Arial" w:cs="Arial" w:eastAsia="Arial" w:hAnsi="Arial"/>
                <w:sz w:val="16"/>
                <w:szCs w:val="16"/>
                <w:color w:val="auto"/>
              </w:rPr>
              <w:t>Cash in vaults of Bank and others</w:t>
            </w:r>
          </w:p>
        </w:tc>
        <w:tc>
          <w:tcPr>
            <w:tcW w:w="4160" w:type="dxa"/>
            <w:vAlign w:val="bottom"/>
            <w:gridSpan w:val="2"/>
          </w:tcPr>
          <w:p>
            <w:pPr>
              <w:jc w:val="right"/>
              <w:spacing w:after="0"/>
              <w:rPr>
                <w:sz w:val="20"/>
                <w:szCs w:val="20"/>
                <w:color w:val="auto"/>
              </w:rPr>
            </w:pPr>
            <w:r>
              <w:rPr>
                <w:rFonts w:ascii="Arial" w:cs="Arial" w:eastAsia="Arial" w:hAnsi="Arial"/>
                <w:sz w:val="16"/>
                <w:szCs w:val="16"/>
                <w:color w:val="auto"/>
              </w:rPr>
              <w:t>736,844</w:t>
            </w:r>
          </w:p>
        </w:tc>
        <w:tc>
          <w:tcPr>
            <w:tcW w:w="22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696,019</w:t>
            </w:r>
          </w:p>
        </w:tc>
        <w:tc>
          <w:tcPr>
            <w:tcW w:w="360" w:type="dxa"/>
            <w:vAlign w:val="bottom"/>
          </w:tcPr>
          <w:p>
            <w:pPr>
              <w:spacing w:after="0"/>
              <w:rPr>
                <w:sz w:val="15"/>
                <w:szCs w:val="15"/>
                <w:color w:val="auto"/>
              </w:rPr>
            </w:pPr>
          </w:p>
        </w:tc>
      </w:tr>
      <w:tr>
        <w:trPr>
          <w:trHeight w:val="204"/>
        </w:trPr>
        <w:tc>
          <w:tcPr>
            <w:tcW w:w="5260" w:type="dxa"/>
            <w:vAlign w:val="bottom"/>
          </w:tcPr>
          <w:p>
            <w:pPr>
              <w:ind w:left="880"/>
              <w:spacing w:after="0"/>
              <w:rPr>
                <w:sz w:val="20"/>
                <w:szCs w:val="20"/>
                <w:color w:val="auto"/>
              </w:rPr>
            </w:pPr>
            <w:r>
              <w:rPr>
                <w:rFonts w:ascii="Arial" w:cs="Arial" w:eastAsia="Arial" w:hAnsi="Arial"/>
                <w:sz w:val="16"/>
                <w:szCs w:val="16"/>
                <w:color w:val="auto"/>
              </w:rPr>
              <w:t>Other Deposits BCRP</w:t>
            </w:r>
          </w:p>
        </w:tc>
        <w:tc>
          <w:tcPr>
            <w:tcW w:w="4160" w:type="dxa"/>
            <w:vAlign w:val="bottom"/>
            <w:gridSpan w:val="2"/>
          </w:tcPr>
          <w:p>
            <w:pPr>
              <w:jc w:val="right"/>
              <w:spacing w:after="0"/>
              <w:rPr>
                <w:sz w:val="20"/>
                <w:szCs w:val="20"/>
                <w:color w:val="auto"/>
              </w:rPr>
            </w:pPr>
            <w:r>
              <w:rPr>
                <w:rFonts w:ascii="Arial" w:cs="Arial" w:eastAsia="Arial" w:hAnsi="Arial"/>
                <w:sz w:val="16"/>
                <w:szCs w:val="16"/>
                <w:color w:val="auto"/>
              </w:rPr>
              <w:t>944,807</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498,333</w:t>
            </w:r>
          </w:p>
        </w:tc>
        <w:tc>
          <w:tcPr>
            <w:tcW w:w="360" w:type="dxa"/>
            <w:vAlign w:val="bottom"/>
          </w:tcPr>
          <w:p>
            <w:pPr>
              <w:spacing w:after="0"/>
              <w:rPr>
                <w:sz w:val="17"/>
                <w:szCs w:val="17"/>
                <w:color w:val="auto"/>
              </w:rPr>
            </w:pPr>
          </w:p>
        </w:tc>
      </w:tr>
      <w:tr>
        <w:trPr>
          <w:trHeight w:val="183"/>
        </w:trPr>
        <w:tc>
          <w:tcPr>
            <w:tcW w:w="5260" w:type="dxa"/>
            <w:vAlign w:val="bottom"/>
          </w:tcPr>
          <w:p>
            <w:pPr>
              <w:ind w:left="880"/>
              <w:spacing w:after="0"/>
              <w:rPr>
                <w:sz w:val="20"/>
                <w:szCs w:val="20"/>
                <w:color w:val="auto"/>
              </w:rPr>
            </w:pPr>
            <w:r>
              <w:rPr>
                <w:rFonts w:ascii="Arial" w:cs="Arial" w:eastAsia="Arial" w:hAnsi="Arial"/>
                <w:sz w:val="16"/>
                <w:szCs w:val="16"/>
                <w:b w:val="1"/>
                <w:bCs w:val="1"/>
                <w:color w:val="auto"/>
              </w:rPr>
              <w:t>Total additional funds</w:t>
            </w:r>
          </w:p>
        </w:tc>
        <w:tc>
          <w:tcPr>
            <w:tcW w:w="294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3,228,129</w:t>
            </w:r>
          </w:p>
        </w:tc>
        <w:tc>
          <w:tcPr>
            <w:tcW w:w="220" w:type="dxa"/>
            <w:vAlign w:val="bottom"/>
          </w:tcPr>
          <w:p>
            <w:pPr>
              <w:spacing w:after="0"/>
              <w:rPr>
                <w:sz w:val="15"/>
                <w:szCs w:val="15"/>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3,753,055</w:t>
            </w:r>
          </w:p>
        </w:tc>
        <w:tc>
          <w:tcPr>
            <w:tcW w:w="360" w:type="dxa"/>
            <w:vAlign w:val="bottom"/>
          </w:tcPr>
          <w:p>
            <w:pPr>
              <w:spacing w:after="0"/>
              <w:rPr>
                <w:sz w:val="15"/>
                <w:szCs w:val="15"/>
                <w:color w:val="auto"/>
              </w:rPr>
            </w:pPr>
          </w:p>
        </w:tc>
      </w:tr>
      <w:tr>
        <w:trPr>
          <w:trHeight w:val="180"/>
        </w:trPr>
        <w:tc>
          <w:tcPr>
            <w:tcW w:w="526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Total</w:t>
            </w:r>
          </w:p>
        </w:tc>
        <w:tc>
          <w:tcPr>
            <w:tcW w:w="294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Arial" w:cs="Arial" w:eastAsia="Arial" w:hAnsi="Arial"/>
                <w:sz w:val="16"/>
                <w:szCs w:val="16"/>
                <w:color w:val="auto"/>
              </w:rPr>
              <w:t>30,298,692</w:t>
            </w:r>
          </w:p>
        </w:tc>
        <w:tc>
          <w:tcPr>
            <w:tcW w:w="220" w:type="dxa"/>
            <w:vAlign w:val="bottom"/>
          </w:tcPr>
          <w:p>
            <w:pPr>
              <w:spacing w:after="0"/>
              <w:rPr>
                <w:sz w:val="15"/>
                <w:szCs w:val="15"/>
                <w:color w:val="auto"/>
              </w:rPr>
            </w:pPr>
          </w:p>
        </w:tc>
        <w:tc>
          <w:tcPr>
            <w:tcW w:w="126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30,205,701</w:t>
            </w:r>
          </w:p>
        </w:tc>
        <w:tc>
          <w:tcPr>
            <w:tcW w:w="360" w:type="dxa"/>
            <w:vAlign w:val="bottom"/>
          </w:tcPr>
          <w:p>
            <w:pPr>
              <w:spacing w:after="0"/>
              <w:rPr>
                <w:sz w:val="15"/>
                <w:szCs w:val="15"/>
                <w:color w:val="auto"/>
              </w:rPr>
            </w:pPr>
          </w:p>
        </w:tc>
      </w:tr>
      <w:tr>
        <w:trPr>
          <w:trHeight w:val="357"/>
        </w:trPr>
        <w:tc>
          <w:tcPr>
            <w:tcW w:w="5260" w:type="dxa"/>
            <w:vAlign w:val="bottom"/>
          </w:tcPr>
          <w:p>
            <w:pPr>
              <w:spacing w:after="0"/>
              <w:rPr>
                <w:sz w:val="24"/>
                <w:szCs w:val="24"/>
                <w:color w:val="auto"/>
              </w:rPr>
            </w:pPr>
          </w:p>
        </w:tc>
        <w:tc>
          <w:tcPr>
            <w:tcW w:w="2940" w:type="dxa"/>
            <w:vAlign w:val="bottom"/>
          </w:tcPr>
          <w:p>
            <w:pPr>
              <w:jc w:val="right"/>
              <w:ind w:right="2419"/>
              <w:spacing w:after="0"/>
              <w:rPr>
                <w:sz w:val="20"/>
                <w:szCs w:val="20"/>
                <w:color w:val="auto"/>
              </w:rPr>
            </w:pPr>
            <w:r>
              <w:rPr>
                <w:rFonts w:ascii="Arial" w:cs="Arial" w:eastAsia="Arial" w:hAnsi="Arial"/>
                <w:sz w:val="16"/>
                <w:szCs w:val="16"/>
                <w:color w:val="auto"/>
              </w:rPr>
              <w:t>61</w:t>
            </w: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
        </w:trPr>
        <w:tc>
          <w:tcPr>
            <w:tcW w:w="526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64" w:name="page65"/>
    <w:bookmarkEnd w:id="64"/>
    <w:p>
      <w:pPr>
        <w:ind w:left="596" w:right="380" w:hanging="303"/>
        <w:spacing w:after="0" w:line="259" w:lineRule="auto"/>
        <w:tabs>
          <w:tab w:leader="none" w:pos="596" w:val="left"/>
        </w:tabs>
        <w:numPr>
          <w:ilvl w:val="1"/>
          <w:numId w:val="82"/>
        </w:numPr>
        <w:rPr>
          <w:rFonts w:ascii="Arial" w:cs="Arial" w:eastAsia="Arial" w:hAnsi="Arial"/>
          <w:sz w:val="16"/>
          <w:szCs w:val="16"/>
          <w:color w:val="auto"/>
        </w:rPr>
      </w:pPr>
      <w:r>
        <w:rPr>
          <w:rFonts w:ascii="Arial" w:cs="Arial" w:eastAsia="Arial" w:hAnsi="Arial"/>
          <w:sz w:val="16"/>
          <w:szCs w:val="16"/>
          <w:color w:val="auto"/>
        </w:rPr>
        <w:t>As of December 31, 2023 cash and deposits that generate interest subject to legal cash requirements in local and foreign currency are subject to an implicit rate of 6.01 percent and 34.87 percent, respectively, on the total balance of obligations subject to legal cash requirements, as required by the BCRP; as of December 31, 2022, 6.01 percent and 34.55 percent, respectively.</w:t>
      </w:r>
    </w:p>
    <w:p>
      <w:pPr>
        <w:spacing w:after="0" w:line="136" w:lineRule="exact"/>
        <w:rPr>
          <w:rFonts w:ascii="Arial" w:cs="Arial" w:eastAsia="Arial" w:hAnsi="Arial"/>
          <w:sz w:val="16"/>
          <w:szCs w:val="16"/>
          <w:color w:val="auto"/>
        </w:rPr>
      </w:pPr>
    </w:p>
    <w:p>
      <w:pPr>
        <w:ind w:left="596" w:right="200"/>
        <w:spacing w:after="0" w:line="259" w:lineRule="auto"/>
        <w:rPr>
          <w:rFonts w:ascii="Arial" w:cs="Arial" w:eastAsia="Arial" w:hAnsi="Arial"/>
          <w:sz w:val="16"/>
          <w:szCs w:val="16"/>
          <w:color w:val="auto"/>
        </w:rPr>
      </w:pPr>
      <w:r>
        <w:rPr>
          <w:rFonts w:ascii="Arial" w:cs="Arial" w:eastAsia="Arial" w:hAnsi="Arial"/>
          <w:sz w:val="16"/>
          <w:szCs w:val="16"/>
          <w:color w:val="auto"/>
        </w:rPr>
        <w:t>As of December 31, 2023, part of the additional reserve funds in dollars at a variable rate amounting to US$150.0 million, equivalent to S/556.4 million, have cash flow coverage through interest rate swaps (IRS), through which said funds are converted into dollars at a fixed rate, see note 12(c).</w:t>
      </w:r>
    </w:p>
    <w:p>
      <w:pPr>
        <w:spacing w:after="0" w:line="137" w:lineRule="exact"/>
        <w:rPr>
          <w:rFonts w:ascii="Arial" w:cs="Arial" w:eastAsia="Arial" w:hAnsi="Arial"/>
          <w:sz w:val="16"/>
          <w:szCs w:val="16"/>
          <w:color w:val="auto"/>
        </w:rPr>
      </w:pPr>
    </w:p>
    <w:p>
      <w:pPr>
        <w:ind w:left="596" w:right="220"/>
        <w:spacing w:after="0" w:line="280" w:lineRule="auto"/>
        <w:rPr>
          <w:rFonts w:ascii="Arial" w:cs="Arial" w:eastAsia="Arial" w:hAnsi="Arial"/>
          <w:sz w:val="16"/>
          <w:szCs w:val="16"/>
          <w:color w:val="auto"/>
        </w:rPr>
      </w:pPr>
      <w:r>
        <w:rPr>
          <w:rFonts w:ascii="Arial" w:cs="Arial" w:eastAsia="Arial" w:hAnsi="Arial"/>
          <w:sz w:val="16"/>
          <w:szCs w:val="16"/>
          <w:color w:val="auto"/>
        </w:rPr>
        <w:t>The reserve funds, which represent the minimum mandatory, do not earn interest; however, the mandatory reserve deposited in BCRP in excess of minimum mandatory, earns interests at a nominal rate established by BCRP.</w:t>
      </w:r>
    </w:p>
    <w:p>
      <w:pPr>
        <w:spacing w:after="0" w:line="120" w:lineRule="exact"/>
        <w:rPr>
          <w:rFonts w:ascii="Arial" w:cs="Arial" w:eastAsia="Arial" w:hAnsi="Arial"/>
          <w:sz w:val="16"/>
          <w:szCs w:val="16"/>
          <w:color w:val="auto"/>
        </w:rPr>
      </w:pPr>
    </w:p>
    <w:p>
      <w:pPr>
        <w:ind w:left="596"/>
        <w:spacing w:after="0"/>
        <w:rPr>
          <w:rFonts w:ascii="Arial" w:cs="Arial" w:eastAsia="Arial" w:hAnsi="Arial"/>
          <w:sz w:val="16"/>
          <w:szCs w:val="16"/>
          <w:color w:val="auto"/>
        </w:rPr>
      </w:pPr>
      <w:r>
        <w:rPr>
          <w:rFonts w:ascii="Arial" w:cs="Arial" w:eastAsia="Arial" w:hAnsi="Arial"/>
          <w:sz w:val="16"/>
          <w:szCs w:val="16"/>
          <w:color w:val="auto"/>
        </w:rPr>
        <w:t>In Management’s opinion, the Group has complied with the calculation legal cash requirements established by current regulations.</w:t>
      </w:r>
    </w:p>
    <w:p>
      <w:pPr>
        <w:spacing w:after="0" w:line="182" w:lineRule="exact"/>
        <w:rPr>
          <w:rFonts w:ascii="Arial" w:cs="Arial" w:eastAsia="Arial" w:hAnsi="Arial"/>
          <w:sz w:val="16"/>
          <w:szCs w:val="16"/>
          <w:color w:val="auto"/>
        </w:rPr>
      </w:pPr>
    </w:p>
    <w:p>
      <w:pPr>
        <w:ind w:left="596" w:right="60" w:hanging="303"/>
        <w:spacing w:after="0" w:line="252" w:lineRule="auto"/>
        <w:tabs>
          <w:tab w:leader="none" w:pos="596" w:val="left"/>
        </w:tabs>
        <w:numPr>
          <w:ilvl w:val="1"/>
          <w:numId w:val="82"/>
        </w:numPr>
        <w:rPr>
          <w:rFonts w:ascii="Arial" w:cs="Arial" w:eastAsia="Arial" w:hAnsi="Arial"/>
          <w:sz w:val="16"/>
          <w:szCs w:val="16"/>
          <w:color w:val="auto"/>
        </w:rPr>
      </w:pPr>
      <w:r>
        <w:rPr>
          <w:rFonts w:ascii="Arial" w:cs="Arial" w:eastAsia="Arial" w:hAnsi="Arial"/>
          <w:sz w:val="16"/>
          <w:szCs w:val="16"/>
          <w:color w:val="auto"/>
        </w:rPr>
        <w:t>As of December 31, 2023, the Group maintains four “overnight” deposits with the BCRP, of which one is denominated in soles in amount of S/1,160.0 million and two are denominated in U.S. Dollar in amount of US$104.2 million, equivalent to S/386.5 million. At said date, the deposit in soles and deposits in U.S. Dollar accrue interest at annual rates of 4.00 percent and 5.34 percent, respectively, and have maturities at 5 days.</w:t>
      </w:r>
    </w:p>
    <w:p>
      <w:pPr>
        <w:spacing w:after="0" w:line="143" w:lineRule="exact"/>
        <w:rPr>
          <w:rFonts w:ascii="Arial" w:cs="Arial" w:eastAsia="Arial" w:hAnsi="Arial"/>
          <w:sz w:val="16"/>
          <w:szCs w:val="16"/>
          <w:color w:val="auto"/>
        </w:rPr>
      </w:pPr>
    </w:p>
    <w:p>
      <w:pPr>
        <w:ind w:left="596"/>
        <w:spacing w:after="0" w:line="259" w:lineRule="auto"/>
        <w:rPr>
          <w:rFonts w:ascii="Arial" w:cs="Arial" w:eastAsia="Arial" w:hAnsi="Arial"/>
          <w:sz w:val="16"/>
          <w:szCs w:val="16"/>
          <w:color w:val="auto"/>
        </w:rPr>
      </w:pPr>
      <w:r>
        <w:rPr>
          <w:rFonts w:ascii="Arial" w:cs="Arial" w:eastAsia="Arial" w:hAnsi="Arial"/>
          <w:sz w:val="16"/>
          <w:szCs w:val="16"/>
          <w:color w:val="auto"/>
        </w:rPr>
        <w:t>As of December 31, 2022, the Group maintained three “overnight” deposits with the BCRP, which one were denominated in soles in amount of S/35.0 million and two in US Dollar in amount of US$518.8 million, equivalent to S/1,978.7 million. At said date, deposits in soles and deposits in U.S. Dollar accrued interest at annual rates of 5.25 percent and 4.39, respectively, and had maturities at 4 days.</w:t>
      </w:r>
    </w:p>
    <w:p>
      <w:pPr>
        <w:spacing w:after="0" w:line="137" w:lineRule="exact"/>
        <w:rPr>
          <w:rFonts w:ascii="Arial" w:cs="Arial" w:eastAsia="Arial" w:hAnsi="Arial"/>
          <w:sz w:val="16"/>
          <w:szCs w:val="16"/>
          <w:color w:val="auto"/>
        </w:rPr>
      </w:pPr>
    </w:p>
    <w:p>
      <w:pPr>
        <w:ind w:left="596" w:right="40" w:hanging="303"/>
        <w:spacing w:after="0" w:line="280" w:lineRule="auto"/>
        <w:tabs>
          <w:tab w:leader="none" w:pos="596" w:val="left"/>
        </w:tabs>
        <w:numPr>
          <w:ilvl w:val="1"/>
          <w:numId w:val="82"/>
        </w:numPr>
        <w:rPr>
          <w:rFonts w:ascii="Arial" w:cs="Arial" w:eastAsia="Arial" w:hAnsi="Arial"/>
          <w:sz w:val="16"/>
          <w:szCs w:val="16"/>
          <w:color w:val="auto"/>
        </w:rPr>
      </w:pPr>
      <w:r>
        <w:rPr>
          <w:rFonts w:ascii="Arial" w:cs="Arial" w:eastAsia="Arial" w:hAnsi="Arial"/>
          <w:sz w:val="16"/>
          <w:szCs w:val="16"/>
          <w:color w:val="auto"/>
        </w:rPr>
        <w:t>As of December 31, 2023, the Group no maintains term deposits with the BCRP. As of December 31, 2022, the group held four term deposits denominated in soles, accruing interest at an annual rate between 7.30 percent and 7.49 percent and expired on January 3, 2023.</w:t>
      </w:r>
    </w:p>
    <w:p>
      <w:pPr>
        <w:spacing w:after="0" w:line="120" w:lineRule="exact"/>
        <w:rPr>
          <w:rFonts w:ascii="Arial" w:cs="Arial" w:eastAsia="Arial" w:hAnsi="Arial"/>
          <w:sz w:val="16"/>
          <w:szCs w:val="16"/>
          <w:color w:val="auto"/>
        </w:rPr>
      </w:pPr>
    </w:p>
    <w:p>
      <w:pPr>
        <w:ind w:left="296" w:hanging="296"/>
        <w:spacing w:after="0"/>
        <w:tabs>
          <w:tab w:leader="none" w:pos="296"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Deposits with local and foreign banks -</w:t>
      </w:r>
    </w:p>
    <w:p>
      <w:pPr>
        <w:spacing w:after="0" w:line="183" w:lineRule="exact"/>
        <w:rPr>
          <w:sz w:val="20"/>
          <w:szCs w:val="20"/>
          <w:color w:val="auto"/>
        </w:rPr>
      </w:pPr>
    </w:p>
    <w:p>
      <w:pPr>
        <w:ind w:left="296" w:right="240"/>
        <w:spacing w:after="0" w:line="280" w:lineRule="auto"/>
        <w:rPr>
          <w:sz w:val="20"/>
          <w:szCs w:val="20"/>
          <w:color w:val="auto"/>
        </w:rPr>
      </w:pPr>
      <w:r>
        <w:rPr>
          <w:rFonts w:ascii="Arial" w:cs="Arial" w:eastAsia="Arial" w:hAnsi="Arial"/>
          <w:sz w:val="16"/>
          <w:szCs w:val="16"/>
          <w:color w:val="auto"/>
        </w:rPr>
        <w:t>Deposits with local and foreign banks mainly consist of balances in soles and U.S. Dollar; these are cash in hand and earn interest at market rates. As of December 31, 2023 and 2022 Credicorp and its Subsidiaries do not maintain significant deposits with any bank.</w:t>
      </w:r>
    </w:p>
    <w:p>
      <w:pPr>
        <w:spacing w:after="0" w:line="96" w:lineRule="exact"/>
        <w:rPr>
          <w:sz w:val="20"/>
          <w:szCs w:val="20"/>
          <w:color w:val="auto"/>
        </w:rPr>
      </w:pPr>
    </w:p>
    <w:p>
      <w:pPr>
        <w:ind w:left="4936"/>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36"/>
          </w:cols>
          <w:pgMar w:left="904" w:top="124" w:right="359" w:bottom="1440" w:gutter="0" w:footer="0" w:header="0"/>
        </w:sectPr>
      </w:pPr>
    </w:p>
    <w:bookmarkStart w:id="65" w:name="page66"/>
    <w:bookmarkEnd w:id="65"/>
    <w:p>
      <w:pPr>
        <w:ind w:left="582" w:right="280" w:hanging="582"/>
        <w:spacing w:after="0" w:line="289" w:lineRule="auto"/>
        <w:tabs>
          <w:tab w:leader="none" w:pos="582"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CASH COLLATERAL, REVERSE REPURCHASE AGREEMENTS AND SECURITIES BORROWING AND PAYABLES FROM REPURCHASE AGREEMENTS AND SECURITIES LENDING</w:t>
      </w:r>
    </w:p>
    <w:p>
      <w:pPr>
        <w:spacing w:after="0" w:line="105" w:lineRule="exact"/>
        <w:rPr>
          <w:rFonts w:ascii="Arial" w:cs="Arial" w:eastAsia="Arial" w:hAnsi="Arial"/>
          <w:sz w:val="16"/>
          <w:szCs w:val="16"/>
          <w:b w:val="1"/>
          <w:bCs w:val="1"/>
          <w:color w:val="auto"/>
        </w:rPr>
      </w:pPr>
    </w:p>
    <w:p>
      <w:pPr>
        <w:ind w:left="882" w:hanging="296"/>
        <w:spacing w:after="0"/>
        <w:tabs>
          <w:tab w:leader="none" w:pos="882" w:val="left"/>
        </w:tabs>
        <w:numPr>
          <w:ilvl w:val="1"/>
          <w:numId w:val="84"/>
        </w:numPr>
        <w:rPr>
          <w:rFonts w:ascii="Arial" w:cs="Arial" w:eastAsia="Arial" w:hAnsi="Arial"/>
          <w:sz w:val="16"/>
          <w:szCs w:val="16"/>
          <w:color w:val="auto"/>
        </w:rPr>
      </w:pPr>
      <w:r>
        <w:rPr>
          <w:rFonts w:ascii="Arial" w:cs="Arial" w:eastAsia="Arial" w:hAnsi="Arial"/>
          <w:sz w:val="16"/>
          <w:szCs w:val="16"/>
          <w:color w:val="auto"/>
        </w:rPr>
        <w:t>We present below the composition of cash collateral, reverse repurchase agreements and securities borrowing:</w:t>
      </w:r>
    </w:p>
    <w:p>
      <w:pPr>
        <w:spacing w:after="0" w:line="195" w:lineRule="exact"/>
        <w:rPr>
          <w:sz w:val="20"/>
          <w:szCs w:val="20"/>
          <w:color w:val="auto"/>
        </w:rPr>
      </w:pPr>
    </w:p>
    <w:tbl>
      <w:tblPr>
        <w:tblLayout w:type="fixed"/>
        <w:tblInd w:w="882" w:type="dxa"/>
        <w:tblCellMar>
          <w:top w:w="0" w:type="dxa"/>
          <w:left w:w="0" w:type="dxa"/>
          <w:bottom w:w="0" w:type="dxa"/>
          <w:right w:w="0" w:type="dxa"/>
        </w:tblCellMar>
      </w:tblPr>
      <w:tr>
        <w:trPr>
          <w:trHeight w:val="200"/>
        </w:trPr>
        <w:tc>
          <w:tcPr>
            <w:tcW w:w="6180" w:type="dxa"/>
            <w:vAlign w:val="bottom"/>
          </w:tcPr>
          <w:p>
            <w:pPr>
              <w:spacing w:after="0"/>
              <w:rPr>
                <w:sz w:val="17"/>
                <w:szCs w:val="17"/>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r>
      <w:tr>
        <w:trPr>
          <w:trHeight w:val="216"/>
        </w:trPr>
        <w:tc>
          <w:tcPr>
            <w:tcW w:w="618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10"/>
        </w:trPr>
        <w:tc>
          <w:tcPr>
            <w:tcW w:w="6180" w:type="dxa"/>
            <w:vAlign w:val="bottom"/>
          </w:tcPr>
          <w:p>
            <w:pPr>
              <w:spacing w:after="0"/>
              <w:rPr>
                <w:sz w:val="20"/>
                <w:szCs w:val="20"/>
                <w:color w:val="auto"/>
              </w:rPr>
            </w:pPr>
            <w:r>
              <w:rPr>
                <w:rFonts w:ascii="Arial" w:cs="Arial" w:eastAsia="Arial" w:hAnsi="Arial"/>
                <w:sz w:val="16"/>
                <w:szCs w:val="16"/>
                <w:color w:val="auto"/>
              </w:rPr>
              <w:t>Cash collateral on repurchase agreements and security lendings (i)</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607,639</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649,769</w:t>
            </w:r>
          </w:p>
        </w:tc>
      </w:tr>
      <w:tr>
        <w:trPr>
          <w:trHeight w:val="183"/>
        </w:trPr>
        <w:tc>
          <w:tcPr>
            <w:tcW w:w="6180" w:type="dxa"/>
            <w:vAlign w:val="bottom"/>
          </w:tcPr>
          <w:p>
            <w:pPr>
              <w:spacing w:after="0"/>
              <w:rPr>
                <w:sz w:val="20"/>
                <w:szCs w:val="20"/>
                <w:color w:val="auto"/>
              </w:rPr>
            </w:pPr>
            <w:r>
              <w:rPr>
                <w:rFonts w:ascii="Arial" w:cs="Arial" w:eastAsia="Arial" w:hAnsi="Arial"/>
                <w:sz w:val="16"/>
                <w:szCs w:val="16"/>
                <w:color w:val="auto"/>
              </w:rPr>
              <w:t>Reverse repurchase agreement and security borrowings</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719,722</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452,087</w:t>
            </w:r>
          </w:p>
        </w:tc>
      </w:tr>
      <w:tr>
        <w:trPr>
          <w:trHeight w:val="212"/>
        </w:trPr>
        <w:tc>
          <w:tcPr>
            <w:tcW w:w="6180" w:type="dxa"/>
            <w:vAlign w:val="bottom"/>
          </w:tcPr>
          <w:p>
            <w:pPr>
              <w:spacing w:after="0"/>
              <w:rPr>
                <w:sz w:val="20"/>
                <w:szCs w:val="20"/>
                <w:color w:val="auto"/>
              </w:rPr>
            </w:pPr>
            <w:r>
              <w:rPr>
                <w:rFonts w:ascii="Arial" w:cs="Arial" w:eastAsia="Arial" w:hAnsi="Arial"/>
                <w:sz w:val="16"/>
                <w:szCs w:val="16"/>
                <w:color w:val="auto"/>
              </w:rPr>
              <w:t>Receivables for short sales</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83,286</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0"/>
        </w:trPr>
        <w:tc>
          <w:tcPr>
            <w:tcW w:w="618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12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1,410,647</w:t>
            </w:r>
          </w:p>
        </w:tc>
        <w:tc>
          <w:tcPr>
            <w:tcW w:w="220" w:type="dxa"/>
            <w:vAlign w:val="bottom"/>
          </w:tcPr>
          <w:p>
            <w:pPr>
              <w:spacing w:after="0"/>
              <w:rPr>
                <w:sz w:val="15"/>
                <w:szCs w:val="15"/>
                <w:color w:val="auto"/>
              </w:rPr>
            </w:pPr>
          </w:p>
        </w:tc>
        <w:tc>
          <w:tcPr>
            <w:tcW w:w="1260" w:type="dxa"/>
            <w:vAlign w:val="bottom"/>
            <w:tcBorders>
              <w:top w:val="single" w:sz="8" w:color="auto"/>
              <w:bottom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1,101,856</w:t>
            </w:r>
          </w:p>
        </w:tc>
      </w:tr>
    </w:tbl>
    <w:p>
      <w:pPr>
        <w:spacing w:after="0" w:line="166" w:lineRule="exact"/>
        <w:rPr>
          <w:sz w:val="20"/>
          <w:szCs w:val="20"/>
          <w:color w:val="auto"/>
        </w:rPr>
      </w:pPr>
    </w:p>
    <w:p>
      <w:pPr>
        <w:ind w:left="1182" w:hanging="303"/>
        <w:spacing w:after="0" w:line="252" w:lineRule="auto"/>
        <w:tabs>
          <w:tab w:leader="none" w:pos="1182" w:val="left"/>
        </w:tabs>
        <w:numPr>
          <w:ilvl w:val="0"/>
          <w:numId w:val="85"/>
        </w:numPr>
        <w:rPr>
          <w:rFonts w:ascii="Arial" w:cs="Arial" w:eastAsia="Arial" w:hAnsi="Arial"/>
          <w:sz w:val="16"/>
          <w:szCs w:val="16"/>
          <w:color w:val="auto"/>
        </w:rPr>
      </w:pPr>
      <w:r>
        <w:rPr>
          <w:rFonts w:ascii="Arial" w:cs="Arial" w:eastAsia="Arial" w:hAnsi="Arial"/>
          <w:sz w:val="16"/>
          <w:szCs w:val="16"/>
          <w:color w:val="auto"/>
        </w:rPr>
        <w:t>As of December 31, 2023, the balance mainly comprises cash guarantees in U.S. Dollar and Bolivianos. Cash guarantees were delivered to the Central Bank of Bolivia, in Bolivians and U.S. Dollar for the equivalent of S/590.7 million (S/424.8 million, as of December 31, 2022). As of December 31, 2022, cash collateral for approximately US$52.5 million, equivalent to S/200.4 million to secure a borrowing in Soles of approximately S/185.0 million.</w:t>
      </w:r>
    </w:p>
    <w:p>
      <w:pPr>
        <w:spacing w:after="0" w:line="144" w:lineRule="exact"/>
        <w:rPr>
          <w:sz w:val="20"/>
          <w:szCs w:val="20"/>
          <w:color w:val="auto"/>
        </w:rPr>
      </w:pPr>
    </w:p>
    <w:p>
      <w:pPr>
        <w:ind w:left="1182" w:right="620"/>
        <w:spacing w:after="0" w:line="259" w:lineRule="auto"/>
        <w:rPr>
          <w:sz w:val="20"/>
          <w:szCs w:val="20"/>
          <w:color w:val="auto"/>
        </w:rPr>
      </w:pPr>
      <w:r>
        <w:rPr>
          <w:rFonts w:ascii="Arial" w:cs="Arial" w:eastAsia="Arial" w:hAnsi="Arial"/>
          <w:sz w:val="16"/>
          <w:szCs w:val="16"/>
          <w:color w:val="auto"/>
        </w:rPr>
        <w:t>Cash collateral granted bears interest at an average annual effective interest rate according to market rates. The related liability is presented in “Payables from repurchase agreements and securities lending” of the consolidated statement of financial position, see paragraph (c) below.</w:t>
      </w:r>
    </w:p>
    <w:p>
      <w:pPr>
        <w:spacing w:after="0" w:line="113"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2"/>
          </w:cols>
          <w:pgMar w:left="318" w:top="124" w:right="359" w:bottom="1440" w:gutter="0" w:footer="0" w:header="0"/>
        </w:sectPr>
      </w:pPr>
    </w:p>
    <w:bookmarkStart w:id="66" w:name="page67"/>
    <w:bookmarkEnd w:id="66"/>
    <w:p>
      <w:pPr>
        <w:ind w:left="596" w:right="580" w:hanging="303"/>
        <w:spacing w:after="0" w:line="278" w:lineRule="auto"/>
        <w:tabs>
          <w:tab w:leader="none" w:pos="596" w:val="left"/>
        </w:tabs>
        <w:numPr>
          <w:ilvl w:val="0"/>
          <w:numId w:val="86"/>
        </w:numPr>
        <w:rPr>
          <w:rFonts w:ascii="Arial" w:cs="Arial" w:eastAsia="Arial" w:hAnsi="Arial"/>
          <w:sz w:val="16"/>
          <w:szCs w:val="16"/>
          <w:color w:val="auto"/>
        </w:rPr>
      </w:pPr>
      <w:r>
        <w:rPr>
          <w:rFonts w:ascii="Arial" w:cs="Arial" w:eastAsia="Arial" w:hAnsi="Arial"/>
          <w:sz w:val="16"/>
          <w:szCs w:val="16"/>
          <w:color w:val="auto"/>
        </w:rPr>
        <w:t>Credicorp, mainly through its subsidiaries, provides financing to its customers through reverse repurchase agreements and securities borrowing, in which a financial instrument serves as collateral. Details of said transactions are as follows:</w:t>
      </w:r>
    </w:p>
    <w:p>
      <w:pPr>
        <w:spacing w:after="0" w:line="132" w:lineRule="exact"/>
        <w:rPr>
          <w:sz w:val="20"/>
          <w:szCs w:val="20"/>
          <w:color w:val="auto"/>
        </w:rPr>
      </w:pPr>
    </w:p>
    <w:tbl>
      <w:tblPr>
        <w:tblLayout w:type="fixed"/>
        <w:tblInd w:w="596" w:type="dxa"/>
        <w:tblCellMar>
          <w:top w:w="0" w:type="dxa"/>
          <w:left w:w="0" w:type="dxa"/>
          <w:bottom w:w="0" w:type="dxa"/>
          <w:right w:w="0" w:type="dxa"/>
        </w:tblCellMar>
      </w:tblPr>
      <w:tr>
        <w:trPr>
          <w:trHeight w:val="154"/>
        </w:trPr>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gridSpan w:val="2"/>
          </w:tcPr>
          <w:p>
            <w:pPr>
              <w:ind w:left="14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1"/>
        </w:trPr>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Fair value</w:t>
            </w:r>
          </w:p>
        </w:tc>
      </w:tr>
      <w:tr>
        <w:trPr>
          <w:trHeight w:val="147"/>
        </w:trPr>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 3</w:t>
            </w:r>
          </w:p>
        </w:tc>
        <w:tc>
          <w:tcPr>
            <w:tcW w:w="6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More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of</w:t>
            </w:r>
          </w:p>
        </w:tc>
        <w:tc>
          <w:tcPr>
            <w:tcW w:w="100" w:type="dxa"/>
            <w:vAlign w:val="bottom"/>
          </w:tcPr>
          <w:p>
            <w:pPr>
              <w:spacing w:after="0"/>
              <w:rPr>
                <w:sz w:val="12"/>
                <w:szCs w:val="12"/>
                <w:color w:val="auto"/>
              </w:rPr>
            </w:pPr>
          </w:p>
        </w:tc>
        <w:tc>
          <w:tcPr>
            <w:tcW w:w="6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Average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 3</w:t>
            </w:r>
          </w:p>
        </w:tc>
        <w:tc>
          <w:tcPr>
            <w:tcW w:w="6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More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of</w:t>
            </w:r>
          </w:p>
        </w:tc>
      </w:tr>
      <w:tr>
        <w:trPr>
          <w:trHeight w:val="147"/>
        </w:trPr>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7" w:lineRule="exact"/>
              <w:rPr>
                <w:sz w:val="20"/>
                <w:szCs w:val="20"/>
                <w:color w:val="auto"/>
              </w:rPr>
            </w:pPr>
            <w:r>
              <w:rPr>
                <w:rFonts w:ascii="Arial" w:cs="Arial" w:eastAsia="Arial" w:hAnsi="Arial"/>
                <w:sz w:val="13"/>
                <w:szCs w:val="13"/>
                <w:b w:val="1"/>
                <w:bCs w:val="1"/>
                <w:color w:val="auto"/>
              </w:rPr>
              <w:t>interest</w:t>
            </w:r>
          </w:p>
        </w:tc>
        <w:tc>
          <w:tcPr>
            <w:tcW w:w="6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Up to 3</w:t>
            </w:r>
          </w:p>
        </w:tc>
        <w:tc>
          <w:tcPr>
            <w:tcW w:w="6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to 30</w:t>
            </w:r>
          </w:p>
        </w:tc>
        <w:tc>
          <w:tcPr>
            <w:tcW w:w="6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than 30</w:t>
            </w:r>
          </w:p>
        </w:tc>
        <w:tc>
          <w:tcPr>
            <w:tcW w:w="6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Carrying</w:t>
            </w:r>
          </w:p>
        </w:tc>
        <w:tc>
          <w:tcPr>
            <w:tcW w:w="720" w:type="dxa"/>
            <w:vAlign w:val="bottom"/>
          </w:tcPr>
          <w:p>
            <w:pPr>
              <w:ind w:left="40"/>
              <w:spacing w:after="0" w:line="147" w:lineRule="exact"/>
              <w:rPr>
                <w:sz w:val="20"/>
                <w:szCs w:val="20"/>
                <w:color w:val="auto"/>
              </w:rPr>
            </w:pPr>
            <w:r>
              <w:rPr>
                <w:rFonts w:ascii="Arial" w:cs="Arial" w:eastAsia="Arial" w:hAnsi="Arial"/>
                <w:sz w:val="13"/>
                <w:szCs w:val="13"/>
                <w:b w:val="1"/>
                <w:bCs w:val="1"/>
                <w:color w:val="auto"/>
                <w:w w:val="99"/>
              </w:rPr>
              <w:t>underlying</w:t>
            </w:r>
          </w:p>
        </w:tc>
        <w:tc>
          <w:tcPr>
            <w:tcW w:w="100" w:type="dxa"/>
            <w:vAlign w:val="bottom"/>
          </w:tcPr>
          <w:p>
            <w:pPr>
              <w:spacing w:after="0"/>
              <w:rPr>
                <w:sz w:val="12"/>
                <w:szCs w:val="12"/>
                <w:color w:val="auto"/>
              </w:rPr>
            </w:pPr>
          </w:p>
        </w:tc>
        <w:tc>
          <w:tcPr>
            <w:tcW w:w="6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interest</w:t>
            </w:r>
          </w:p>
        </w:tc>
        <w:tc>
          <w:tcPr>
            <w:tcW w:w="5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Up to</w:t>
            </w:r>
          </w:p>
        </w:tc>
        <w:tc>
          <w:tcPr>
            <w:tcW w:w="6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 30</w:t>
            </w:r>
          </w:p>
        </w:tc>
        <w:tc>
          <w:tcPr>
            <w:tcW w:w="6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than 30</w:t>
            </w:r>
          </w:p>
        </w:tc>
        <w:tc>
          <w:tcPr>
            <w:tcW w:w="6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Carrying</w:t>
            </w:r>
          </w:p>
        </w:tc>
        <w:tc>
          <w:tcPr>
            <w:tcW w:w="720" w:type="dxa"/>
            <w:vAlign w:val="bottom"/>
          </w:tcPr>
          <w:p>
            <w:pPr>
              <w:ind w:left="40"/>
              <w:spacing w:after="0" w:line="147" w:lineRule="exact"/>
              <w:rPr>
                <w:sz w:val="20"/>
                <w:szCs w:val="20"/>
                <w:color w:val="auto"/>
              </w:rPr>
            </w:pPr>
            <w:r>
              <w:rPr>
                <w:rFonts w:ascii="Arial" w:cs="Arial" w:eastAsia="Arial" w:hAnsi="Arial"/>
                <w:sz w:val="13"/>
                <w:szCs w:val="13"/>
                <w:b w:val="1"/>
                <w:bCs w:val="1"/>
                <w:color w:val="auto"/>
                <w:w w:val="99"/>
              </w:rPr>
              <w:t>underlying</w:t>
            </w:r>
          </w:p>
        </w:tc>
      </w:tr>
      <w:tr>
        <w:trPr>
          <w:trHeight w:val="154"/>
        </w:trPr>
        <w:tc>
          <w:tcPr>
            <w:tcW w:w="10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Currency</w:t>
            </w: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rate</w:t>
            </w:r>
          </w:p>
        </w:tc>
        <w:tc>
          <w:tcPr>
            <w:tcW w:w="600" w:type="dxa"/>
            <w:vAlign w:val="bottom"/>
            <w:gridSpan w:val="2"/>
          </w:tcPr>
          <w:p>
            <w:pPr>
              <w:ind w:left="60"/>
              <w:spacing w:after="0"/>
              <w:rPr>
                <w:sz w:val="20"/>
                <w:szCs w:val="20"/>
                <w:color w:val="auto"/>
              </w:rPr>
            </w:pPr>
            <w:r>
              <w:rPr>
                <w:rFonts w:ascii="Arial" w:cs="Arial" w:eastAsia="Arial" w:hAnsi="Arial"/>
                <w:sz w:val="13"/>
                <w:szCs w:val="13"/>
                <w:b w:val="1"/>
                <w:bCs w:val="1"/>
                <w:color w:val="auto"/>
              </w:rPr>
              <w:t>days</w:t>
            </w: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days</w:t>
            </w: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days</w:t>
            </w: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720" w:type="dxa"/>
            <w:vAlign w:val="bottom"/>
          </w:tcPr>
          <w:p>
            <w:pPr>
              <w:ind w:left="40"/>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rate</w:t>
            </w: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3 days</w:t>
            </w:r>
          </w:p>
        </w:tc>
        <w:tc>
          <w:tcPr>
            <w:tcW w:w="620" w:type="dxa"/>
            <w:vAlign w:val="bottom"/>
            <w:gridSpan w:val="2"/>
          </w:tcPr>
          <w:p>
            <w:pPr>
              <w:ind w:left="40"/>
              <w:spacing w:after="0"/>
              <w:rPr>
                <w:sz w:val="20"/>
                <w:szCs w:val="20"/>
                <w:color w:val="auto"/>
              </w:rPr>
            </w:pPr>
            <w:r>
              <w:rPr>
                <w:rFonts w:ascii="Arial" w:cs="Arial" w:eastAsia="Arial" w:hAnsi="Arial"/>
                <w:sz w:val="13"/>
                <w:szCs w:val="13"/>
                <w:b w:val="1"/>
                <w:bCs w:val="1"/>
                <w:color w:val="auto"/>
              </w:rPr>
              <w:t>days</w:t>
            </w: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days</w:t>
            </w: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720" w:type="dxa"/>
            <w:vAlign w:val="bottom"/>
          </w:tcPr>
          <w:p>
            <w:pPr>
              <w:ind w:left="40"/>
              <w:spacing w:after="0"/>
              <w:rPr>
                <w:sz w:val="20"/>
                <w:szCs w:val="20"/>
                <w:color w:val="auto"/>
              </w:rPr>
            </w:pPr>
            <w:r>
              <w:rPr>
                <w:rFonts w:ascii="Arial" w:cs="Arial" w:eastAsia="Arial" w:hAnsi="Arial"/>
                <w:sz w:val="13"/>
                <w:szCs w:val="13"/>
                <w:b w:val="1"/>
                <w:bCs w:val="1"/>
                <w:color w:val="auto"/>
              </w:rPr>
              <w:t>assets</w:t>
            </w:r>
          </w:p>
        </w:tc>
      </w:tr>
      <w:tr>
        <w:trPr>
          <w:trHeight w:val="170"/>
        </w:trPr>
        <w:tc>
          <w:tcPr>
            <w:tcW w:w="10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50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w w:val="98"/>
              </w:rPr>
              <w:t>S/(000)</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48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w w:val="98"/>
              </w:rPr>
              <w:t>S/(000)</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S/(000)</w:t>
            </w:r>
          </w:p>
        </w:tc>
        <w:tc>
          <w:tcPr>
            <w:tcW w:w="100" w:type="dxa"/>
            <w:vAlign w:val="bottom"/>
          </w:tcPr>
          <w:p>
            <w:pPr>
              <w:spacing w:after="0"/>
              <w:rPr>
                <w:sz w:val="14"/>
                <w:szCs w:val="14"/>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r>
      <w:tr>
        <w:trPr>
          <w:trHeight w:val="254"/>
        </w:trPr>
        <w:tc>
          <w:tcPr>
            <w:tcW w:w="1060" w:type="dxa"/>
            <w:vAlign w:val="bottom"/>
          </w:tcPr>
          <w:p>
            <w:pPr>
              <w:spacing w:after="0"/>
              <w:rPr>
                <w:sz w:val="20"/>
                <w:szCs w:val="20"/>
                <w:color w:val="auto"/>
              </w:rPr>
            </w:pPr>
            <w:r>
              <w:rPr>
                <w:rFonts w:ascii="Arial" w:cs="Arial" w:eastAsia="Arial" w:hAnsi="Arial"/>
                <w:sz w:val="13"/>
                <w:szCs w:val="13"/>
                <w:color w:val="auto"/>
              </w:rPr>
              <w:t>Instruments</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47"/>
        </w:trPr>
        <w:tc>
          <w:tcPr>
            <w:tcW w:w="1060" w:type="dxa"/>
            <w:vAlign w:val="bottom"/>
          </w:tcPr>
          <w:p>
            <w:pPr>
              <w:ind w:left="140"/>
              <w:spacing w:after="0" w:line="147" w:lineRule="exact"/>
              <w:rPr>
                <w:sz w:val="20"/>
                <w:szCs w:val="20"/>
                <w:color w:val="auto"/>
              </w:rPr>
            </w:pPr>
            <w:r>
              <w:rPr>
                <w:rFonts w:ascii="Arial" w:cs="Arial" w:eastAsia="Arial" w:hAnsi="Arial"/>
                <w:sz w:val="13"/>
                <w:szCs w:val="13"/>
                <w:color w:val="auto"/>
              </w:rPr>
              <w:t>issued by the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7"/>
        </w:trPr>
        <w:tc>
          <w:tcPr>
            <w:tcW w:w="1060" w:type="dxa"/>
            <w:vAlign w:val="bottom"/>
          </w:tcPr>
          <w:p>
            <w:pPr>
              <w:ind w:left="140"/>
              <w:spacing w:after="0" w:line="147" w:lineRule="exact"/>
              <w:rPr>
                <w:sz w:val="20"/>
                <w:szCs w:val="20"/>
                <w:color w:val="auto"/>
              </w:rPr>
            </w:pPr>
            <w:r>
              <w:rPr>
                <w:rFonts w:ascii="Arial" w:cs="Arial" w:eastAsia="Arial" w:hAnsi="Arial"/>
                <w:sz w:val="13"/>
                <w:szCs w:val="13"/>
                <w:color w:val="auto"/>
              </w:rPr>
              <w:t>Colombian</w:t>
            </w:r>
          </w:p>
        </w:tc>
        <w:tc>
          <w:tcPr>
            <w:tcW w:w="8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Colombian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7"/>
        </w:trPr>
        <w:tc>
          <w:tcPr>
            <w:tcW w:w="1060" w:type="dxa"/>
            <w:vAlign w:val="bottom"/>
          </w:tcPr>
          <w:p>
            <w:pPr>
              <w:ind w:left="140"/>
              <w:spacing w:after="0" w:line="147" w:lineRule="exact"/>
              <w:rPr>
                <w:sz w:val="20"/>
                <w:szCs w:val="20"/>
                <w:color w:val="auto"/>
              </w:rPr>
            </w:pPr>
            <w:r>
              <w:rPr>
                <w:rFonts w:ascii="Arial" w:cs="Arial" w:eastAsia="Arial" w:hAnsi="Arial"/>
                <w:sz w:val="13"/>
                <w:szCs w:val="13"/>
                <w:color w:val="auto"/>
              </w:rPr>
              <w:t>Government</w:t>
            </w:r>
          </w:p>
        </w:tc>
        <w:tc>
          <w:tcPr>
            <w:tcW w:w="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peso</w:t>
            </w:r>
          </w:p>
        </w:tc>
        <w:tc>
          <w:tcPr>
            <w:tcW w:w="560" w:type="dxa"/>
            <w:vAlign w:val="bottom"/>
          </w:tcPr>
          <w:p>
            <w:pPr>
              <w:jc w:val="right"/>
              <w:spacing w:after="0" w:line="147" w:lineRule="exact"/>
              <w:rPr>
                <w:sz w:val="20"/>
                <w:szCs w:val="20"/>
                <w:color w:val="auto"/>
              </w:rPr>
            </w:pPr>
            <w:r>
              <w:rPr>
                <w:rFonts w:ascii="Arial" w:cs="Arial" w:eastAsia="Arial" w:hAnsi="Arial"/>
                <w:sz w:val="13"/>
                <w:szCs w:val="13"/>
                <w:color w:val="auto"/>
              </w:rPr>
              <w:t>6.09</w:t>
            </w:r>
          </w:p>
        </w:tc>
        <w:tc>
          <w:tcPr>
            <w:tcW w:w="1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3"/>
                <w:szCs w:val="13"/>
                <w:color w:val="auto"/>
                <w:w w:val="97"/>
              </w:rPr>
              <w:t>603,441</w:t>
            </w:r>
          </w:p>
        </w:tc>
        <w:tc>
          <w:tcPr>
            <w:tcW w:w="10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3"/>
                <w:szCs w:val="13"/>
                <w:color w:val="auto"/>
              </w:rPr>
              <w:t>82,075</w:t>
            </w:r>
          </w:p>
        </w:tc>
        <w:tc>
          <w:tcPr>
            <w:tcW w:w="10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685,516</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687,878</w:t>
            </w:r>
          </w:p>
        </w:tc>
        <w:tc>
          <w:tcPr>
            <w:tcW w:w="6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4.66</w:t>
            </w:r>
          </w:p>
        </w:tc>
        <w:tc>
          <w:tcPr>
            <w:tcW w:w="10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3"/>
                <w:szCs w:val="13"/>
                <w:color w:val="auto"/>
                <w:w w:val="97"/>
              </w:rPr>
              <w:t>205,480</w:t>
            </w:r>
          </w:p>
        </w:tc>
        <w:tc>
          <w:tcPr>
            <w:tcW w:w="10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Arial" w:cs="Arial" w:eastAsia="Arial" w:hAnsi="Arial"/>
                <w:sz w:val="13"/>
                <w:szCs w:val="13"/>
                <w:color w:val="auto"/>
              </w:rPr>
              <w:t>26,979</w:t>
            </w:r>
          </w:p>
        </w:tc>
        <w:tc>
          <w:tcPr>
            <w:tcW w:w="100" w:type="dxa"/>
            <w:vAlign w:val="bottom"/>
          </w:tcPr>
          <w:p>
            <w:pPr>
              <w:spacing w:after="0"/>
              <w:rPr>
                <w:sz w:val="12"/>
                <w:szCs w:val="12"/>
                <w:color w:val="auto"/>
              </w:rPr>
            </w:pPr>
          </w:p>
        </w:tc>
        <w:tc>
          <w:tcPr>
            <w:tcW w:w="580" w:type="dxa"/>
            <w:vAlign w:val="bottom"/>
          </w:tcPr>
          <w:p>
            <w:pPr>
              <w:ind w:left="60"/>
              <w:spacing w:after="0" w:line="147" w:lineRule="exact"/>
              <w:rPr>
                <w:sz w:val="20"/>
                <w:szCs w:val="20"/>
                <w:color w:val="auto"/>
              </w:rPr>
            </w:pPr>
            <w:r>
              <w:rPr>
                <w:rFonts w:ascii="Arial" w:cs="Arial" w:eastAsia="Arial" w:hAnsi="Arial"/>
                <w:sz w:val="13"/>
                <w:szCs w:val="13"/>
                <w:color w:val="auto"/>
              </w:rPr>
              <w:t>232,459</w:t>
            </w:r>
          </w:p>
        </w:tc>
        <w:tc>
          <w:tcPr>
            <w:tcW w:w="100" w:type="dxa"/>
            <w:vAlign w:val="bottom"/>
          </w:tcPr>
          <w:p>
            <w:pPr>
              <w:spacing w:after="0"/>
              <w:rPr>
                <w:sz w:val="12"/>
                <w:szCs w:val="12"/>
                <w:color w:val="auto"/>
              </w:rPr>
            </w:pPr>
          </w:p>
        </w:tc>
        <w:tc>
          <w:tcPr>
            <w:tcW w:w="720" w:type="dxa"/>
            <w:vAlign w:val="bottom"/>
          </w:tcPr>
          <w:p>
            <w:pPr>
              <w:ind w:left="200"/>
              <w:spacing w:after="0" w:line="147" w:lineRule="exact"/>
              <w:rPr>
                <w:sz w:val="20"/>
                <w:szCs w:val="20"/>
                <w:color w:val="auto"/>
              </w:rPr>
            </w:pPr>
            <w:r>
              <w:rPr>
                <w:rFonts w:ascii="Arial" w:cs="Arial" w:eastAsia="Arial" w:hAnsi="Arial"/>
                <w:sz w:val="13"/>
                <w:szCs w:val="13"/>
                <w:color w:val="auto"/>
              </w:rPr>
              <w:t>254,226</w:t>
            </w:r>
          </w:p>
        </w:tc>
      </w:tr>
      <w:tr>
        <w:trPr>
          <w:trHeight w:val="147"/>
        </w:trPr>
        <w:tc>
          <w:tcPr>
            <w:tcW w:w="1060" w:type="dxa"/>
            <w:vAlign w:val="bottom"/>
          </w:tcPr>
          <w:p>
            <w:pPr>
              <w:spacing w:after="0" w:line="147" w:lineRule="exact"/>
              <w:rPr>
                <w:sz w:val="20"/>
                <w:szCs w:val="20"/>
                <w:color w:val="auto"/>
              </w:rPr>
            </w:pPr>
            <w:r>
              <w:rPr>
                <w:rFonts w:ascii="Arial" w:cs="Arial" w:eastAsia="Arial" w:hAnsi="Arial"/>
                <w:sz w:val="13"/>
                <w:szCs w:val="13"/>
                <w:color w:val="auto"/>
              </w:rPr>
              <w:t>Other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4"/>
        </w:trPr>
        <w:tc>
          <w:tcPr>
            <w:tcW w:w="1060" w:type="dxa"/>
            <w:vAlign w:val="bottom"/>
          </w:tcPr>
          <w:p>
            <w:pPr>
              <w:ind w:left="140"/>
              <w:spacing w:after="0"/>
              <w:rPr>
                <w:sz w:val="20"/>
                <w:szCs w:val="20"/>
                <w:color w:val="auto"/>
              </w:rPr>
            </w:pPr>
            <w:r>
              <w:rPr>
                <w:rFonts w:ascii="Arial" w:cs="Arial" w:eastAsia="Arial" w:hAnsi="Arial"/>
                <w:sz w:val="13"/>
                <w:szCs w:val="13"/>
                <w:color w:val="auto"/>
              </w:rPr>
              <w:t>instruments</w:t>
            </w: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Several</w:t>
            </w:r>
          </w:p>
        </w:tc>
        <w:tc>
          <w:tcPr>
            <w:tcW w:w="560" w:type="dxa"/>
            <w:vAlign w:val="bottom"/>
          </w:tcPr>
          <w:p>
            <w:pPr>
              <w:jc w:val="right"/>
              <w:spacing w:after="0"/>
              <w:rPr>
                <w:sz w:val="20"/>
                <w:szCs w:val="20"/>
                <w:color w:val="auto"/>
              </w:rPr>
            </w:pPr>
            <w:r>
              <w:rPr>
                <w:rFonts w:ascii="Arial" w:cs="Arial" w:eastAsia="Arial" w:hAnsi="Arial"/>
                <w:sz w:val="13"/>
                <w:szCs w:val="13"/>
                <w:color w:val="auto"/>
              </w:rPr>
              <w:t>0.96</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6,722</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25,585</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1,899</w:t>
            </w:r>
          </w:p>
        </w:tc>
        <w:tc>
          <w:tcPr>
            <w:tcW w:w="10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34,206</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34,223</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42,616</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128,232</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48,780</w:t>
            </w:r>
          </w:p>
        </w:tc>
        <w:tc>
          <w:tcPr>
            <w:tcW w:w="100" w:type="dxa"/>
            <w:vAlign w:val="bottom"/>
          </w:tcPr>
          <w:p>
            <w:pPr>
              <w:spacing w:after="0"/>
              <w:rPr>
                <w:sz w:val="13"/>
                <w:szCs w:val="13"/>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219,628</w:t>
            </w:r>
          </w:p>
        </w:tc>
        <w:tc>
          <w:tcPr>
            <w:tcW w:w="100" w:type="dxa"/>
            <w:vAlign w:val="bottom"/>
          </w:tcPr>
          <w:p>
            <w:pPr>
              <w:spacing w:after="0"/>
              <w:rPr>
                <w:sz w:val="13"/>
                <w:szCs w:val="13"/>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218,859</w:t>
            </w:r>
          </w:p>
        </w:tc>
      </w:tr>
      <w:tr>
        <w:trPr>
          <w:trHeight w:val="143"/>
        </w:trPr>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6,722</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7"/>
              </w:rPr>
              <w:t>629,026</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83,974</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719,722</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722,101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42,616</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7"/>
              </w:rPr>
              <w:t>333,712</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color w:val="auto"/>
              </w:rPr>
              <w:t>75,759</w:t>
            </w:r>
          </w:p>
        </w:tc>
        <w:tc>
          <w:tcPr>
            <w:tcW w:w="100" w:type="dxa"/>
            <w:vAlign w:val="bottom"/>
          </w:tcPr>
          <w:p>
            <w:pPr>
              <w:spacing w:after="0"/>
              <w:rPr>
                <w:sz w:val="12"/>
                <w:szCs w:val="12"/>
                <w:color w:val="auto"/>
              </w:rPr>
            </w:pPr>
          </w:p>
        </w:tc>
        <w:tc>
          <w:tcPr>
            <w:tcW w:w="580" w:type="dxa"/>
            <w:vAlign w:val="bottom"/>
            <w:tcBorders>
              <w:bottom w:val="single" w:sz="8" w:color="auto"/>
            </w:tcBorders>
          </w:tcPr>
          <w:p>
            <w:pPr>
              <w:ind w:left="60"/>
              <w:spacing w:after="0" w:line="139" w:lineRule="exact"/>
              <w:rPr>
                <w:sz w:val="20"/>
                <w:szCs w:val="20"/>
                <w:color w:val="auto"/>
              </w:rPr>
            </w:pPr>
            <w:r>
              <w:rPr>
                <w:rFonts w:ascii="Arial" w:cs="Arial" w:eastAsia="Arial" w:hAnsi="Arial"/>
                <w:sz w:val="13"/>
                <w:szCs w:val="13"/>
                <w:color w:val="auto"/>
              </w:rPr>
              <w:t>452,087</w:t>
            </w:r>
          </w:p>
        </w:tc>
        <w:tc>
          <w:tcPr>
            <w:tcW w:w="100" w:type="dxa"/>
            <w:vAlign w:val="bottom"/>
          </w:tcPr>
          <w:p>
            <w:pPr>
              <w:spacing w:after="0"/>
              <w:rPr>
                <w:sz w:val="12"/>
                <w:szCs w:val="12"/>
                <w:color w:val="auto"/>
              </w:rPr>
            </w:pPr>
          </w:p>
        </w:tc>
        <w:tc>
          <w:tcPr>
            <w:tcW w:w="720" w:type="dxa"/>
            <w:vAlign w:val="bottom"/>
            <w:tcBorders>
              <w:bottom w:val="single" w:sz="8" w:color="auto"/>
            </w:tcBorders>
          </w:tcPr>
          <w:p>
            <w:pPr>
              <w:ind w:left="200"/>
              <w:spacing w:after="0" w:line="139" w:lineRule="exact"/>
              <w:rPr>
                <w:sz w:val="20"/>
                <w:szCs w:val="20"/>
                <w:color w:val="auto"/>
              </w:rPr>
            </w:pPr>
            <w:r>
              <w:rPr>
                <w:rFonts w:ascii="Arial" w:cs="Arial" w:eastAsia="Arial" w:hAnsi="Arial"/>
                <w:sz w:val="13"/>
                <w:szCs w:val="13"/>
                <w:color w:val="auto"/>
              </w:rPr>
              <w:t>473,085</w:t>
            </w:r>
          </w:p>
        </w:tc>
      </w:tr>
    </w:tbl>
    <w:p>
      <w:pPr>
        <w:spacing w:after="0" w:line="166" w:lineRule="exact"/>
        <w:rPr>
          <w:sz w:val="20"/>
          <w:szCs w:val="20"/>
          <w:color w:val="auto"/>
        </w:rPr>
      </w:pPr>
    </w:p>
    <w:p>
      <w:pPr>
        <w:jc w:val="both"/>
        <w:ind w:left="296" w:right="120" w:hanging="296"/>
        <w:spacing w:after="0" w:line="280" w:lineRule="auto"/>
        <w:tabs>
          <w:tab w:leader="none" w:pos="296" w:val="left"/>
        </w:tabs>
        <w:numPr>
          <w:ilvl w:val="0"/>
          <w:numId w:val="87"/>
        </w:numPr>
        <w:rPr>
          <w:rFonts w:ascii="Arial" w:cs="Arial" w:eastAsia="Arial" w:hAnsi="Arial"/>
          <w:sz w:val="16"/>
          <w:szCs w:val="16"/>
          <w:color w:val="auto"/>
        </w:rPr>
      </w:pPr>
      <w:r>
        <w:rPr>
          <w:rFonts w:ascii="Arial" w:cs="Arial" w:eastAsia="Arial" w:hAnsi="Arial"/>
          <w:sz w:val="16"/>
          <w:szCs w:val="16"/>
          <w:color w:val="auto"/>
        </w:rPr>
        <w:t>Credicorp, through its subsidiaries, obtains financing through “Payables from repurchase agreements and securities lending” by selling financial instruments and committing to repurchase them at future dates, including interest at a fixed rate. The details of said transactions are as follows:</w:t>
      </w:r>
    </w:p>
    <w:p>
      <w:pPr>
        <w:spacing w:after="0" w:line="154" w:lineRule="exact"/>
        <w:rPr>
          <w:sz w:val="20"/>
          <w:szCs w:val="20"/>
          <w:color w:val="auto"/>
        </w:rPr>
      </w:pPr>
    </w:p>
    <w:tbl>
      <w:tblPr>
        <w:tblLayout w:type="fixed"/>
        <w:tblInd w:w="596" w:type="dxa"/>
        <w:tblCellMar>
          <w:top w:w="0" w:type="dxa"/>
          <w:left w:w="0" w:type="dxa"/>
          <w:bottom w:w="0" w:type="dxa"/>
          <w:right w:w="0" w:type="dxa"/>
        </w:tblCellMar>
      </w:tblPr>
      <w:tr>
        <w:trPr>
          <w:trHeight w:val="167"/>
        </w:trPr>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31"/>
        </w:trPr>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Fair value</w:t>
            </w:r>
          </w:p>
        </w:tc>
      </w:tr>
      <w:tr>
        <w:trPr>
          <w:trHeight w:val="147"/>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tcPr>
          <w:p>
            <w:pPr>
              <w:ind w:left="140"/>
              <w:spacing w:after="0" w:line="147" w:lineRule="exact"/>
              <w:rPr>
                <w:sz w:val="20"/>
                <w:szCs w:val="20"/>
                <w:color w:val="auto"/>
              </w:rPr>
            </w:pPr>
            <w:r>
              <w:rPr>
                <w:rFonts w:ascii="Arial" w:cs="Arial" w:eastAsia="Arial" w:hAnsi="Arial"/>
                <w:sz w:val="13"/>
                <w:szCs w:val="13"/>
                <w:b w:val="1"/>
                <w:bCs w:val="1"/>
                <w:color w:val="auto"/>
              </w:rPr>
              <w:t>Average</w:t>
            </w:r>
          </w:p>
        </w:tc>
        <w:tc>
          <w:tcPr>
            <w:tcW w:w="5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Up to</w:t>
            </w:r>
          </w:p>
        </w:tc>
        <w:tc>
          <w:tcPr>
            <w:tcW w:w="7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 3</w:t>
            </w:r>
          </w:p>
        </w:tc>
        <w:tc>
          <w:tcPr>
            <w:tcW w:w="7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More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of</w:t>
            </w:r>
          </w:p>
        </w:tc>
        <w:tc>
          <w:tcPr>
            <w:tcW w:w="80" w:type="dxa"/>
            <w:vAlign w:val="bottom"/>
          </w:tcPr>
          <w:p>
            <w:pPr>
              <w:spacing w:after="0"/>
              <w:rPr>
                <w:sz w:val="12"/>
                <w:szCs w:val="12"/>
                <w:color w:val="auto"/>
              </w:rPr>
            </w:pPr>
          </w:p>
        </w:tc>
        <w:tc>
          <w:tcPr>
            <w:tcW w:w="6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Average</w:t>
            </w:r>
          </w:p>
        </w:tc>
        <w:tc>
          <w:tcPr>
            <w:tcW w:w="5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Up to</w:t>
            </w:r>
          </w:p>
        </w:tc>
        <w:tc>
          <w:tcPr>
            <w:tcW w:w="60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 3</w:t>
            </w:r>
          </w:p>
        </w:tc>
        <w:tc>
          <w:tcPr>
            <w:tcW w:w="8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More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of</w:t>
            </w:r>
          </w:p>
        </w:tc>
      </w:tr>
      <w:tr>
        <w:trPr>
          <w:trHeight w:val="147"/>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tcPr>
          <w:p>
            <w:pPr>
              <w:ind w:left="140"/>
              <w:spacing w:after="0" w:line="147" w:lineRule="exact"/>
              <w:rPr>
                <w:sz w:val="20"/>
                <w:szCs w:val="20"/>
                <w:color w:val="auto"/>
              </w:rPr>
            </w:pPr>
            <w:r>
              <w:rPr>
                <w:rFonts w:ascii="Arial" w:cs="Arial" w:eastAsia="Arial" w:hAnsi="Arial"/>
                <w:sz w:val="13"/>
                <w:szCs w:val="13"/>
                <w:b w:val="1"/>
                <w:bCs w:val="1"/>
                <w:color w:val="auto"/>
              </w:rPr>
              <w:t>interest</w:t>
            </w:r>
          </w:p>
        </w:tc>
        <w:tc>
          <w:tcPr>
            <w:tcW w:w="48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12"/>
                <w:szCs w:val="12"/>
                <w:color w:val="auto"/>
              </w:rPr>
            </w:pPr>
          </w:p>
        </w:tc>
        <w:tc>
          <w:tcPr>
            <w:tcW w:w="7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 30</w:t>
            </w:r>
          </w:p>
        </w:tc>
        <w:tc>
          <w:tcPr>
            <w:tcW w:w="7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than 30</w:t>
            </w:r>
          </w:p>
        </w:tc>
        <w:tc>
          <w:tcPr>
            <w:tcW w:w="8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Carrying</w:t>
            </w:r>
          </w:p>
        </w:tc>
        <w:tc>
          <w:tcPr>
            <w:tcW w:w="720" w:type="dxa"/>
            <w:vAlign w:val="bottom"/>
          </w:tcPr>
          <w:p>
            <w:pPr>
              <w:ind w:left="40"/>
              <w:spacing w:after="0" w:line="147" w:lineRule="exact"/>
              <w:rPr>
                <w:sz w:val="20"/>
                <w:szCs w:val="20"/>
                <w:color w:val="auto"/>
              </w:rPr>
            </w:pPr>
            <w:r>
              <w:rPr>
                <w:rFonts w:ascii="Arial" w:cs="Arial" w:eastAsia="Arial" w:hAnsi="Arial"/>
                <w:sz w:val="13"/>
                <w:szCs w:val="13"/>
                <w:b w:val="1"/>
                <w:bCs w:val="1"/>
                <w:color w:val="auto"/>
                <w:w w:val="99"/>
              </w:rPr>
              <w:t>underlying</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7" w:lineRule="exact"/>
              <w:rPr>
                <w:sz w:val="20"/>
                <w:szCs w:val="20"/>
                <w:color w:val="auto"/>
              </w:rPr>
            </w:pPr>
            <w:r>
              <w:rPr>
                <w:rFonts w:ascii="Arial" w:cs="Arial" w:eastAsia="Arial" w:hAnsi="Arial"/>
                <w:sz w:val="13"/>
                <w:szCs w:val="13"/>
                <w:b w:val="1"/>
                <w:bCs w:val="1"/>
                <w:color w:val="auto"/>
              </w:rPr>
              <w:t>interest</w:t>
            </w:r>
          </w:p>
        </w:tc>
        <w:tc>
          <w:tcPr>
            <w:tcW w:w="48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3</w:t>
            </w:r>
          </w:p>
        </w:tc>
        <w:tc>
          <w:tcPr>
            <w:tcW w:w="100" w:type="dxa"/>
            <w:vAlign w:val="bottom"/>
          </w:tcPr>
          <w:p>
            <w:pPr>
              <w:spacing w:after="0"/>
              <w:rPr>
                <w:sz w:val="12"/>
                <w:szCs w:val="12"/>
                <w:color w:val="auto"/>
              </w:rPr>
            </w:pPr>
          </w:p>
        </w:tc>
        <w:tc>
          <w:tcPr>
            <w:tcW w:w="60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 30</w:t>
            </w:r>
          </w:p>
        </w:tc>
        <w:tc>
          <w:tcPr>
            <w:tcW w:w="8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than 30</w:t>
            </w:r>
          </w:p>
        </w:tc>
        <w:tc>
          <w:tcPr>
            <w:tcW w:w="80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Carrying</w:t>
            </w:r>
          </w:p>
        </w:tc>
        <w:tc>
          <w:tcPr>
            <w:tcW w:w="720" w:type="dxa"/>
            <w:vAlign w:val="bottom"/>
          </w:tcPr>
          <w:p>
            <w:pPr>
              <w:ind w:left="40"/>
              <w:spacing w:after="0" w:line="147" w:lineRule="exact"/>
              <w:rPr>
                <w:sz w:val="20"/>
                <w:szCs w:val="20"/>
                <w:color w:val="auto"/>
              </w:rPr>
            </w:pPr>
            <w:r>
              <w:rPr>
                <w:rFonts w:ascii="Arial" w:cs="Arial" w:eastAsia="Arial" w:hAnsi="Arial"/>
                <w:sz w:val="13"/>
                <w:szCs w:val="13"/>
                <w:b w:val="1"/>
                <w:bCs w:val="1"/>
                <w:color w:val="auto"/>
                <w:w w:val="99"/>
              </w:rPr>
              <w:t>underlying</w:t>
            </w:r>
          </w:p>
        </w:tc>
      </w:tr>
      <w:tr>
        <w:trPr>
          <w:trHeight w:val="154"/>
        </w:trPr>
        <w:tc>
          <w:tcPr>
            <w:tcW w:w="9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b w:val="1"/>
                <w:bCs w:val="1"/>
                <w:color w:val="auto"/>
              </w:rPr>
              <w:t>Currency</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rate</w:t>
            </w:r>
          </w:p>
        </w:tc>
        <w:tc>
          <w:tcPr>
            <w:tcW w:w="560" w:type="dxa"/>
            <w:vAlign w:val="bottom"/>
            <w:gridSpan w:val="2"/>
          </w:tcPr>
          <w:p>
            <w:pPr>
              <w:ind w:left="40"/>
              <w:spacing w:after="0"/>
              <w:rPr>
                <w:sz w:val="20"/>
                <w:szCs w:val="20"/>
                <w:color w:val="auto"/>
              </w:rPr>
            </w:pPr>
            <w:r>
              <w:rPr>
                <w:rFonts w:ascii="Arial" w:cs="Arial" w:eastAsia="Arial" w:hAnsi="Arial"/>
                <w:sz w:val="13"/>
                <w:szCs w:val="13"/>
                <w:b w:val="1"/>
                <w:bCs w:val="1"/>
                <w:color w:val="auto"/>
              </w:rPr>
              <w:t>days</w:t>
            </w: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days</w:t>
            </w: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days</w:t>
            </w: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720" w:type="dxa"/>
            <w:vAlign w:val="bottom"/>
          </w:tcPr>
          <w:p>
            <w:pPr>
              <w:ind w:left="40"/>
              <w:spacing w:after="0"/>
              <w:rPr>
                <w:sz w:val="20"/>
                <w:szCs w:val="20"/>
                <w:color w:val="auto"/>
              </w:rPr>
            </w:pPr>
            <w:r>
              <w:rPr>
                <w:rFonts w:ascii="Arial" w:cs="Arial" w:eastAsia="Arial" w:hAnsi="Arial"/>
                <w:sz w:val="13"/>
                <w:szCs w:val="13"/>
                <w:b w:val="1"/>
                <w:bCs w:val="1"/>
                <w:color w:val="auto"/>
              </w:rPr>
              <w:t>assets</w:t>
            </w:r>
          </w:p>
        </w:tc>
        <w:tc>
          <w:tcPr>
            <w:tcW w:w="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rate</w:t>
            </w: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days</w:t>
            </w: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days</w:t>
            </w: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days</w:t>
            </w: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720" w:type="dxa"/>
            <w:vAlign w:val="bottom"/>
          </w:tcPr>
          <w:p>
            <w:pPr>
              <w:ind w:left="40"/>
              <w:spacing w:after="0"/>
              <w:rPr>
                <w:sz w:val="20"/>
                <w:szCs w:val="20"/>
                <w:color w:val="auto"/>
              </w:rPr>
            </w:pPr>
            <w:r>
              <w:rPr>
                <w:rFonts w:ascii="Arial" w:cs="Arial" w:eastAsia="Arial" w:hAnsi="Arial"/>
                <w:sz w:val="13"/>
                <w:szCs w:val="13"/>
                <w:b w:val="1"/>
                <w:bCs w:val="1"/>
                <w:color w:val="auto"/>
              </w:rPr>
              <w:t>assets</w:t>
            </w:r>
          </w:p>
        </w:tc>
      </w:tr>
      <w:tr>
        <w:trPr>
          <w:trHeight w:val="170"/>
        </w:trPr>
        <w:tc>
          <w:tcPr>
            <w:tcW w:w="9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1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70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72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r>
      <w:tr>
        <w:trPr>
          <w:trHeight w:val="254"/>
        </w:trPr>
        <w:tc>
          <w:tcPr>
            <w:tcW w:w="940" w:type="dxa"/>
            <w:vAlign w:val="bottom"/>
          </w:tcPr>
          <w:p>
            <w:pPr>
              <w:spacing w:after="0"/>
              <w:rPr>
                <w:sz w:val="20"/>
                <w:szCs w:val="20"/>
                <w:color w:val="auto"/>
              </w:rPr>
            </w:pPr>
            <w:r>
              <w:rPr>
                <w:rFonts w:ascii="Arial" w:cs="Arial" w:eastAsia="Arial" w:hAnsi="Arial"/>
                <w:sz w:val="13"/>
                <w:szCs w:val="13"/>
                <w:color w:val="auto"/>
              </w:rPr>
              <w:t>Debt</w:t>
            </w: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47"/>
        </w:trPr>
        <w:tc>
          <w:tcPr>
            <w:tcW w:w="940" w:type="dxa"/>
            <w:vAlign w:val="bottom"/>
          </w:tcPr>
          <w:p>
            <w:pPr>
              <w:spacing w:after="0" w:line="147" w:lineRule="exact"/>
              <w:rPr>
                <w:sz w:val="20"/>
                <w:szCs w:val="20"/>
                <w:color w:val="auto"/>
              </w:rPr>
            </w:pPr>
            <w:r>
              <w:rPr>
                <w:rFonts w:ascii="Arial" w:cs="Arial" w:eastAsia="Arial" w:hAnsi="Arial"/>
                <w:sz w:val="13"/>
                <w:szCs w:val="13"/>
                <w:color w:val="auto"/>
              </w:rPr>
              <w:t>instruments,</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7"/>
        </w:trPr>
        <w:tc>
          <w:tcPr>
            <w:tcW w:w="940" w:type="dxa"/>
            <w:vAlign w:val="bottom"/>
          </w:tcPr>
          <w:p>
            <w:pPr>
              <w:spacing w:after="0" w:line="147" w:lineRule="exact"/>
              <w:rPr>
                <w:sz w:val="20"/>
                <w:szCs w:val="20"/>
                <w:color w:val="auto"/>
              </w:rPr>
            </w:pPr>
            <w:r>
              <w:rPr>
                <w:rFonts w:ascii="Arial" w:cs="Arial" w:eastAsia="Arial" w:hAnsi="Arial"/>
                <w:sz w:val="13"/>
                <w:szCs w:val="13"/>
                <w:color w:val="auto"/>
              </w:rPr>
              <w:t>cash and</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7"/>
        </w:trPr>
        <w:tc>
          <w:tcPr>
            <w:tcW w:w="940" w:type="dxa"/>
            <w:vAlign w:val="bottom"/>
          </w:tcPr>
          <w:p>
            <w:pPr>
              <w:spacing w:after="0" w:line="147" w:lineRule="exact"/>
              <w:rPr>
                <w:sz w:val="20"/>
                <w:szCs w:val="20"/>
                <w:color w:val="auto"/>
              </w:rPr>
            </w:pPr>
            <w:r>
              <w:rPr>
                <w:rFonts w:ascii="Arial" w:cs="Arial" w:eastAsia="Arial" w:hAnsi="Arial"/>
                <w:sz w:val="13"/>
                <w:szCs w:val="13"/>
                <w:color w:val="auto"/>
              </w:rPr>
              <w:t>credit portfolio</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7"/>
        </w:trPr>
        <w:tc>
          <w:tcPr>
            <w:tcW w:w="940" w:type="dxa"/>
            <w:vAlign w:val="bottom"/>
          </w:tcPr>
          <w:p>
            <w:pPr>
              <w:spacing w:after="0" w:line="147" w:lineRule="exact"/>
              <w:rPr>
                <w:sz w:val="20"/>
                <w:szCs w:val="20"/>
                <w:color w:val="auto"/>
              </w:rPr>
            </w:pPr>
            <w:r>
              <w:rPr>
                <w:rFonts w:ascii="Arial" w:cs="Arial" w:eastAsia="Arial" w:hAnsi="Arial"/>
                <w:sz w:val="13"/>
                <w:szCs w:val="13"/>
                <w:color w:val="auto"/>
              </w:rPr>
              <w:t>(c)</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9,582</w:t>
            </w: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w w:val="96"/>
              </w:rPr>
              <w:t>8,596,559</w:t>
            </w: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8,606,141</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9,268,346</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3"/>
                <w:szCs w:val="13"/>
                <w:color w:val="auto"/>
              </w:rPr>
              <w:t>64,273</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w w:val="98"/>
              </w:rPr>
              <w:t>12,268,416</w:t>
            </w: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w w:val="98"/>
              </w:rPr>
              <w:t>12,332,689</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w w:val="98"/>
              </w:rPr>
              <w:t>12,449,218</w:t>
            </w:r>
          </w:p>
        </w:tc>
      </w:tr>
      <w:tr>
        <w:trPr>
          <w:trHeight w:val="147"/>
        </w:trPr>
        <w:tc>
          <w:tcPr>
            <w:tcW w:w="940" w:type="dxa"/>
            <w:vAlign w:val="bottom"/>
          </w:tcPr>
          <w:p>
            <w:pPr>
              <w:spacing w:after="0" w:line="147" w:lineRule="exact"/>
              <w:rPr>
                <w:sz w:val="20"/>
                <w:szCs w:val="20"/>
                <w:color w:val="auto"/>
              </w:rPr>
            </w:pPr>
            <w:r>
              <w:rPr>
                <w:rFonts w:ascii="Arial" w:cs="Arial" w:eastAsia="Arial" w:hAnsi="Arial"/>
                <w:sz w:val="13"/>
                <w:szCs w:val="13"/>
                <w:color w:val="auto"/>
              </w:rPr>
              <w:t>Instruments</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7"/>
        </w:trPr>
        <w:tc>
          <w:tcPr>
            <w:tcW w:w="940" w:type="dxa"/>
            <w:vAlign w:val="bottom"/>
          </w:tcPr>
          <w:p>
            <w:pPr>
              <w:ind w:left="140"/>
              <w:spacing w:after="0" w:line="147" w:lineRule="exact"/>
              <w:rPr>
                <w:sz w:val="20"/>
                <w:szCs w:val="20"/>
                <w:color w:val="auto"/>
              </w:rPr>
            </w:pPr>
            <w:r>
              <w:rPr>
                <w:rFonts w:ascii="Arial" w:cs="Arial" w:eastAsia="Arial" w:hAnsi="Arial"/>
                <w:sz w:val="13"/>
                <w:szCs w:val="13"/>
                <w:color w:val="auto"/>
              </w:rPr>
              <w:t>issued by</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7"/>
        </w:trPr>
        <w:tc>
          <w:tcPr>
            <w:tcW w:w="940" w:type="dxa"/>
            <w:vAlign w:val="bottom"/>
          </w:tcPr>
          <w:p>
            <w:pPr>
              <w:ind w:left="140"/>
              <w:spacing w:after="0" w:line="147" w:lineRule="exact"/>
              <w:rPr>
                <w:sz w:val="20"/>
                <w:szCs w:val="20"/>
                <w:color w:val="auto"/>
              </w:rPr>
            </w:pPr>
            <w:r>
              <w:rPr>
                <w:rFonts w:ascii="Arial" w:cs="Arial" w:eastAsia="Arial" w:hAnsi="Arial"/>
                <w:sz w:val="13"/>
                <w:szCs w:val="13"/>
                <w:color w:val="auto"/>
              </w:rPr>
              <w:t>the</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7"/>
        </w:trPr>
        <w:tc>
          <w:tcPr>
            <w:tcW w:w="940" w:type="dxa"/>
            <w:vAlign w:val="bottom"/>
          </w:tcPr>
          <w:p>
            <w:pPr>
              <w:ind w:left="140"/>
              <w:spacing w:after="0" w:line="147" w:lineRule="exact"/>
              <w:rPr>
                <w:sz w:val="20"/>
                <w:szCs w:val="20"/>
                <w:color w:val="auto"/>
              </w:rPr>
            </w:pPr>
            <w:r>
              <w:rPr>
                <w:rFonts w:ascii="Arial" w:cs="Arial" w:eastAsia="Arial" w:hAnsi="Arial"/>
                <w:sz w:val="13"/>
                <w:szCs w:val="13"/>
                <w:color w:val="auto"/>
              </w:rPr>
              <w:t>Colombian</w:t>
            </w: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auto"/>
              </w:rPr>
              <w:t>Colombian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7"/>
        </w:trPr>
        <w:tc>
          <w:tcPr>
            <w:tcW w:w="940" w:type="dxa"/>
            <w:vAlign w:val="bottom"/>
          </w:tcPr>
          <w:p>
            <w:pPr>
              <w:ind w:left="140"/>
              <w:spacing w:after="0" w:line="147" w:lineRule="exact"/>
              <w:rPr>
                <w:sz w:val="20"/>
                <w:szCs w:val="20"/>
                <w:color w:val="auto"/>
              </w:rPr>
            </w:pPr>
            <w:r>
              <w:rPr>
                <w:rFonts w:ascii="Arial" w:cs="Arial" w:eastAsia="Arial" w:hAnsi="Arial"/>
                <w:sz w:val="13"/>
                <w:szCs w:val="13"/>
                <w:color w:val="auto"/>
              </w:rPr>
              <w:t>Government</w:t>
            </w:r>
          </w:p>
        </w:tc>
        <w:tc>
          <w:tcPr>
            <w:tcW w:w="720" w:type="dxa"/>
            <w:vAlign w:val="bottom"/>
          </w:tcPr>
          <w:p>
            <w:pPr>
              <w:ind w:left="100"/>
              <w:spacing w:after="0" w:line="147" w:lineRule="exact"/>
              <w:rPr>
                <w:sz w:val="20"/>
                <w:szCs w:val="20"/>
                <w:color w:val="auto"/>
              </w:rPr>
            </w:pPr>
            <w:r>
              <w:rPr>
                <w:rFonts w:ascii="Arial" w:cs="Arial" w:eastAsia="Arial" w:hAnsi="Arial"/>
                <w:sz w:val="13"/>
                <w:szCs w:val="13"/>
                <w:color w:val="auto"/>
              </w:rPr>
              <w:t>pesos</w:t>
            </w:r>
          </w:p>
        </w:tc>
        <w:tc>
          <w:tcPr>
            <w:tcW w:w="660" w:type="dxa"/>
            <w:vAlign w:val="bottom"/>
          </w:tcPr>
          <w:p>
            <w:pPr>
              <w:ind w:left="340"/>
              <w:spacing w:after="0" w:line="147" w:lineRule="exact"/>
              <w:rPr>
                <w:sz w:val="20"/>
                <w:szCs w:val="20"/>
                <w:color w:val="auto"/>
              </w:rPr>
            </w:pPr>
            <w:r>
              <w:rPr>
                <w:rFonts w:ascii="Arial" w:cs="Arial" w:eastAsia="Arial" w:hAnsi="Arial"/>
                <w:sz w:val="13"/>
                <w:szCs w:val="13"/>
                <w:color w:val="auto"/>
              </w:rPr>
              <w:t>6.22</w:t>
            </w:r>
          </w:p>
        </w:tc>
        <w:tc>
          <w:tcPr>
            <w:tcW w:w="8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w w:val="96"/>
              </w:rPr>
              <w:t>1,410,328</w:t>
            </w: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1,410,328</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1,408,486</w:t>
            </w:r>
          </w:p>
        </w:tc>
        <w:tc>
          <w:tcPr>
            <w:tcW w:w="6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6.12</w:t>
            </w:r>
          </w:p>
        </w:tc>
        <w:tc>
          <w:tcPr>
            <w:tcW w:w="8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3"/>
                <w:szCs w:val="13"/>
                <w:color w:val="auto"/>
                <w:w w:val="93"/>
              </w:rPr>
              <w:t>539,731</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539,731</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536,398</w:t>
            </w:r>
          </w:p>
        </w:tc>
      </w:tr>
      <w:tr>
        <w:trPr>
          <w:trHeight w:val="147"/>
        </w:trPr>
        <w:tc>
          <w:tcPr>
            <w:tcW w:w="940" w:type="dxa"/>
            <w:vAlign w:val="bottom"/>
          </w:tcPr>
          <w:p>
            <w:pPr>
              <w:spacing w:after="0" w:line="147" w:lineRule="exact"/>
              <w:rPr>
                <w:sz w:val="20"/>
                <w:szCs w:val="20"/>
                <w:color w:val="auto"/>
              </w:rPr>
            </w:pPr>
            <w:r>
              <w:rPr>
                <w:rFonts w:ascii="Arial" w:cs="Arial" w:eastAsia="Arial" w:hAnsi="Arial"/>
                <w:sz w:val="13"/>
                <w:szCs w:val="13"/>
                <w:color w:val="auto"/>
              </w:rPr>
              <w:t>Instruments</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7"/>
        </w:trPr>
        <w:tc>
          <w:tcPr>
            <w:tcW w:w="940" w:type="dxa"/>
            <w:vAlign w:val="bottom"/>
          </w:tcPr>
          <w:p>
            <w:pPr>
              <w:ind w:left="140"/>
              <w:spacing w:after="0" w:line="147" w:lineRule="exact"/>
              <w:rPr>
                <w:sz w:val="20"/>
                <w:szCs w:val="20"/>
                <w:color w:val="auto"/>
              </w:rPr>
            </w:pPr>
            <w:r>
              <w:rPr>
                <w:rFonts w:ascii="Arial" w:cs="Arial" w:eastAsia="Arial" w:hAnsi="Arial"/>
                <w:sz w:val="13"/>
                <w:szCs w:val="13"/>
                <w:color w:val="auto"/>
              </w:rPr>
              <w:t>issued by</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7"/>
        </w:trPr>
        <w:tc>
          <w:tcPr>
            <w:tcW w:w="940" w:type="dxa"/>
            <w:vAlign w:val="bottom"/>
          </w:tcPr>
          <w:p>
            <w:pPr>
              <w:ind w:left="140"/>
              <w:spacing w:after="0" w:line="147" w:lineRule="exact"/>
              <w:rPr>
                <w:sz w:val="20"/>
                <w:szCs w:val="20"/>
                <w:color w:val="auto"/>
              </w:rPr>
            </w:pPr>
            <w:r>
              <w:rPr>
                <w:rFonts w:ascii="Arial" w:cs="Arial" w:eastAsia="Arial" w:hAnsi="Arial"/>
                <w:sz w:val="13"/>
                <w:szCs w:val="13"/>
                <w:color w:val="auto"/>
              </w:rPr>
              <w:t>the Chilean</w:t>
            </w: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auto"/>
              </w:rPr>
              <w:t>Chilean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7"/>
        </w:trPr>
        <w:tc>
          <w:tcPr>
            <w:tcW w:w="940" w:type="dxa"/>
            <w:vAlign w:val="bottom"/>
          </w:tcPr>
          <w:p>
            <w:pPr>
              <w:ind w:left="140"/>
              <w:spacing w:after="0" w:line="147" w:lineRule="exact"/>
              <w:rPr>
                <w:sz w:val="20"/>
                <w:szCs w:val="20"/>
                <w:color w:val="auto"/>
              </w:rPr>
            </w:pPr>
            <w:r>
              <w:rPr>
                <w:rFonts w:ascii="Arial" w:cs="Arial" w:eastAsia="Arial" w:hAnsi="Arial"/>
                <w:sz w:val="13"/>
                <w:szCs w:val="13"/>
                <w:color w:val="auto"/>
              </w:rPr>
              <w:t>Government</w:t>
            </w:r>
          </w:p>
        </w:tc>
        <w:tc>
          <w:tcPr>
            <w:tcW w:w="720" w:type="dxa"/>
            <w:vAlign w:val="bottom"/>
          </w:tcPr>
          <w:p>
            <w:pPr>
              <w:ind w:left="100"/>
              <w:spacing w:after="0" w:line="147" w:lineRule="exact"/>
              <w:rPr>
                <w:sz w:val="20"/>
                <w:szCs w:val="20"/>
                <w:color w:val="auto"/>
              </w:rPr>
            </w:pPr>
            <w:r>
              <w:rPr>
                <w:rFonts w:ascii="Arial" w:cs="Arial" w:eastAsia="Arial" w:hAnsi="Arial"/>
                <w:sz w:val="13"/>
                <w:szCs w:val="13"/>
                <w:color w:val="auto"/>
              </w:rPr>
              <w:t>pesos</w:t>
            </w:r>
          </w:p>
        </w:tc>
        <w:tc>
          <w:tcPr>
            <w:tcW w:w="660" w:type="dxa"/>
            <w:vAlign w:val="bottom"/>
          </w:tcPr>
          <w:p>
            <w:pPr>
              <w:ind w:left="340"/>
              <w:spacing w:after="0" w:line="147" w:lineRule="exact"/>
              <w:rPr>
                <w:sz w:val="20"/>
                <w:szCs w:val="20"/>
                <w:color w:val="auto"/>
              </w:rPr>
            </w:pPr>
            <w:r>
              <w:rPr>
                <w:rFonts w:ascii="Arial" w:cs="Arial" w:eastAsia="Arial" w:hAnsi="Arial"/>
                <w:sz w:val="13"/>
                <w:szCs w:val="13"/>
                <w:color w:val="auto"/>
              </w:rPr>
              <w:t>0.75</w:t>
            </w:r>
          </w:p>
        </w:tc>
        <w:tc>
          <w:tcPr>
            <w:tcW w:w="8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57,066</w:t>
            </w: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57,066</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57,095</w:t>
            </w:r>
          </w:p>
        </w:tc>
        <w:tc>
          <w:tcPr>
            <w:tcW w:w="6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0.96</w:t>
            </w:r>
          </w:p>
        </w:tc>
        <w:tc>
          <w:tcPr>
            <w:tcW w:w="8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38,192</w:t>
            </w:r>
          </w:p>
        </w:tc>
        <w:tc>
          <w:tcPr>
            <w:tcW w:w="10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38,192</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38,192</w:t>
            </w:r>
          </w:p>
        </w:tc>
      </w:tr>
      <w:tr>
        <w:trPr>
          <w:trHeight w:val="147"/>
        </w:trPr>
        <w:tc>
          <w:tcPr>
            <w:tcW w:w="940" w:type="dxa"/>
            <w:vAlign w:val="bottom"/>
          </w:tcPr>
          <w:p>
            <w:pPr>
              <w:spacing w:after="0" w:line="147" w:lineRule="exact"/>
              <w:rPr>
                <w:sz w:val="20"/>
                <w:szCs w:val="20"/>
                <w:color w:val="auto"/>
              </w:rPr>
            </w:pPr>
            <w:r>
              <w:rPr>
                <w:rFonts w:ascii="Arial" w:cs="Arial" w:eastAsia="Arial" w:hAnsi="Arial"/>
                <w:sz w:val="13"/>
                <w:szCs w:val="13"/>
                <w:color w:val="auto"/>
              </w:rPr>
              <w:t>Other</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4"/>
        </w:trPr>
        <w:tc>
          <w:tcPr>
            <w:tcW w:w="940" w:type="dxa"/>
            <w:vAlign w:val="bottom"/>
          </w:tcPr>
          <w:p>
            <w:pPr>
              <w:ind w:left="140"/>
              <w:spacing w:after="0"/>
              <w:rPr>
                <w:sz w:val="20"/>
                <w:szCs w:val="20"/>
                <w:color w:val="auto"/>
              </w:rPr>
            </w:pPr>
            <w:r>
              <w:rPr>
                <w:rFonts w:ascii="Arial" w:cs="Arial" w:eastAsia="Arial" w:hAnsi="Arial"/>
                <w:sz w:val="13"/>
                <w:szCs w:val="13"/>
                <w:color w:val="auto"/>
              </w:rPr>
              <w:t>instruments</w:t>
            </w:r>
          </w:p>
        </w:tc>
        <w:tc>
          <w:tcPr>
            <w:tcW w:w="720" w:type="dxa"/>
            <w:vAlign w:val="bottom"/>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auto"/>
              </w:rPr>
              <w:t>6.91</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41,056</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53,836</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94,892</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94,659</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3.77</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15,840</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40,273</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56,113</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56,193</w:t>
            </w:r>
          </w:p>
        </w:tc>
      </w:tr>
      <w:tr>
        <w:trPr>
          <w:trHeight w:val="143"/>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98,122</w:t>
            </w: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6"/>
              </w:rPr>
              <w:t>1,473,746</w:t>
            </w: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6"/>
              </w:rPr>
              <w:t>8,596,559</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8"/>
              </w:rPr>
              <w:t>10,168,427</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8"/>
              </w:rPr>
              <w:t>10,828,586</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54,032</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3"/>
              </w:rPr>
              <w:t>644,277</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8"/>
              </w:rPr>
              <w:t>12,268,416</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8"/>
              </w:rPr>
              <w:t>12,966,725</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8"/>
              </w:rPr>
              <w:t>13,080,001</w:t>
            </w:r>
          </w:p>
        </w:tc>
      </w:tr>
    </w:tbl>
    <w:p>
      <w:pPr>
        <w:spacing w:after="0" w:line="142" w:lineRule="exact"/>
        <w:rPr>
          <w:sz w:val="20"/>
          <w:szCs w:val="20"/>
          <w:color w:val="auto"/>
        </w:rPr>
      </w:pPr>
    </w:p>
    <w:p>
      <w:pPr>
        <w:ind w:left="4936"/>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736"/>
          </w:cols>
          <w:pgMar w:left="904" w:top="124" w:right="259" w:bottom="1440" w:gutter="0" w:footer="0" w:header="0"/>
        </w:sectPr>
      </w:pPr>
    </w:p>
    <w:bookmarkStart w:id="67" w:name="page68"/>
    <w:bookmarkEnd w:id="67"/>
    <w:p>
      <w:pPr>
        <w:ind w:left="882" w:hanging="296"/>
        <w:spacing w:after="0"/>
        <w:tabs>
          <w:tab w:leader="none" w:pos="882"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 of December 31, 2023, and 2022, the Group has repurchase agreements secured with: (i) cash, see Note 4(a), (ii) investments, see Note</w:t>
      </w:r>
    </w:p>
    <w:p>
      <w:pPr>
        <w:spacing w:after="0" w:line="14" w:lineRule="exact"/>
        <w:rPr>
          <w:rFonts w:ascii="Arial" w:cs="Arial" w:eastAsia="Arial" w:hAnsi="Arial"/>
          <w:sz w:val="16"/>
          <w:szCs w:val="16"/>
          <w:color w:val="auto"/>
        </w:rPr>
      </w:pPr>
    </w:p>
    <w:p>
      <w:pPr>
        <w:ind w:left="882"/>
        <w:spacing w:after="0"/>
        <w:rPr>
          <w:rFonts w:ascii="Arial" w:cs="Arial" w:eastAsia="Arial" w:hAnsi="Arial"/>
          <w:sz w:val="16"/>
          <w:szCs w:val="16"/>
          <w:color w:val="auto"/>
        </w:rPr>
      </w:pPr>
      <w:r>
        <w:rPr>
          <w:rFonts w:ascii="Arial" w:cs="Arial" w:eastAsia="Arial" w:hAnsi="Arial"/>
          <w:sz w:val="16"/>
          <w:szCs w:val="16"/>
          <w:color w:val="auto"/>
        </w:rPr>
        <w:t>6(b), and (iii) loans, see Note 7(a). This item consists of the following:</w:t>
      </w:r>
    </w:p>
    <w:p>
      <w:pPr>
        <w:spacing w:after="0" w:line="188" w:lineRule="exact"/>
        <w:rPr>
          <w:sz w:val="20"/>
          <w:szCs w:val="20"/>
          <w:color w:val="auto"/>
        </w:rPr>
      </w:pPr>
    </w:p>
    <w:tbl>
      <w:tblPr>
        <w:tblLayout w:type="fixed"/>
        <w:tblInd w:w="882" w:type="dxa"/>
        <w:tblCellMar>
          <w:top w:w="0" w:type="dxa"/>
          <w:left w:w="0" w:type="dxa"/>
          <w:bottom w:w="0" w:type="dxa"/>
          <w:right w:w="0" w:type="dxa"/>
        </w:tblCellMar>
      </w:tblPr>
      <w:tr>
        <w:trPr>
          <w:trHeight w:val="154"/>
        </w:trPr>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80" w:type="dxa"/>
            <w:vAlign w:val="bottom"/>
            <w:gridSpan w:val="2"/>
          </w:tcPr>
          <w:p>
            <w:pPr>
              <w:ind w:left="16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43"/>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ind w:left="40"/>
              <w:spacing w:after="0" w:line="144" w:lineRule="exact"/>
              <w:rPr>
                <w:sz w:val="20"/>
                <w:szCs w:val="20"/>
                <w:color w:val="auto"/>
              </w:rPr>
            </w:pPr>
            <w:r>
              <w:rPr>
                <w:rFonts w:ascii="Arial" w:cs="Arial" w:eastAsia="Arial" w:hAnsi="Arial"/>
                <w:sz w:val="13"/>
                <w:szCs w:val="13"/>
                <w:b w:val="1"/>
                <w:bCs w:val="1"/>
                <w:color w:val="auto"/>
              </w:rPr>
              <w:t>Carrying</w:t>
            </w: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40"/>
              <w:spacing w:after="0" w:line="144" w:lineRule="exact"/>
              <w:rPr>
                <w:sz w:val="20"/>
                <w:szCs w:val="20"/>
                <w:color w:val="auto"/>
              </w:rPr>
            </w:pPr>
            <w:r>
              <w:rPr>
                <w:rFonts w:ascii="Arial" w:cs="Arial" w:eastAsia="Arial" w:hAnsi="Arial"/>
                <w:sz w:val="13"/>
                <w:szCs w:val="13"/>
                <w:b w:val="1"/>
                <w:bCs w:val="1"/>
                <w:color w:val="auto"/>
              </w:rPr>
              <w:t>Carrying</w:t>
            </w:r>
          </w:p>
        </w:tc>
        <w:tc>
          <w:tcPr>
            <w:tcW w:w="1200" w:type="dxa"/>
            <w:vAlign w:val="bottom"/>
            <w:tcBorders>
              <w:top w:val="single" w:sz="8" w:color="auto"/>
            </w:tcBorders>
          </w:tcPr>
          <w:p>
            <w:pPr>
              <w:spacing w:after="0"/>
              <w:rPr>
                <w:sz w:val="12"/>
                <w:szCs w:val="12"/>
                <w:color w:val="auto"/>
              </w:rPr>
            </w:pPr>
          </w:p>
        </w:tc>
      </w:tr>
      <w:tr>
        <w:trPr>
          <w:trHeight w:val="154"/>
        </w:trPr>
        <w:tc>
          <w:tcPr>
            <w:tcW w:w="1860" w:type="dxa"/>
            <w:vAlign w:val="bottom"/>
          </w:tcPr>
          <w:p>
            <w:pPr>
              <w:ind w:left="40"/>
              <w:spacing w:after="0"/>
              <w:rPr>
                <w:sz w:val="20"/>
                <w:szCs w:val="20"/>
                <w:color w:val="auto"/>
              </w:rPr>
            </w:pPr>
            <w:r>
              <w:rPr>
                <w:rFonts w:ascii="Arial" w:cs="Arial" w:eastAsia="Arial" w:hAnsi="Arial"/>
                <w:sz w:val="13"/>
                <w:szCs w:val="13"/>
                <w:b w:val="1"/>
                <w:bCs w:val="1"/>
                <w:color w:val="auto"/>
              </w:rPr>
              <w:t>Counterparties</w:t>
            </w:r>
          </w:p>
        </w:tc>
        <w:tc>
          <w:tcPr>
            <w:tcW w:w="960" w:type="dxa"/>
            <w:vAlign w:val="bottom"/>
            <w:gridSpan w:val="3"/>
          </w:tcPr>
          <w:p>
            <w:pPr>
              <w:ind w:left="100"/>
              <w:spacing w:after="0"/>
              <w:rPr>
                <w:sz w:val="20"/>
                <w:szCs w:val="20"/>
                <w:color w:val="auto"/>
              </w:rPr>
            </w:pPr>
            <w:r>
              <w:rPr>
                <w:rFonts w:ascii="Arial" w:cs="Arial" w:eastAsia="Arial" w:hAnsi="Arial"/>
                <w:sz w:val="13"/>
                <w:szCs w:val="13"/>
                <w:b w:val="1"/>
                <w:bCs w:val="1"/>
                <w:color w:val="auto"/>
              </w:rPr>
              <w:t>Currency</w:t>
            </w:r>
          </w:p>
        </w:tc>
        <w:tc>
          <w:tcPr>
            <w:tcW w:w="168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0" w:type="dxa"/>
            <w:vAlign w:val="bottom"/>
          </w:tcPr>
          <w:p>
            <w:pPr>
              <w:ind w:left="60"/>
              <w:spacing w:after="0"/>
              <w:rPr>
                <w:sz w:val="20"/>
                <w:szCs w:val="20"/>
                <w:color w:val="auto"/>
              </w:rPr>
            </w:pPr>
            <w:r>
              <w:rPr>
                <w:rFonts w:ascii="Arial" w:cs="Arial" w:eastAsia="Arial" w:hAnsi="Arial"/>
                <w:sz w:val="13"/>
                <w:szCs w:val="13"/>
                <w:b w:val="1"/>
                <w:bCs w:val="1"/>
                <w:color w:val="auto"/>
              </w:rPr>
              <w:t>Collateral</w:t>
            </w:r>
          </w:p>
        </w:tc>
        <w:tc>
          <w:tcPr>
            <w:tcW w:w="100" w:type="dxa"/>
            <w:vAlign w:val="bottom"/>
          </w:tcPr>
          <w:p>
            <w:pPr>
              <w:spacing w:after="0"/>
              <w:rPr>
                <w:sz w:val="13"/>
                <w:szCs w:val="13"/>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0" w:type="dxa"/>
            <w:vAlign w:val="bottom"/>
          </w:tcPr>
          <w:p>
            <w:pPr>
              <w:ind w:left="40"/>
              <w:spacing w:after="0"/>
              <w:rPr>
                <w:sz w:val="20"/>
                <w:szCs w:val="20"/>
                <w:color w:val="auto"/>
              </w:rPr>
            </w:pPr>
            <w:r>
              <w:rPr>
                <w:rFonts w:ascii="Arial" w:cs="Arial" w:eastAsia="Arial" w:hAnsi="Arial"/>
                <w:sz w:val="13"/>
                <w:szCs w:val="13"/>
                <w:b w:val="1"/>
                <w:bCs w:val="1"/>
                <w:color w:val="auto"/>
              </w:rPr>
              <w:t>Collateral</w:t>
            </w:r>
          </w:p>
        </w:tc>
      </w:tr>
      <w:tr>
        <w:trPr>
          <w:trHeight w:val="170"/>
        </w:trPr>
        <w:tc>
          <w:tcPr>
            <w:tcW w:w="1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4"/>
        </w:trPr>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3"/>
                <w:szCs w:val="13"/>
                <w:color w:val="auto"/>
              </w:rPr>
              <w:t>January 2024 / September</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Investments and</w:t>
            </w:r>
          </w:p>
        </w:tc>
        <w:tc>
          <w:tcPr>
            <w:tcW w:w="1780" w:type="dxa"/>
            <w:vAlign w:val="bottom"/>
            <w:gridSpan w:val="3"/>
          </w:tcPr>
          <w:p>
            <w:pPr>
              <w:ind w:left="100"/>
              <w:spacing w:after="0"/>
              <w:rPr>
                <w:sz w:val="20"/>
                <w:szCs w:val="20"/>
                <w:color w:val="auto"/>
              </w:rPr>
            </w:pPr>
            <w:r>
              <w:rPr>
                <w:rFonts w:ascii="Arial" w:cs="Arial" w:eastAsia="Arial" w:hAnsi="Arial"/>
                <w:sz w:val="13"/>
                <w:szCs w:val="13"/>
                <w:color w:val="auto"/>
              </w:rPr>
              <w:t>January 2023 / September</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Investments and</w:t>
            </w:r>
          </w:p>
        </w:tc>
      </w:tr>
      <w:tr>
        <w:trPr>
          <w:trHeight w:val="147"/>
        </w:trPr>
        <w:tc>
          <w:tcPr>
            <w:tcW w:w="1860" w:type="dxa"/>
            <w:vAlign w:val="bottom"/>
          </w:tcPr>
          <w:p>
            <w:pPr>
              <w:ind w:left="40"/>
              <w:spacing w:after="0" w:line="147" w:lineRule="exact"/>
              <w:rPr>
                <w:sz w:val="20"/>
                <w:szCs w:val="20"/>
                <w:color w:val="auto"/>
              </w:rPr>
            </w:pPr>
            <w:r>
              <w:rPr>
                <w:rFonts w:ascii="Arial" w:cs="Arial" w:eastAsia="Arial" w:hAnsi="Arial"/>
                <w:sz w:val="13"/>
                <w:szCs w:val="13"/>
                <w:color w:val="auto"/>
              </w:rPr>
              <w:t>BCRP</w:t>
            </w:r>
          </w:p>
        </w:tc>
        <w:tc>
          <w:tcPr>
            <w:tcW w:w="9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Sol</w:t>
            </w:r>
          </w:p>
        </w:tc>
        <w:tc>
          <w:tcPr>
            <w:tcW w:w="1580" w:type="dxa"/>
            <w:vAlign w:val="bottom"/>
          </w:tcPr>
          <w:p>
            <w:pPr>
              <w:spacing w:after="0" w:line="147" w:lineRule="exact"/>
              <w:rPr>
                <w:sz w:val="20"/>
                <w:szCs w:val="20"/>
                <w:color w:val="auto"/>
              </w:rPr>
            </w:pPr>
            <w:r>
              <w:rPr>
                <w:rFonts w:ascii="Arial" w:cs="Arial" w:eastAsia="Arial" w:hAnsi="Arial"/>
                <w:sz w:val="13"/>
                <w:szCs w:val="13"/>
                <w:color w:val="auto"/>
              </w:rPr>
              <w:t>2025</w:t>
            </w:r>
          </w:p>
        </w:tc>
        <w:tc>
          <w:tcPr>
            <w:tcW w:w="10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3"/>
                <w:szCs w:val="13"/>
                <w:color w:val="auto"/>
              </w:rPr>
              <w:t>5,436,564</w:t>
            </w:r>
          </w:p>
        </w:tc>
        <w:tc>
          <w:tcPr>
            <w:tcW w:w="80" w:type="dxa"/>
            <w:vAlign w:val="bottom"/>
          </w:tcPr>
          <w:p>
            <w:pPr>
              <w:spacing w:after="0"/>
              <w:rPr>
                <w:sz w:val="12"/>
                <w:szCs w:val="12"/>
                <w:color w:val="auto"/>
              </w:rPr>
            </w:pP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credit portfolio</w:t>
            </w:r>
          </w:p>
        </w:tc>
        <w:tc>
          <w:tcPr>
            <w:tcW w:w="16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2025</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3,263,472</w:t>
            </w:r>
          </w:p>
        </w:tc>
        <w:tc>
          <w:tcPr>
            <w:tcW w:w="10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credit portfolio</w:t>
            </w:r>
          </w:p>
        </w:tc>
      </w:tr>
      <w:tr>
        <w:trPr>
          <w:trHeight w:val="147"/>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Loans guaranteed</w:t>
            </w: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Loans guaranteed</w:t>
            </w:r>
          </w:p>
        </w:tc>
      </w:tr>
      <w:tr>
        <w:trPr>
          <w:trHeight w:val="147"/>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spacing w:after="0" w:line="147" w:lineRule="exact"/>
              <w:rPr>
                <w:sz w:val="20"/>
                <w:szCs w:val="20"/>
                <w:color w:val="auto"/>
              </w:rPr>
            </w:pPr>
            <w:r>
              <w:rPr>
                <w:rFonts w:ascii="Arial" w:cs="Arial" w:eastAsia="Arial" w:hAnsi="Arial"/>
                <w:sz w:val="13"/>
                <w:szCs w:val="13"/>
                <w:color w:val="auto"/>
              </w:rPr>
              <w:t>May 2024 / December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by National</w:t>
            </w:r>
          </w:p>
        </w:tc>
        <w:tc>
          <w:tcPr>
            <w:tcW w:w="178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May 2023 / December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by National</w:t>
            </w:r>
          </w:p>
        </w:tc>
      </w:tr>
      <w:tr>
        <w:trPr>
          <w:trHeight w:val="147"/>
        </w:trPr>
        <w:tc>
          <w:tcPr>
            <w:tcW w:w="1860" w:type="dxa"/>
            <w:vAlign w:val="bottom"/>
          </w:tcPr>
          <w:p>
            <w:pPr>
              <w:ind w:left="40"/>
              <w:spacing w:after="0" w:line="147" w:lineRule="exact"/>
              <w:rPr>
                <w:sz w:val="20"/>
                <w:szCs w:val="20"/>
                <w:color w:val="auto"/>
              </w:rPr>
            </w:pPr>
            <w:r>
              <w:rPr>
                <w:rFonts w:ascii="Arial" w:cs="Arial" w:eastAsia="Arial" w:hAnsi="Arial"/>
                <w:sz w:val="13"/>
                <w:szCs w:val="13"/>
                <w:color w:val="auto"/>
              </w:rPr>
              <w:t>BCRP - Reactiva Perú (*)</w:t>
            </w:r>
          </w:p>
        </w:tc>
        <w:tc>
          <w:tcPr>
            <w:tcW w:w="9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Sol</w:t>
            </w:r>
          </w:p>
        </w:tc>
        <w:tc>
          <w:tcPr>
            <w:tcW w:w="1580" w:type="dxa"/>
            <w:vAlign w:val="bottom"/>
          </w:tcPr>
          <w:p>
            <w:pPr>
              <w:spacing w:after="0" w:line="147" w:lineRule="exact"/>
              <w:rPr>
                <w:sz w:val="20"/>
                <w:szCs w:val="20"/>
                <w:color w:val="auto"/>
              </w:rPr>
            </w:pPr>
            <w:r>
              <w:rPr>
                <w:rFonts w:ascii="Arial" w:cs="Arial" w:eastAsia="Arial" w:hAnsi="Arial"/>
                <w:sz w:val="13"/>
                <w:szCs w:val="13"/>
                <w:color w:val="auto"/>
              </w:rPr>
              <w:t>2025</w:t>
            </w:r>
          </w:p>
        </w:tc>
        <w:tc>
          <w:tcPr>
            <w:tcW w:w="10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3"/>
                <w:szCs w:val="13"/>
                <w:color w:val="auto"/>
              </w:rPr>
              <w:t>1,779,934</w:t>
            </w:r>
          </w:p>
        </w:tc>
        <w:tc>
          <w:tcPr>
            <w:tcW w:w="80" w:type="dxa"/>
            <w:vAlign w:val="bottom"/>
          </w:tcPr>
          <w:p>
            <w:pPr>
              <w:spacing w:after="0"/>
              <w:rPr>
                <w:sz w:val="12"/>
                <w:szCs w:val="12"/>
                <w:color w:val="auto"/>
              </w:rPr>
            </w:pP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Government</w:t>
            </w:r>
          </w:p>
        </w:tc>
        <w:tc>
          <w:tcPr>
            <w:tcW w:w="16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2025</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6,981,698</w:t>
            </w:r>
          </w:p>
        </w:tc>
        <w:tc>
          <w:tcPr>
            <w:tcW w:w="10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Government</w:t>
            </w:r>
          </w:p>
        </w:tc>
      </w:tr>
      <w:tr>
        <w:trPr>
          <w:trHeight w:val="147"/>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spacing w:after="0" w:line="147" w:lineRule="exact"/>
              <w:rPr>
                <w:sz w:val="20"/>
                <w:szCs w:val="20"/>
                <w:color w:val="auto"/>
              </w:rPr>
            </w:pPr>
            <w:r>
              <w:rPr>
                <w:rFonts w:ascii="Arial" w:cs="Arial" w:eastAsia="Arial" w:hAnsi="Arial"/>
                <w:sz w:val="13"/>
                <w:szCs w:val="13"/>
                <w:color w:val="auto"/>
              </w:rPr>
              <w:t>December 2024 / March</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8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January 2023 / December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7"/>
        </w:trPr>
        <w:tc>
          <w:tcPr>
            <w:tcW w:w="1860" w:type="dxa"/>
            <w:vAlign w:val="bottom"/>
          </w:tcPr>
          <w:p>
            <w:pPr>
              <w:ind w:left="40"/>
              <w:spacing w:after="0" w:line="147" w:lineRule="exact"/>
              <w:rPr>
                <w:sz w:val="20"/>
                <w:szCs w:val="20"/>
                <w:color w:val="auto"/>
              </w:rPr>
            </w:pPr>
            <w:r>
              <w:rPr>
                <w:rFonts w:ascii="Arial" w:cs="Arial" w:eastAsia="Arial" w:hAnsi="Arial"/>
                <w:sz w:val="13"/>
                <w:szCs w:val="13"/>
                <w:color w:val="auto"/>
              </w:rPr>
              <w:t>Banco Central de Bolivia</w:t>
            </w:r>
          </w:p>
        </w:tc>
        <w:tc>
          <w:tcPr>
            <w:tcW w:w="9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Boliviano</w:t>
            </w:r>
          </w:p>
        </w:tc>
        <w:tc>
          <w:tcPr>
            <w:tcW w:w="1580" w:type="dxa"/>
            <w:vAlign w:val="bottom"/>
          </w:tcPr>
          <w:p>
            <w:pPr>
              <w:spacing w:after="0" w:line="147" w:lineRule="exact"/>
              <w:rPr>
                <w:sz w:val="20"/>
                <w:szCs w:val="20"/>
                <w:color w:val="auto"/>
              </w:rPr>
            </w:pPr>
            <w:r>
              <w:rPr>
                <w:rFonts w:ascii="Arial" w:cs="Arial" w:eastAsia="Arial" w:hAnsi="Arial"/>
                <w:sz w:val="13"/>
                <w:szCs w:val="13"/>
                <w:color w:val="auto"/>
              </w:rPr>
              <w:t>2025</w:t>
            </w:r>
          </w:p>
        </w:tc>
        <w:tc>
          <w:tcPr>
            <w:tcW w:w="10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3"/>
                <w:szCs w:val="13"/>
                <w:color w:val="auto"/>
              </w:rPr>
              <w:t>590,715</w:t>
            </w:r>
          </w:p>
        </w:tc>
        <w:tc>
          <w:tcPr>
            <w:tcW w:w="80" w:type="dxa"/>
            <w:vAlign w:val="bottom"/>
          </w:tcPr>
          <w:p>
            <w:pPr>
              <w:spacing w:after="0"/>
              <w:rPr>
                <w:sz w:val="12"/>
                <w:szCs w:val="12"/>
                <w:color w:val="auto"/>
              </w:rPr>
            </w:pP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Cash</w:t>
            </w:r>
          </w:p>
        </w:tc>
        <w:tc>
          <w:tcPr>
            <w:tcW w:w="16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2023</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424,822</w:t>
            </w:r>
          </w:p>
        </w:tc>
        <w:tc>
          <w:tcPr>
            <w:tcW w:w="10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Cash</w:t>
            </w:r>
          </w:p>
        </w:tc>
      </w:tr>
      <w:tr>
        <w:trPr>
          <w:trHeight w:val="147"/>
        </w:trPr>
        <w:tc>
          <w:tcPr>
            <w:tcW w:w="1860" w:type="dxa"/>
            <w:vAlign w:val="bottom"/>
          </w:tcPr>
          <w:p>
            <w:pPr>
              <w:ind w:left="40"/>
              <w:spacing w:after="0" w:line="147" w:lineRule="exact"/>
              <w:rPr>
                <w:sz w:val="20"/>
                <w:szCs w:val="20"/>
                <w:color w:val="auto"/>
              </w:rPr>
            </w:pPr>
            <w:r>
              <w:rPr>
                <w:rFonts w:ascii="Arial" w:cs="Arial" w:eastAsia="Arial" w:hAnsi="Arial"/>
                <w:sz w:val="13"/>
                <w:szCs w:val="13"/>
                <w:color w:val="auto"/>
              </w:rPr>
              <w:t>Natixis S.A.</w:t>
            </w:r>
          </w:p>
        </w:tc>
        <w:tc>
          <w:tcPr>
            <w:tcW w:w="9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Sol</w:t>
            </w:r>
          </w:p>
        </w:tc>
        <w:tc>
          <w:tcPr>
            <w:tcW w:w="1680" w:type="dxa"/>
            <w:vAlign w:val="bottom"/>
            <w:gridSpan w:val="2"/>
          </w:tcPr>
          <w:p>
            <w:pPr>
              <w:spacing w:after="0" w:line="147" w:lineRule="exact"/>
              <w:rPr>
                <w:sz w:val="20"/>
                <w:szCs w:val="20"/>
                <w:color w:val="auto"/>
              </w:rPr>
            </w:pPr>
            <w:r>
              <w:rPr>
                <w:rFonts w:ascii="Arial" w:cs="Arial" w:eastAsia="Arial" w:hAnsi="Arial"/>
                <w:sz w:val="13"/>
                <w:szCs w:val="13"/>
                <w:color w:val="auto"/>
              </w:rPr>
              <w:t>August 2028</w:t>
            </w:r>
          </w:p>
        </w:tc>
        <w:tc>
          <w:tcPr>
            <w:tcW w:w="600" w:type="dxa"/>
            <w:vAlign w:val="bottom"/>
          </w:tcPr>
          <w:p>
            <w:pPr>
              <w:jc w:val="right"/>
              <w:spacing w:after="0" w:line="147" w:lineRule="exact"/>
              <w:rPr>
                <w:sz w:val="20"/>
                <w:szCs w:val="20"/>
                <w:color w:val="auto"/>
              </w:rPr>
            </w:pPr>
            <w:r>
              <w:rPr>
                <w:rFonts w:ascii="Arial" w:cs="Arial" w:eastAsia="Arial" w:hAnsi="Arial"/>
                <w:sz w:val="13"/>
                <w:szCs w:val="13"/>
                <w:color w:val="auto"/>
              </w:rPr>
              <w:t>270,000</w:t>
            </w:r>
          </w:p>
        </w:tc>
        <w:tc>
          <w:tcPr>
            <w:tcW w:w="80" w:type="dxa"/>
            <w:vAlign w:val="bottom"/>
          </w:tcPr>
          <w:p>
            <w:pPr>
              <w:spacing w:after="0"/>
              <w:rPr>
                <w:sz w:val="12"/>
                <w:szCs w:val="12"/>
                <w:color w:val="auto"/>
              </w:rPr>
            </w:pP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Investments</w:t>
            </w:r>
          </w:p>
        </w:tc>
        <w:tc>
          <w:tcPr>
            <w:tcW w:w="178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August 2028</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270,000</w:t>
            </w:r>
          </w:p>
        </w:tc>
        <w:tc>
          <w:tcPr>
            <w:tcW w:w="10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Investments</w:t>
            </w:r>
          </w:p>
        </w:tc>
      </w:tr>
      <w:tr>
        <w:trPr>
          <w:trHeight w:val="147"/>
        </w:trPr>
        <w:tc>
          <w:tcPr>
            <w:tcW w:w="1860" w:type="dxa"/>
            <w:vAlign w:val="bottom"/>
          </w:tcPr>
          <w:p>
            <w:pPr>
              <w:ind w:left="40"/>
              <w:spacing w:after="0" w:line="147" w:lineRule="exact"/>
              <w:rPr>
                <w:sz w:val="20"/>
                <w:szCs w:val="20"/>
                <w:color w:val="auto"/>
              </w:rPr>
            </w:pPr>
            <w:r>
              <w:rPr>
                <w:rFonts w:ascii="Arial" w:cs="Arial" w:eastAsia="Arial" w:hAnsi="Arial"/>
                <w:sz w:val="13"/>
                <w:szCs w:val="13"/>
                <w:color w:val="auto"/>
              </w:rPr>
              <w:t>Citigroup Global Markets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7"/>
        </w:trPr>
        <w:tc>
          <w:tcPr>
            <w:tcW w:w="1860" w:type="dxa"/>
            <w:vAlign w:val="bottom"/>
          </w:tcPr>
          <w:p>
            <w:pPr>
              <w:ind w:left="40"/>
              <w:spacing w:after="0" w:line="147" w:lineRule="exact"/>
              <w:rPr>
                <w:sz w:val="20"/>
                <w:szCs w:val="20"/>
                <w:color w:val="auto"/>
              </w:rPr>
            </w:pPr>
            <w:r>
              <w:rPr>
                <w:rFonts w:ascii="Arial" w:cs="Arial" w:eastAsia="Arial" w:hAnsi="Arial"/>
                <w:sz w:val="13"/>
                <w:szCs w:val="13"/>
                <w:color w:val="auto"/>
              </w:rPr>
              <w:t>Limited (i)</w:t>
            </w:r>
          </w:p>
        </w:tc>
        <w:tc>
          <w:tcPr>
            <w:tcW w:w="9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U.S. Dollar</w:t>
            </w:r>
          </w:p>
        </w:tc>
        <w:tc>
          <w:tcPr>
            <w:tcW w:w="1680" w:type="dxa"/>
            <w:vAlign w:val="bottom"/>
            <w:gridSpan w:val="2"/>
          </w:tcPr>
          <w:p>
            <w:pPr>
              <w:spacing w:after="0" w:line="147" w:lineRule="exact"/>
              <w:rPr>
                <w:sz w:val="20"/>
                <w:szCs w:val="20"/>
                <w:color w:val="auto"/>
              </w:rPr>
            </w:pPr>
            <w:r>
              <w:rPr>
                <w:rFonts w:ascii="Arial" w:cs="Arial" w:eastAsia="Arial" w:hAnsi="Arial"/>
                <w:sz w:val="13"/>
                <w:szCs w:val="13"/>
                <w:color w:val="auto"/>
              </w:rPr>
              <w:t>August 2026</w:t>
            </w:r>
          </w:p>
        </w:tc>
        <w:tc>
          <w:tcPr>
            <w:tcW w:w="600" w:type="dxa"/>
            <w:vAlign w:val="bottom"/>
          </w:tcPr>
          <w:p>
            <w:pPr>
              <w:jc w:val="right"/>
              <w:spacing w:after="0" w:line="147" w:lineRule="exact"/>
              <w:rPr>
                <w:sz w:val="20"/>
                <w:szCs w:val="20"/>
                <w:color w:val="auto"/>
              </w:rPr>
            </w:pPr>
            <w:r>
              <w:rPr>
                <w:rFonts w:ascii="Arial" w:cs="Arial" w:eastAsia="Arial" w:hAnsi="Arial"/>
                <w:sz w:val="13"/>
                <w:szCs w:val="13"/>
                <w:color w:val="auto"/>
              </w:rPr>
              <w:t>166,905</w:t>
            </w:r>
          </w:p>
        </w:tc>
        <w:tc>
          <w:tcPr>
            <w:tcW w:w="80" w:type="dxa"/>
            <w:vAlign w:val="bottom"/>
          </w:tcPr>
          <w:p>
            <w:pPr>
              <w:spacing w:after="0"/>
              <w:rPr>
                <w:sz w:val="12"/>
                <w:szCs w:val="12"/>
                <w:color w:val="auto"/>
              </w:rPr>
            </w:pP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Investments</w:t>
            </w:r>
          </w:p>
        </w:tc>
        <w:tc>
          <w:tcPr>
            <w:tcW w:w="178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August 2026</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171,630</w:t>
            </w:r>
          </w:p>
        </w:tc>
        <w:tc>
          <w:tcPr>
            <w:tcW w:w="10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Investments</w:t>
            </w:r>
          </w:p>
        </w:tc>
      </w:tr>
      <w:tr>
        <w:trPr>
          <w:trHeight w:val="147"/>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Loans guaranteed</w:t>
            </w: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Loans guaranteed</w:t>
            </w:r>
          </w:p>
        </w:tc>
      </w:tr>
      <w:tr>
        <w:trPr>
          <w:trHeight w:val="147"/>
        </w:trPr>
        <w:tc>
          <w:tcPr>
            <w:tcW w:w="1860" w:type="dxa"/>
            <w:vAlign w:val="bottom"/>
          </w:tcPr>
          <w:p>
            <w:pPr>
              <w:ind w:left="40"/>
              <w:spacing w:after="0" w:line="147" w:lineRule="exact"/>
              <w:rPr>
                <w:sz w:val="20"/>
                <w:szCs w:val="20"/>
                <w:color w:val="auto"/>
              </w:rPr>
            </w:pPr>
            <w:r>
              <w:rPr>
                <w:rFonts w:ascii="Arial" w:cs="Arial" w:eastAsia="Arial" w:hAnsi="Arial"/>
                <w:sz w:val="13"/>
                <w:szCs w:val="13"/>
                <w:color w:val="auto"/>
              </w:rPr>
              <w:t>BCRP - Reactiva Perú</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spacing w:after="0" w:line="147" w:lineRule="exact"/>
              <w:rPr>
                <w:sz w:val="20"/>
                <w:szCs w:val="20"/>
                <w:color w:val="auto"/>
              </w:rPr>
            </w:pPr>
            <w:r>
              <w:rPr>
                <w:rFonts w:ascii="Arial" w:cs="Arial" w:eastAsia="Arial" w:hAnsi="Arial"/>
                <w:sz w:val="13"/>
                <w:szCs w:val="13"/>
                <w:color w:val="auto"/>
              </w:rPr>
              <w:t>June 2024 / December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by National</w:t>
            </w:r>
          </w:p>
        </w:tc>
        <w:tc>
          <w:tcPr>
            <w:tcW w:w="178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June 2023 / December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by National</w:t>
            </w:r>
          </w:p>
        </w:tc>
      </w:tr>
      <w:tr>
        <w:trPr>
          <w:trHeight w:val="147"/>
        </w:trPr>
        <w:tc>
          <w:tcPr>
            <w:tcW w:w="1860" w:type="dxa"/>
            <w:vAlign w:val="bottom"/>
          </w:tcPr>
          <w:p>
            <w:pPr>
              <w:ind w:left="40"/>
              <w:spacing w:after="0" w:line="147" w:lineRule="exact"/>
              <w:rPr>
                <w:sz w:val="20"/>
                <w:szCs w:val="20"/>
                <w:color w:val="auto"/>
              </w:rPr>
            </w:pPr>
            <w:r>
              <w:rPr>
                <w:rFonts w:ascii="Arial" w:cs="Arial" w:eastAsia="Arial" w:hAnsi="Arial"/>
                <w:sz w:val="13"/>
                <w:szCs w:val="13"/>
                <w:color w:val="auto"/>
              </w:rPr>
              <w:t>Especial (*)</w:t>
            </w:r>
          </w:p>
        </w:tc>
        <w:tc>
          <w:tcPr>
            <w:tcW w:w="9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Sol</w:t>
            </w:r>
          </w:p>
        </w:tc>
        <w:tc>
          <w:tcPr>
            <w:tcW w:w="1580" w:type="dxa"/>
            <w:vAlign w:val="bottom"/>
          </w:tcPr>
          <w:p>
            <w:pPr>
              <w:spacing w:after="0" w:line="147" w:lineRule="exact"/>
              <w:rPr>
                <w:sz w:val="20"/>
                <w:szCs w:val="20"/>
                <w:color w:val="auto"/>
              </w:rPr>
            </w:pPr>
            <w:r>
              <w:rPr>
                <w:rFonts w:ascii="Arial" w:cs="Arial" w:eastAsia="Arial" w:hAnsi="Arial"/>
                <w:sz w:val="13"/>
                <w:szCs w:val="13"/>
                <w:color w:val="auto"/>
              </w:rPr>
              <w:t>2025</w:t>
            </w:r>
          </w:p>
        </w:tc>
        <w:tc>
          <w:tcPr>
            <w:tcW w:w="10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3"/>
                <w:szCs w:val="13"/>
                <w:color w:val="auto"/>
              </w:rPr>
              <w:t>133,309</w:t>
            </w:r>
          </w:p>
        </w:tc>
        <w:tc>
          <w:tcPr>
            <w:tcW w:w="80" w:type="dxa"/>
            <w:vAlign w:val="bottom"/>
          </w:tcPr>
          <w:p>
            <w:pPr>
              <w:spacing w:after="0"/>
              <w:rPr>
                <w:sz w:val="12"/>
                <w:szCs w:val="12"/>
                <w:color w:val="auto"/>
              </w:rPr>
            </w:pP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Government</w:t>
            </w:r>
          </w:p>
        </w:tc>
        <w:tc>
          <w:tcPr>
            <w:tcW w:w="16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2025</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793,734</w:t>
            </w:r>
          </w:p>
        </w:tc>
        <w:tc>
          <w:tcPr>
            <w:tcW w:w="10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Government</w:t>
            </w:r>
          </w:p>
        </w:tc>
      </w:tr>
      <w:tr>
        <w:trPr>
          <w:trHeight w:val="147"/>
        </w:trPr>
        <w:tc>
          <w:tcPr>
            <w:tcW w:w="1860" w:type="dxa"/>
            <w:vAlign w:val="bottom"/>
          </w:tcPr>
          <w:p>
            <w:pPr>
              <w:ind w:left="40"/>
              <w:spacing w:after="0" w:line="147" w:lineRule="exact"/>
              <w:rPr>
                <w:sz w:val="20"/>
                <w:szCs w:val="20"/>
                <w:color w:val="auto"/>
              </w:rPr>
            </w:pPr>
            <w:r>
              <w:rPr>
                <w:rFonts w:ascii="Arial" w:cs="Arial" w:eastAsia="Arial" w:hAnsi="Arial"/>
                <w:sz w:val="13"/>
                <w:szCs w:val="13"/>
                <w:color w:val="auto"/>
              </w:rPr>
              <w:t>Natixis (ii)</w:t>
            </w:r>
          </w:p>
        </w:tc>
        <w:tc>
          <w:tcPr>
            <w:tcW w:w="9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U.S. Dollar</w:t>
            </w:r>
          </w:p>
        </w:tc>
        <w:tc>
          <w:tcPr>
            <w:tcW w:w="1680" w:type="dxa"/>
            <w:vAlign w:val="bottom"/>
            <w:gridSpan w:val="2"/>
          </w:tcPr>
          <w:p>
            <w:pPr>
              <w:spacing w:after="0" w:line="147" w:lineRule="exact"/>
              <w:rPr>
                <w:sz w:val="20"/>
                <w:szCs w:val="20"/>
                <w:color w:val="auto"/>
              </w:rPr>
            </w:pPr>
            <w:r>
              <w:rPr>
                <w:rFonts w:ascii="Arial" w:cs="Arial" w:eastAsia="Arial" w:hAnsi="Arial"/>
                <w:sz w:val="13"/>
                <w:szCs w:val="13"/>
                <w:color w:val="auto"/>
              </w:rPr>
              <w:t>August 2026</w:t>
            </w:r>
          </w:p>
        </w:tc>
        <w:tc>
          <w:tcPr>
            <w:tcW w:w="68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92,725</w:t>
            </w: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Investments</w:t>
            </w:r>
          </w:p>
        </w:tc>
        <w:tc>
          <w:tcPr>
            <w:tcW w:w="178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August 2026</w:t>
            </w:r>
          </w:p>
        </w:tc>
        <w:tc>
          <w:tcPr>
            <w:tcW w:w="76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95,350</w:t>
            </w: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Investments</w:t>
            </w:r>
          </w:p>
        </w:tc>
      </w:tr>
      <w:tr>
        <w:trPr>
          <w:trHeight w:val="147"/>
        </w:trPr>
        <w:tc>
          <w:tcPr>
            <w:tcW w:w="1860" w:type="dxa"/>
            <w:vAlign w:val="bottom"/>
          </w:tcPr>
          <w:p>
            <w:pPr>
              <w:spacing w:after="0"/>
              <w:rPr>
                <w:sz w:val="12"/>
                <w:szCs w:val="12"/>
                <w:color w:val="auto"/>
              </w:rPr>
            </w:pPr>
          </w:p>
        </w:tc>
        <w:tc>
          <w:tcPr>
            <w:tcW w:w="9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Colombian</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7"/>
        </w:trPr>
        <w:tc>
          <w:tcPr>
            <w:tcW w:w="1860" w:type="dxa"/>
            <w:vAlign w:val="bottom"/>
          </w:tcPr>
          <w:p>
            <w:pPr>
              <w:ind w:left="40"/>
              <w:spacing w:after="0" w:line="147" w:lineRule="exact"/>
              <w:rPr>
                <w:sz w:val="20"/>
                <w:szCs w:val="20"/>
                <w:color w:val="auto"/>
              </w:rPr>
            </w:pPr>
            <w:r>
              <w:rPr>
                <w:rFonts w:ascii="Arial" w:cs="Arial" w:eastAsia="Arial" w:hAnsi="Arial"/>
                <w:sz w:val="13"/>
                <w:szCs w:val="13"/>
                <w:color w:val="auto"/>
              </w:rPr>
              <w:t>Banco de la República</w:t>
            </w:r>
          </w:p>
        </w:tc>
        <w:tc>
          <w:tcPr>
            <w:tcW w:w="100" w:type="dxa"/>
            <w:vAlign w:val="bottom"/>
          </w:tcPr>
          <w:p>
            <w:pPr>
              <w:spacing w:after="0"/>
              <w:rPr>
                <w:sz w:val="12"/>
                <w:szCs w:val="12"/>
                <w:color w:val="auto"/>
              </w:rPr>
            </w:pPr>
          </w:p>
        </w:tc>
        <w:tc>
          <w:tcPr>
            <w:tcW w:w="86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peso</w:t>
            </w:r>
          </w:p>
        </w:tc>
        <w:tc>
          <w:tcPr>
            <w:tcW w:w="1680" w:type="dxa"/>
            <w:vAlign w:val="bottom"/>
            <w:gridSpan w:val="2"/>
          </w:tcPr>
          <w:p>
            <w:pPr>
              <w:spacing w:after="0" w:line="147" w:lineRule="exact"/>
              <w:rPr>
                <w:sz w:val="20"/>
                <w:szCs w:val="20"/>
                <w:color w:val="auto"/>
              </w:rPr>
            </w:pPr>
            <w:r>
              <w:rPr>
                <w:rFonts w:ascii="Arial" w:cs="Arial" w:eastAsia="Arial" w:hAnsi="Arial"/>
                <w:sz w:val="13"/>
                <w:szCs w:val="13"/>
                <w:color w:val="auto"/>
              </w:rPr>
              <w:t>January 2024</w:t>
            </w:r>
          </w:p>
        </w:tc>
        <w:tc>
          <w:tcPr>
            <w:tcW w:w="68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9,569</w:t>
            </w: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Investments</w:t>
            </w:r>
          </w:p>
        </w:tc>
        <w:tc>
          <w:tcPr>
            <w:tcW w:w="178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January 2023</w:t>
            </w:r>
          </w:p>
        </w:tc>
        <w:tc>
          <w:tcPr>
            <w:tcW w:w="76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58,955</w:t>
            </w: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Investments</w:t>
            </w:r>
          </w:p>
        </w:tc>
      </w:tr>
      <w:tr>
        <w:trPr>
          <w:trHeight w:val="147"/>
        </w:trPr>
        <w:tc>
          <w:tcPr>
            <w:tcW w:w="1860" w:type="dxa"/>
            <w:vAlign w:val="bottom"/>
          </w:tcPr>
          <w:p>
            <w:pPr>
              <w:ind w:left="40"/>
              <w:spacing w:after="0" w:line="147" w:lineRule="exact"/>
              <w:rPr>
                <w:sz w:val="20"/>
                <w:szCs w:val="20"/>
                <w:color w:val="auto"/>
              </w:rPr>
            </w:pPr>
            <w:r>
              <w:rPr>
                <w:rFonts w:ascii="Arial" w:cs="Arial" w:eastAsia="Arial" w:hAnsi="Arial"/>
                <w:sz w:val="13"/>
                <w:szCs w:val="13"/>
                <w:color w:val="auto"/>
              </w:rPr>
              <w:t>BCRP, note 5(a)(i)</w:t>
            </w:r>
          </w:p>
        </w:tc>
        <w:tc>
          <w:tcPr>
            <w:tcW w:w="9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Sol</w:t>
            </w:r>
          </w:p>
        </w:tc>
        <w:tc>
          <w:tcPr>
            <w:tcW w:w="158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w:t>
            </w:r>
          </w:p>
        </w:tc>
        <w:tc>
          <w:tcPr>
            <w:tcW w:w="178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March 2023</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185,000</w:t>
            </w:r>
          </w:p>
        </w:tc>
        <w:tc>
          <w:tcPr>
            <w:tcW w:w="10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Cash with BCRP</w:t>
            </w:r>
          </w:p>
        </w:tc>
      </w:tr>
      <w:tr>
        <w:trPr>
          <w:trHeight w:val="147"/>
        </w:trPr>
        <w:tc>
          <w:tcPr>
            <w:tcW w:w="1860" w:type="dxa"/>
            <w:vAlign w:val="bottom"/>
          </w:tcPr>
          <w:p>
            <w:pPr>
              <w:ind w:left="40"/>
              <w:spacing w:after="0" w:line="147" w:lineRule="exact"/>
              <w:rPr>
                <w:sz w:val="20"/>
                <w:szCs w:val="20"/>
                <w:color w:val="auto"/>
              </w:rPr>
            </w:pPr>
            <w:r>
              <w:rPr>
                <w:rFonts w:ascii="Arial" w:cs="Arial" w:eastAsia="Arial" w:hAnsi="Arial"/>
                <w:sz w:val="13"/>
                <w:szCs w:val="13"/>
                <w:color w:val="auto"/>
              </w:rPr>
              <w:t>Other minors</w:t>
            </w:r>
          </w:p>
        </w:tc>
        <w:tc>
          <w:tcPr>
            <w:tcW w:w="86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58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0" w:type="dxa"/>
            <w:vAlign w:val="bottom"/>
          </w:tcPr>
          <w:p>
            <w:pPr>
              <w:ind w:left="20"/>
              <w:spacing w:after="0" w:line="147" w:lineRule="exact"/>
              <w:rPr>
                <w:sz w:val="20"/>
                <w:szCs w:val="20"/>
                <w:color w:val="auto"/>
              </w:rPr>
            </w:pPr>
            <w:r>
              <w:rPr>
                <w:rFonts w:ascii="Arial" w:cs="Arial" w:eastAsia="Arial" w:hAnsi="Arial"/>
                <w:sz w:val="13"/>
                <w:szCs w:val="13"/>
                <w:color w:val="auto"/>
              </w:rPr>
              <w:t>-</w:t>
            </w:r>
          </w:p>
        </w:tc>
        <w:tc>
          <w:tcPr>
            <w:tcW w:w="178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January 2023</w:t>
            </w:r>
          </w:p>
        </w:tc>
        <w:tc>
          <w:tcPr>
            <w:tcW w:w="76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5,099</w:t>
            </w: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Investments</w:t>
            </w:r>
          </w:p>
        </w:tc>
      </w:tr>
      <w:tr>
        <w:trPr>
          <w:trHeight w:val="172"/>
        </w:trPr>
        <w:tc>
          <w:tcPr>
            <w:tcW w:w="1860" w:type="dxa"/>
            <w:vAlign w:val="bottom"/>
          </w:tcPr>
          <w:p>
            <w:pPr>
              <w:ind w:left="40"/>
              <w:spacing w:after="0"/>
              <w:rPr>
                <w:sz w:val="20"/>
                <w:szCs w:val="20"/>
                <w:color w:val="auto"/>
              </w:rPr>
            </w:pPr>
            <w:r>
              <w:rPr>
                <w:rFonts w:ascii="Arial" w:cs="Arial" w:eastAsia="Arial" w:hAnsi="Arial"/>
                <w:sz w:val="13"/>
                <w:szCs w:val="13"/>
                <w:color w:val="auto"/>
              </w:rPr>
              <w:t>Accrued interest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126,420</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82,929</w:t>
            </w:r>
          </w:p>
        </w:tc>
        <w:tc>
          <w:tcPr>
            <w:tcW w:w="1200" w:type="dxa"/>
            <w:vAlign w:val="bottom"/>
          </w:tcPr>
          <w:p>
            <w:pPr>
              <w:spacing w:after="0"/>
              <w:rPr>
                <w:sz w:val="14"/>
                <w:szCs w:val="14"/>
                <w:color w:val="auto"/>
              </w:rPr>
            </w:pPr>
          </w:p>
        </w:tc>
      </w:tr>
      <w:tr>
        <w:trPr>
          <w:trHeight w:val="141"/>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3"/>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8,606,141</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8"/>
              </w:rPr>
              <w:t>12,332,689</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bl>
    <w:p>
      <w:pPr>
        <w:spacing w:after="0" w:line="166" w:lineRule="exact"/>
        <w:rPr>
          <w:sz w:val="20"/>
          <w:szCs w:val="20"/>
          <w:color w:val="auto"/>
        </w:rPr>
      </w:pPr>
    </w:p>
    <w:p>
      <w:pPr>
        <w:jc w:val="both"/>
        <w:ind w:left="2" w:hanging="2"/>
        <w:spacing w:after="0" w:line="247" w:lineRule="auto"/>
        <w:tabs>
          <w:tab w:leader="none" w:pos="549"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Throug Repo Operations, BCP and MiBanco sell representing credit securities guaranteed by the BCRP, they receive soles and are obliged to buy them back at a later date. The credit representing securities with guarantee of the National Government may have the form of a portfolio of credit representing titles or of Certificates of Participation in trustee of the loan portfolio guaranteed by the National Government (Reactiva Especial). The BCRP will charge a fixed interest annual rate in soles of 0.50 percent for the operation and will include a grace period of twelve months without payment of interest or principal. As of December 31, 2023, the total credits granted through the Reactiva Peru program are S/2,877.2 million (S/8,877.2 million, as of December 31, 2022), see Note 7(a).</w:t>
      </w:r>
    </w:p>
    <w:p>
      <w:pPr>
        <w:spacing w:after="0" w:line="147" w:lineRule="exact"/>
        <w:rPr>
          <w:sz w:val="20"/>
          <w:szCs w:val="20"/>
          <w:color w:val="auto"/>
        </w:rPr>
      </w:pPr>
    </w:p>
    <w:p>
      <w:pPr>
        <w:ind w:left="2"/>
        <w:spacing w:after="0" w:line="259" w:lineRule="auto"/>
        <w:rPr>
          <w:sz w:val="20"/>
          <w:szCs w:val="20"/>
          <w:color w:val="auto"/>
        </w:rPr>
      </w:pPr>
      <w:r>
        <w:rPr>
          <w:rFonts w:ascii="Arial" w:cs="Arial" w:eastAsia="Arial" w:hAnsi="Arial"/>
          <w:sz w:val="16"/>
          <w:szCs w:val="16"/>
          <w:color w:val="auto"/>
        </w:rPr>
        <w:t>As of December 31, 2023, said operations accrue interest at fixed and variable rates between 0.50 percent and 13 percent and SOFR 7.42 percent and 7.63 percent, (between 0.50 percent and 12.84 percent and between Libor 6M + 1.68 percent and Libor 6M + 1.90 percent, respectively, as of December 31, 2022). Credicorp and its Subsidiaries are in the process of negotiating with the counterparties to make the change to SOFR.</w:t>
      </w:r>
    </w:p>
    <w:p>
      <w:pPr>
        <w:spacing w:after="0" w:line="137"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July 2023, cross currency swaps (CCS) that hedged certain repurchase agreements were canceled early, the details of which are as follows:</w:t>
      </w:r>
    </w:p>
    <w:p>
      <w:pPr>
        <w:spacing w:after="0" w:line="183" w:lineRule="exact"/>
        <w:rPr>
          <w:sz w:val="20"/>
          <w:szCs w:val="20"/>
          <w:color w:val="auto"/>
        </w:rPr>
      </w:pPr>
    </w:p>
    <w:p>
      <w:pPr>
        <w:ind w:left="302" w:right="320" w:hanging="302"/>
        <w:spacing w:after="0" w:line="259" w:lineRule="auto"/>
        <w:tabs>
          <w:tab w:leader="none" w:pos="3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Cross currency swaps (CCS) which was designated as cash flow hedge of certain repurchase agreements in U.S. dollars at a variable rate for a nominal amount of US$45 million (US$45 million, equivalent to S/171.6 million, as of December 31, 2022). Through the cross currency swap (CCS), these repurchase agreements were economically converted into Soles at a fixed rate, see Note 12(c).</w:t>
      </w:r>
    </w:p>
    <w:p>
      <w:pPr>
        <w:spacing w:after="0" w:line="137" w:lineRule="exact"/>
        <w:rPr>
          <w:rFonts w:ascii="Arial" w:cs="Arial" w:eastAsia="Arial" w:hAnsi="Arial"/>
          <w:sz w:val="16"/>
          <w:szCs w:val="16"/>
          <w:color w:val="auto"/>
        </w:rPr>
      </w:pPr>
    </w:p>
    <w:p>
      <w:pPr>
        <w:ind w:left="302" w:right="60" w:hanging="302"/>
        <w:spacing w:after="0" w:line="259" w:lineRule="auto"/>
        <w:tabs>
          <w:tab w:leader="none" w:pos="3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Cross currency swap (CCS) which was designated as cash flow hedge of certain repurchase agreements in U.S. dollars at a variable rate for a nominal amount of US$25 million (US$25 million, equivalent to S/95.3 million, as of December 31, 2022). Through the cross currency swap (CCS), these repurchase agreements were economically converted into Soles at a fixed rate, see Note 12(c).</w:t>
      </w:r>
    </w:p>
    <w:p>
      <w:pPr>
        <w:spacing w:after="0" w:line="113"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68" w:name="page69"/>
    <w:bookmarkEnd w:id="68"/>
    <w:p>
      <w:pPr>
        <w:ind w:left="582" w:hanging="582"/>
        <w:spacing w:after="0"/>
        <w:tabs>
          <w:tab w:leader="none" w:pos="582"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w:t>
      </w:r>
    </w:p>
    <w:p>
      <w:pPr>
        <w:spacing w:after="0" w:line="181" w:lineRule="exact"/>
        <w:rPr>
          <w:rFonts w:ascii="Arial" w:cs="Arial" w:eastAsia="Arial" w:hAnsi="Arial"/>
          <w:sz w:val="16"/>
          <w:szCs w:val="16"/>
          <w:b w:val="1"/>
          <w:bCs w:val="1"/>
          <w:color w:val="auto"/>
        </w:rPr>
      </w:pPr>
    </w:p>
    <w:p>
      <w:pPr>
        <w:ind w:left="882" w:hanging="296"/>
        <w:spacing w:after="0"/>
        <w:tabs>
          <w:tab w:leader="none" w:pos="882"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Investment at fair value through profit or loss consist of the following:</w:t>
      </w:r>
    </w:p>
    <w:p>
      <w:pPr>
        <w:spacing w:after="0" w:line="195" w:lineRule="exact"/>
        <w:rPr>
          <w:sz w:val="20"/>
          <w:szCs w:val="20"/>
          <w:color w:val="auto"/>
        </w:rPr>
      </w:pPr>
    </w:p>
    <w:tbl>
      <w:tblPr>
        <w:tblLayout w:type="fixed"/>
        <w:tblInd w:w="882" w:type="dxa"/>
        <w:tblCellMar>
          <w:top w:w="0" w:type="dxa"/>
          <w:left w:w="0" w:type="dxa"/>
          <w:bottom w:w="0" w:type="dxa"/>
          <w:right w:w="0" w:type="dxa"/>
        </w:tblCellMar>
      </w:tblPr>
      <w:tr>
        <w:trPr>
          <w:trHeight w:val="200"/>
        </w:trPr>
        <w:tc>
          <w:tcPr>
            <w:tcW w:w="7320" w:type="dxa"/>
            <w:vAlign w:val="bottom"/>
          </w:tcPr>
          <w:p>
            <w:pPr>
              <w:spacing w:after="0"/>
              <w:rPr>
                <w:sz w:val="17"/>
                <w:szCs w:val="17"/>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10"/>
        </w:trPr>
        <w:tc>
          <w:tcPr>
            <w:tcW w:w="7320" w:type="dxa"/>
            <w:vAlign w:val="bottom"/>
          </w:tcPr>
          <w:p>
            <w:pPr>
              <w:spacing w:after="0"/>
              <w:rPr>
                <w:sz w:val="20"/>
                <w:szCs w:val="20"/>
                <w:color w:val="auto"/>
              </w:rPr>
            </w:pPr>
            <w:r>
              <w:rPr>
                <w:rFonts w:ascii="Arial" w:cs="Arial" w:eastAsia="Arial" w:hAnsi="Arial"/>
                <w:sz w:val="16"/>
                <w:szCs w:val="16"/>
                <w:color w:val="auto"/>
              </w:rPr>
              <w:t>Government Bonds (i)</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1,555,548</w:t>
            </w:r>
          </w:p>
        </w:tc>
        <w:tc>
          <w:tcPr>
            <w:tcW w:w="1240" w:type="dxa"/>
            <w:vAlign w:val="bottom"/>
          </w:tcPr>
          <w:p>
            <w:pPr>
              <w:jc w:val="right"/>
              <w:spacing w:after="0"/>
              <w:rPr>
                <w:sz w:val="20"/>
                <w:szCs w:val="20"/>
                <w:color w:val="auto"/>
              </w:rPr>
            </w:pPr>
            <w:r>
              <w:rPr>
                <w:rFonts w:ascii="Arial" w:cs="Arial" w:eastAsia="Arial" w:hAnsi="Arial"/>
                <w:sz w:val="16"/>
                <w:szCs w:val="16"/>
                <w:color w:val="auto"/>
              </w:rPr>
              <w:t>651,219</w:t>
            </w:r>
          </w:p>
        </w:tc>
        <w:tc>
          <w:tcPr>
            <w:tcW w:w="20" w:type="dxa"/>
            <w:vAlign w:val="bottom"/>
          </w:tcPr>
          <w:p>
            <w:pPr>
              <w:spacing w:after="0"/>
              <w:rPr>
                <w:sz w:val="24"/>
                <w:szCs w:val="24"/>
                <w:color w:val="auto"/>
              </w:rPr>
            </w:pP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Investment funds (ii)</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1,199,026</w:t>
            </w:r>
          </w:p>
        </w:tc>
        <w:tc>
          <w:tcPr>
            <w:tcW w:w="1240" w:type="dxa"/>
            <w:vAlign w:val="bottom"/>
          </w:tcPr>
          <w:p>
            <w:pPr>
              <w:jc w:val="right"/>
              <w:spacing w:after="0"/>
              <w:rPr>
                <w:sz w:val="20"/>
                <w:szCs w:val="20"/>
                <w:color w:val="auto"/>
              </w:rPr>
            </w:pPr>
            <w:r>
              <w:rPr>
                <w:rFonts w:ascii="Arial" w:cs="Arial" w:eastAsia="Arial" w:hAnsi="Arial"/>
                <w:sz w:val="16"/>
                <w:szCs w:val="16"/>
                <w:color w:val="auto"/>
              </w:rPr>
              <w:t>885,574</w:t>
            </w:r>
          </w:p>
        </w:tc>
        <w:tc>
          <w:tcPr>
            <w:tcW w:w="20" w:type="dxa"/>
            <w:vAlign w:val="bottom"/>
          </w:tcPr>
          <w:p>
            <w:pPr>
              <w:spacing w:after="0"/>
              <w:rPr>
                <w:sz w:val="15"/>
                <w:szCs w:val="15"/>
                <w:color w:val="auto"/>
              </w:rPr>
            </w:pP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Mutual funds (iii)</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1,106,548</w:t>
            </w:r>
          </w:p>
        </w:tc>
        <w:tc>
          <w:tcPr>
            <w:tcW w:w="1240" w:type="dxa"/>
            <w:vAlign w:val="bottom"/>
          </w:tcPr>
          <w:p>
            <w:pPr>
              <w:jc w:val="right"/>
              <w:spacing w:after="0"/>
              <w:rPr>
                <w:sz w:val="20"/>
                <w:szCs w:val="20"/>
                <w:color w:val="auto"/>
              </w:rPr>
            </w:pPr>
            <w:r>
              <w:rPr>
                <w:rFonts w:ascii="Arial" w:cs="Arial" w:eastAsia="Arial" w:hAnsi="Arial"/>
                <w:sz w:val="16"/>
                <w:szCs w:val="16"/>
                <w:color w:val="auto"/>
              </w:rPr>
              <w:t>1,582,050</w:t>
            </w:r>
          </w:p>
        </w:tc>
        <w:tc>
          <w:tcPr>
            <w:tcW w:w="20" w:type="dxa"/>
            <w:vAlign w:val="bottom"/>
          </w:tcPr>
          <w:p>
            <w:pPr>
              <w:spacing w:after="0"/>
              <w:rPr>
                <w:sz w:val="15"/>
                <w:szCs w:val="15"/>
                <w:color w:val="auto"/>
              </w:rPr>
            </w:pP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Restricted mutual funds (iv)</w:t>
            </w:r>
          </w:p>
        </w:tc>
        <w:tc>
          <w:tcPr>
            <w:tcW w:w="1220" w:type="dxa"/>
            <w:vAlign w:val="bottom"/>
          </w:tcPr>
          <w:p>
            <w:pPr>
              <w:jc w:val="right"/>
              <w:spacing w:after="0"/>
              <w:rPr>
                <w:sz w:val="20"/>
                <w:szCs w:val="20"/>
                <w:color w:val="auto"/>
              </w:rPr>
            </w:pPr>
            <w:r>
              <w:rPr>
                <w:rFonts w:ascii="Arial" w:cs="Arial" w:eastAsia="Arial" w:hAnsi="Arial"/>
                <w:sz w:val="16"/>
                <w:szCs w:val="16"/>
                <w:color w:val="auto"/>
              </w:rPr>
              <w:t>334,162</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351,317</w:t>
            </w:r>
          </w:p>
        </w:tc>
        <w:tc>
          <w:tcPr>
            <w:tcW w:w="20" w:type="dxa"/>
            <w:vAlign w:val="bottom"/>
          </w:tcPr>
          <w:p>
            <w:pPr>
              <w:spacing w:after="0"/>
              <w:rPr>
                <w:sz w:val="15"/>
                <w:szCs w:val="15"/>
                <w:color w:val="auto"/>
              </w:rPr>
            </w:pP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Corporate bonds</w:t>
            </w:r>
          </w:p>
        </w:tc>
        <w:tc>
          <w:tcPr>
            <w:tcW w:w="1220" w:type="dxa"/>
            <w:vAlign w:val="bottom"/>
          </w:tcPr>
          <w:p>
            <w:pPr>
              <w:jc w:val="right"/>
              <w:spacing w:after="0"/>
              <w:rPr>
                <w:sz w:val="20"/>
                <w:szCs w:val="20"/>
                <w:color w:val="auto"/>
              </w:rPr>
            </w:pPr>
            <w:r>
              <w:rPr>
                <w:rFonts w:ascii="Arial" w:cs="Arial" w:eastAsia="Arial" w:hAnsi="Arial"/>
                <w:sz w:val="16"/>
                <w:szCs w:val="16"/>
                <w:color w:val="auto"/>
              </w:rPr>
              <w:t>228,302</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103,330</w:t>
            </w:r>
          </w:p>
        </w:tc>
        <w:tc>
          <w:tcPr>
            <w:tcW w:w="20" w:type="dxa"/>
            <w:vAlign w:val="bottom"/>
          </w:tcPr>
          <w:p>
            <w:pPr>
              <w:spacing w:after="0"/>
              <w:rPr>
                <w:sz w:val="15"/>
                <w:szCs w:val="15"/>
                <w:color w:val="auto"/>
              </w:rPr>
            </w:pP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Certificates of deposit BCRP (v)</w:t>
            </w:r>
          </w:p>
        </w:tc>
        <w:tc>
          <w:tcPr>
            <w:tcW w:w="1220" w:type="dxa"/>
            <w:vAlign w:val="bottom"/>
          </w:tcPr>
          <w:p>
            <w:pPr>
              <w:jc w:val="right"/>
              <w:spacing w:after="0"/>
              <w:rPr>
                <w:sz w:val="20"/>
                <w:szCs w:val="20"/>
                <w:color w:val="auto"/>
              </w:rPr>
            </w:pPr>
            <w:r>
              <w:rPr>
                <w:rFonts w:ascii="Arial" w:cs="Arial" w:eastAsia="Arial" w:hAnsi="Arial"/>
                <w:sz w:val="16"/>
                <w:szCs w:val="16"/>
                <w:color w:val="auto"/>
              </w:rPr>
              <w:t>192,666</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Participation in RAL Funds (vi)</w:t>
            </w:r>
          </w:p>
        </w:tc>
        <w:tc>
          <w:tcPr>
            <w:tcW w:w="1220" w:type="dxa"/>
            <w:vAlign w:val="bottom"/>
          </w:tcPr>
          <w:p>
            <w:pPr>
              <w:jc w:val="right"/>
              <w:spacing w:after="0"/>
              <w:rPr>
                <w:sz w:val="20"/>
                <w:szCs w:val="20"/>
                <w:color w:val="auto"/>
              </w:rPr>
            </w:pPr>
            <w:r>
              <w:rPr>
                <w:rFonts w:ascii="Arial" w:cs="Arial" w:eastAsia="Arial" w:hAnsi="Arial"/>
                <w:sz w:val="16"/>
                <w:szCs w:val="16"/>
                <w:color w:val="auto"/>
              </w:rPr>
              <w:t>145,414</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167,781</w:t>
            </w:r>
          </w:p>
        </w:tc>
        <w:tc>
          <w:tcPr>
            <w:tcW w:w="20" w:type="dxa"/>
            <w:vAlign w:val="bottom"/>
          </w:tcPr>
          <w:p>
            <w:pPr>
              <w:spacing w:after="0"/>
              <w:rPr>
                <w:sz w:val="15"/>
                <w:szCs w:val="15"/>
                <w:color w:val="auto"/>
              </w:rPr>
            </w:pP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Bonds from financial organizations</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92,907</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47,770</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Shares</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38,723</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47,820</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Subordinated bonds</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31,582</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84,121</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ETF (Exchange - Traded Fund)</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29,582</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25,042</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Central Bank of Chile bonds</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12,655</w:t>
            </w:r>
          </w:p>
        </w:tc>
        <w:tc>
          <w:tcPr>
            <w:tcW w:w="1240" w:type="dxa"/>
            <w:vAlign w:val="bottom"/>
          </w:tcPr>
          <w:p>
            <w:pPr>
              <w:jc w:val="right"/>
              <w:spacing w:after="0"/>
              <w:rPr>
                <w:sz w:val="20"/>
                <w:szCs w:val="20"/>
                <w:color w:val="auto"/>
              </w:rPr>
            </w:pPr>
            <w:r>
              <w:rPr>
                <w:rFonts w:ascii="Arial" w:cs="Arial" w:eastAsia="Arial" w:hAnsi="Arial"/>
                <w:sz w:val="16"/>
                <w:szCs w:val="16"/>
                <w:color w:val="auto"/>
              </w:rPr>
              <w:t>202,986</w:t>
            </w:r>
          </w:p>
        </w:tc>
        <w:tc>
          <w:tcPr>
            <w:tcW w:w="20" w:type="dxa"/>
            <w:vAlign w:val="bottom"/>
          </w:tcPr>
          <w:p>
            <w:pPr>
              <w:spacing w:after="0"/>
              <w:rPr>
                <w:sz w:val="15"/>
                <w:szCs w:val="15"/>
                <w:color w:val="auto"/>
              </w:rPr>
            </w:pP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Hedge funds</w:t>
            </w:r>
          </w:p>
        </w:tc>
        <w:tc>
          <w:tcPr>
            <w:tcW w:w="1220" w:type="dxa"/>
            <w:vAlign w:val="bottom"/>
          </w:tcPr>
          <w:p>
            <w:pPr>
              <w:jc w:val="right"/>
              <w:spacing w:after="0"/>
              <w:rPr>
                <w:sz w:val="20"/>
                <w:szCs w:val="20"/>
                <w:color w:val="auto"/>
              </w:rPr>
            </w:pPr>
            <w:r>
              <w:rPr>
                <w:rFonts w:ascii="Arial" w:cs="Arial" w:eastAsia="Arial" w:hAnsi="Arial"/>
                <w:sz w:val="16"/>
                <w:szCs w:val="16"/>
                <w:color w:val="auto"/>
              </w:rPr>
              <w:t>291</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280</w:t>
            </w:r>
          </w:p>
        </w:tc>
        <w:tc>
          <w:tcPr>
            <w:tcW w:w="20" w:type="dxa"/>
            <w:vAlign w:val="bottom"/>
          </w:tcPr>
          <w:p>
            <w:pPr>
              <w:spacing w:after="0"/>
              <w:rPr>
                <w:sz w:val="15"/>
                <w:szCs w:val="15"/>
                <w:color w:val="auto"/>
              </w:rPr>
            </w:pPr>
          </w:p>
        </w:tc>
      </w:tr>
      <w:tr>
        <w:trPr>
          <w:trHeight w:val="212"/>
        </w:trPr>
        <w:tc>
          <w:tcPr>
            <w:tcW w:w="7320" w:type="dxa"/>
            <w:vAlign w:val="bottom"/>
          </w:tcPr>
          <w:p>
            <w:pPr>
              <w:spacing w:after="0"/>
              <w:rPr>
                <w:sz w:val="20"/>
                <w:szCs w:val="20"/>
                <w:color w:val="auto"/>
              </w:rPr>
            </w:pPr>
            <w:r>
              <w:rPr>
                <w:rFonts w:ascii="Arial" w:cs="Arial" w:eastAsia="Arial" w:hAnsi="Arial"/>
                <w:sz w:val="16"/>
                <w:szCs w:val="16"/>
                <w:color w:val="auto"/>
              </w:rPr>
              <w:t>Others</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8,917</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48,269</w:t>
            </w:r>
          </w:p>
        </w:tc>
      </w:tr>
      <w:tr>
        <w:trPr>
          <w:trHeight w:val="159"/>
        </w:trPr>
        <w:tc>
          <w:tcPr>
            <w:tcW w:w="7320" w:type="dxa"/>
            <w:vAlign w:val="bottom"/>
          </w:tcPr>
          <w:p>
            <w:pPr>
              <w:spacing w:after="0" w:line="159" w:lineRule="exact"/>
              <w:rPr>
                <w:sz w:val="20"/>
                <w:szCs w:val="20"/>
                <w:color w:val="auto"/>
              </w:rPr>
            </w:pPr>
            <w:r>
              <w:rPr>
                <w:rFonts w:ascii="Arial" w:cs="Arial" w:eastAsia="Arial" w:hAnsi="Arial"/>
                <w:sz w:val="16"/>
                <w:szCs w:val="16"/>
                <w:color w:val="auto"/>
              </w:rPr>
              <w:t>Balance before accrued interest</w:t>
            </w:r>
          </w:p>
        </w:tc>
        <w:tc>
          <w:tcPr>
            <w:tcW w:w="12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4,976,323</w:t>
            </w:r>
          </w:p>
        </w:tc>
        <w:tc>
          <w:tcPr>
            <w:tcW w:w="220" w:type="dxa"/>
            <w:vAlign w:val="bottom"/>
          </w:tcPr>
          <w:p>
            <w:pPr>
              <w:spacing w:after="0"/>
              <w:rPr>
                <w:sz w:val="13"/>
                <w:szCs w:val="13"/>
                <w:color w:val="auto"/>
              </w:rPr>
            </w:pPr>
          </w:p>
        </w:tc>
        <w:tc>
          <w:tcPr>
            <w:tcW w:w="12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4,197,559</w:t>
            </w:r>
          </w:p>
        </w:tc>
        <w:tc>
          <w:tcPr>
            <w:tcW w:w="20" w:type="dxa"/>
            <w:vAlign w:val="bottom"/>
            <w:tcBorders>
              <w:top w:val="single" w:sz="8" w:color="auto"/>
            </w:tcBorders>
          </w:tcPr>
          <w:p>
            <w:pPr>
              <w:spacing w:after="0"/>
              <w:rPr>
                <w:sz w:val="13"/>
                <w:szCs w:val="13"/>
                <w:color w:val="auto"/>
              </w:rPr>
            </w:pPr>
          </w:p>
        </w:tc>
      </w:tr>
      <w:tr>
        <w:trPr>
          <w:trHeight w:val="212"/>
        </w:trPr>
        <w:tc>
          <w:tcPr>
            <w:tcW w:w="7320" w:type="dxa"/>
            <w:vAlign w:val="bottom"/>
          </w:tcPr>
          <w:p>
            <w:pPr>
              <w:spacing w:after="0"/>
              <w:rPr>
                <w:sz w:val="20"/>
                <w:szCs w:val="20"/>
                <w:color w:val="auto"/>
              </w:rPr>
            </w:pPr>
            <w:r>
              <w:rPr>
                <w:rFonts w:ascii="Arial" w:cs="Arial" w:eastAsia="Arial" w:hAnsi="Arial"/>
                <w:sz w:val="16"/>
                <w:szCs w:val="16"/>
                <w:color w:val="auto"/>
              </w:rPr>
              <w:t>Accrued interest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6,338</w:t>
            </w:r>
          </w:p>
        </w:tc>
        <w:tc>
          <w:tcPr>
            <w:tcW w:w="1240" w:type="dxa"/>
            <w:vAlign w:val="bottom"/>
          </w:tcPr>
          <w:p>
            <w:pPr>
              <w:jc w:val="right"/>
              <w:spacing w:after="0"/>
              <w:rPr>
                <w:sz w:val="20"/>
                <w:szCs w:val="20"/>
                <w:color w:val="auto"/>
              </w:rPr>
            </w:pPr>
            <w:r>
              <w:rPr>
                <w:rFonts w:ascii="Arial" w:cs="Arial" w:eastAsia="Arial" w:hAnsi="Arial"/>
                <w:sz w:val="16"/>
                <w:szCs w:val="16"/>
                <w:color w:val="auto"/>
              </w:rPr>
              <w:t>1,775</w:t>
            </w:r>
          </w:p>
        </w:tc>
        <w:tc>
          <w:tcPr>
            <w:tcW w:w="20" w:type="dxa"/>
            <w:vAlign w:val="bottom"/>
          </w:tcPr>
          <w:p>
            <w:pPr>
              <w:spacing w:after="0"/>
              <w:rPr>
                <w:sz w:val="18"/>
                <w:szCs w:val="18"/>
                <w:color w:val="auto"/>
              </w:rPr>
            </w:pPr>
          </w:p>
        </w:tc>
      </w:tr>
      <w:tr>
        <w:trPr>
          <w:trHeight w:val="180"/>
        </w:trPr>
        <w:tc>
          <w:tcPr>
            <w:tcW w:w="732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12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4,982,661</w:t>
            </w:r>
          </w:p>
        </w:tc>
        <w:tc>
          <w:tcPr>
            <w:tcW w:w="22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4,199,334</w:t>
            </w:r>
          </w:p>
        </w:tc>
        <w:tc>
          <w:tcPr>
            <w:tcW w:w="20" w:type="dxa"/>
            <w:vAlign w:val="bottom"/>
            <w:tcBorders>
              <w:top w:val="single" w:sz="8" w:color="auto"/>
              <w:bottom w:val="single" w:sz="8" w:color="auto"/>
            </w:tcBorders>
          </w:tcPr>
          <w:p>
            <w:pPr>
              <w:spacing w:after="0"/>
              <w:rPr>
                <w:sz w:val="15"/>
                <w:szCs w:val="15"/>
                <w:color w:val="auto"/>
              </w:rPr>
            </w:pPr>
          </w:p>
        </w:tc>
      </w:tr>
    </w:tbl>
    <w:p>
      <w:pPr>
        <w:spacing w:after="0" w:line="166" w:lineRule="exact"/>
        <w:rPr>
          <w:sz w:val="20"/>
          <w:szCs w:val="20"/>
          <w:color w:val="auto"/>
        </w:rPr>
      </w:pPr>
    </w:p>
    <w:p>
      <w:pPr>
        <w:ind w:left="882"/>
        <w:spacing w:after="0"/>
        <w:tabs>
          <w:tab w:leader="none" w:pos="1162" w:val="left"/>
        </w:tabs>
        <w:rPr>
          <w:sz w:val="20"/>
          <w:szCs w:val="20"/>
          <w:color w:val="auto"/>
        </w:rPr>
      </w:pPr>
      <w:r>
        <w:rPr>
          <w:rFonts w:ascii="Arial" w:cs="Arial" w:eastAsia="Arial" w:hAnsi="Arial"/>
          <w:sz w:val="16"/>
          <w:szCs w:val="16"/>
          <w:color w:val="auto"/>
        </w:rPr>
        <w:t>(i)</w:t>
        <w:tab/>
        <w:t>As of December 31, 2023, and 2022 the balance of these instruments includes the following government treasury bonds:</w:t>
      </w:r>
    </w:p>
    <w:p>
      <w:pPr>
        <w:spacing w:after="0" w:line="195" w:lineRule="exact"/>
        <w:rPr>
          <w:sz w:val="20"/>
          <w:szCs w:val="20"/>
          <w:color w:val="auto"/>
        </w:rPr>
      </w:pPr>
    </w:p>
    <w:tbl>
      <w:tblPr>
        <w:tblLayout w:type="fixed"/>
        <w:tblInd w:w="1182" w:type="dxa"/>
        <w:tblCellMar>
          <w:top w:w="0" w:type="dxa"/>
          <w:left w:w="0" w:type="dxa"/>
          <w:bottom w:w="0" w:type="dxa"/>
          <w:right w:w="0" w:type="dxa"/>
        </w:tblCellMar>
      </w:tblPr>
      <w:tr>
        <w:trPr>
          <w:trHeight w:val="200"/>
        </w:trPr>
        <w:tc>
          <w:tcPr>
            <w:tcW w:w="6900" w:type="dxa"/>
            <w:vAlign w:val="bottom"/>
          </w:tcPr>
          <w:p>
            <w:pPr>
              <w:spacing w:after="0"/>
              <w:rPr>
                <w:sz w:val="17"/>
                <w:szCs w:val="17"/>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r>
      <w:tr>
        <w:trPr>
          <w:trHeight w:val="216"/>
        </w:trPr>
        <w:tc>
          <w:tcPr>
            <w:tcW w:w="690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10"/>
        </w:trPr>
        <w:tc>
          <w:tcPr>
            <w:tcW w:w="6900" w:type="dxa"/>
            <w:vAlign w:val="bottom"/>
          </w:tcPr>
          <w:p>
            <w:pPr>
              <w:spacing w:after="0"/>
              <w:rPr>
                <w:sz w:val="20"/>
                <w:szCs w:val="20"/>
                <w:color w:val="auto"/>
              </w:rPr>
            </w:pPr>
            <w:r>
              <w:rPr>
                <w:rFonts w:ascii="Arial" w:cs="Arial" w:eastAsia="Arial" w:hAnsi="Arial"/>
                <w:sz w:val="16"/>
                <w:szCs w:val="16"/>
                <w:color w:val="auto"/>
              </w:rPr>
              <w:t>Colombian Government Bonds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1,401,000</w:t>
            </w:r>
          </w:p>
        </w:tc>
        <w:tc>
          <w:tcPr>
            <w:tcW w:w="1160" w:type="dxa"/>
            <w:vAlign w:val="bottom"/>
          </w:tcPr>
          <w:p>
            <w:pPr>
              <w:jc w:val="right"/>
              <w:spacing w:after="0"/>
              <w:rPr>
                <w:sz w:val="20"/>
                <w:szCs w:val="20"/>
                <w:color w:val="auto"/>
              </w:rPr>
            </w:pPr>
            <w:r>
              <w:rPr>
                <w:rFonts w:ascii="Arial" w:cs="Arial" w:eastAsia="Arial" w:hAnsi="Arial"/>
                <w:sz w:val="16"/>
                <w:szCs w:val="16"/>
                <w:color w:val="auto"/>
              </w:rPr>
              <w:t>609,255</w:t>
            </w:r>
          </w:p>
        </w:tc>
        <w:tc>
          <w:tcPr>
            <w:tcW w:w="20" w:type="dxa"/>
            <w:vAlign w:val="bottom"/>
          </w:tcPr>
          <w:p>
            <w:pPr>
              <w:spacing w:after="0"/>
              <w:rPr>
                <w:sz w:val="24"/>
                <w:szCs w:val="24"/>
                <w:color w:val="auto"/>
              </w:rPr>
            </w:pPr>
          </w:p>
        </w:tc>
      </w:tr>
      <w:tr>
        <w:trPr>
          <w:trHeight w:val="183"/>
        </w:trPr>
        <w:tc>
          <w:tcPr>
            <w:tcW w:w="6900" w:type="dxa"/>
            <w:vAlign w:val="bottom"/>
          </w:tcPr>
          <w:p>
            <w:pPr>
              <w:spacing w:after="0"/>
              <w:rPr>
                <w:sz w:val="20"/>
                <w:szCs w:val="20"/>
                <w:color w:val="auto"/>
              </w:rPr>
            </w:pPr>
            <w:r>
              <w:rPr>
                <w:rFonts w:ascii="Arial" w:cs="Arial" w:eastAsia="Arial" w:hAnsi="Arial"/>
                <w:sz w:val="16"/>
                <w:szCs w:val="16"/>
                <w:color w:val="auto"/>
              </w:rPr>
              <w:t>Peruvian Government Bonds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141,349</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83"/>
        </w:trPr>
        <w:tc>
          <w:tcPr>
            <w:tcW w:w="6900" w:type="dxa"/>
            <w:vAlign w:val="bottom"/>
          </w:tcPr>
          <w:p>
            <w:pPr>
              <w:spacing w:after="0"/>
              <w:rPr>
                <w:sz w:val="20"/>
                <w:szCs w:val="20"/>
                <w:color w:val="auto"/>
              </w:rPr>
            </w:pPr>
            <w:r>
              <w:rPr>
                <w:rFonts w:ascii="Arial" w:cs="Arial" w:eastAsia="Arial" w:hAnsi="Arial"/>
                <w:sz w:val="16"/>
                <w:szCs w:val="16"/>
                <w:color w:val="auto"/>
              </w:rPr>
              <w:t>Chilean Government Bonds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8,497</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38,153</w:t>
            </w:r>
          </w:p>
        </w:tc>
      </w:tr>
      <w:tr>
        <w:trPr>
          <w:trHeight w:val="183"/>
        </w:trPr>
        <w:tc>
          <w:tcPr>
            <w:tcW w:w="6900" w:type="dxa"/>
            <w:vAlign w:val="bottom"/>
          </w:tcPr>
          <w:p>
            <w:pPr>
              <w:spacing w:after="0"/>
              <w:rPr>
                <w:sz w:val="20"/>
                <w:szCs w:val="20"/>
                <w:color w:val="auto"/>
              </w:rPr>
            </w:pPr>
            <w:r>
              <w:rPr>
                <w:rFonts w:ascii="Arial" w:cs="Arial" w:eastAsia="Arial" w:hAnsi="Arial"/>
                <w:sz w:val="16"/>
                <w:szCs w:val="16"/>
                <w:color w:val="auto"/>
              </w:rPr>
              <w:t>Swiss Government Bonds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4,702</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212"/>
        </w:trPr>
        <w:tc>
          <w:tcPr>
            <w:tcW w:w="6900" w:type="dxa"/>
            <w:vAlign w:val="bottom"/>
          </w:tcPr>
          <w:p>
            <w:pPr>
              <w:spacing w:after="0"/>
              <w:rPr>
                <w:sz w:val="20"/>
                <w:szCs w:val="20"/>
                <w:color w:val="auto"/>
              </w:rPr>
            </w:pPr>
            <w:r>
              <w:rPr>
                <w:rFonts w:ascii="Arial" w:cs="Arial" w:eastAsia="Arial" w:hAnsi="Arial"/>
                <w:sz w:val="16"/>
                <w:szCs w:val="16"/>
                <w:color w:val="auto"/>
              </w:rPr>
              <w:t>United States of America Government Bonds</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3,811</w:t>
            </w:r>
          </w:p>
        </w:tc>
        <w:tc>
          <w:tcPr>
            <w:tcW w:w="20" w:type="dxa"/>
            <w:vAlign w:val="bottom"/>
          </w:tcPr>
          <w:p>
            <w:pPr>
              <w:spacing w:after="0"/>
              <w:rPr>
                <w:sz w:val="18"/>
                <w:szCs w:val="18"/>
                <w:color w:val="auto"/>
              </w:rPr>
            </w:pPr>
          </w:p>
        </w:tc>
      </w:tr>
      <w:tr>
        <w:trPr>
          <w:trHeight w:val="180"/>
        </w:trPr>
        <w:tc>
          <w:tcPr>
            <w:tcW w:w="690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11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1,555,548</w:t>
            </w:r>
          </w:p>
        </w:tc>
        <w:tc>
          <w:tcPr>
            <w:tcW w:w="20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651,219</w:t>
            </w:r>
          </w:p>
        </w:tc>
        <w:tc>
          <w:tcPr>
            <w:tcW w:w="20" w:type="dxa"/>
            <w:vAlign w:val="bottom"/>
            <w:tcBorders>
              <w:top w:val="single" w:sz="8" w:color="auto"/>
              <w:bottom w:val="single" w:sz="8" w:color="auto"/>
            </w:tcBorders>
          </w:tcPr>
          <w:p>
            <w:pPr>
              <w:spacing w:after="0"/>
              <w:rPr>
                <w:sz w:val="15"/>
                <w:szCs w:val="15"/>
                <w:color w:val="auto"/>
              </w:rPr>
            </w:pPr>
          </w:p>
        </w:tc>
      </w:tr>
    </w:tbl>
    <w:p>
      <w:pPr>
        <w:spacing w:after="0" w:line="166" w:lineRule="exact"/>
        <w:rPr>
          <w:sz w:val="20"/>
          <w:szCs w:val="20"/>
          <w:color w:val="auto"/>
        </w:rPr>
      </w:pPr>
    </w:p>
    <w:p>
      <w:pPr>
        <w:ind w:left="1182" w:right="80" w:hanging="303"/>
        <w:spacing w:after="0" w:line="252" w:lineRule="auto"/>
        <w:tabs>
          <w:tab w:leader="none" w:pos="1182" w:val="left"/>
        </w:tabs>
        <w:numPr>
          <w:ilvl w:val="0"/>
          <w:numId w:val="92"/>
        </w:numPr>
        <w:rPr>
          <w:rFonts w:ascii="Arial" w:cs="Arial" w:eastAsia="Arial" w:hAnsi="Arial"/>
          <w:sz w:val="16"/>
          <w:szCs w:val="16"/>
          <w:color w:val="auto"/>
        </w:rPr>
      </w:pPr>
      <w:r>
        <w:rPr>
          <w:rFonts w:ascii="Arial" w:cs="Arial" w:eastAsia="Arial" w:hAnsi="Arial"/>
          <w:sz w:val="16"/>
          <w:szCs w:val="16"/>
          <w:color w:val="auto"/>
        </w:rPr>
        <w:t>As of December 31, 2023, the balance corresponds mainly to investment funds in Peru, the United States of America, Colombia and other countries, which represent 54.3 percent, 28.1 percent, 10.0 percent, and 7.6 percent respectively. As of December 31, 2022, the balance corresponds mainly to investment funds in Peru, the United States of America, Colombia and other countries, which represented 44.3 percent, 30.8 percent, 15.5 percent and 9.4 percent respectively.</w:t>
      </w:r>
    </w:p>
    <w:p>
      <w:pPr>
        <w:spacing w:after="0" w:line="143" w:lineRule="exact"/>
        <w:rPr>
          <w:rFonts w:ascii="Arial" w:cs="Arial" w:eastAsia="Arial" w:hAnsi="Arial"/>
          <w:sz w:val="16"/>
          <w:szCs w:val="16"/>
          <w:color w:val="auto"/>
        </w:rPr>
      </w:pPr>
    </w:p>
    <w:p>
      <w:pPr>
        <w:ind w:left="1182" w:hanging="303"/>
        <w:spacing w:after="0" w:line="252" w:lineRule="auto"/>
        <w:tabs>
          <w:tab w:leader="none" w:pos="1182" w:val="left"/>
        </w:tabs>
        <w:numPr>
          <w:ilvl w:val="0"/>
          <w:numId w:val="92"/>
        </w:numPr>
        <w:rPr>
          <w:rFonts w:ascii="Arial" w:cs="Arial" w:eastAsia="Arial" w:hAnsi="Arial"/>
          <w:sz w:val="16"/>
          <w:szCs w:val="16"/>
          <w:color w:val="auto"/>
        </w:rPr>
      </w:pPr>
      <w:r>
        <w:rPr>
          <w:rFonts w:ascii="Arial" w:cs="Arial" w:eastAsia="Arial" w:hAnsi="Arial"/>
          <w:sz w:val="16"/>
          <w:szCs w:val="16"/>
          <w:color w:val="auto"/>
        </w:rPr>
        <w:t>As of December 31, 2023, the balance corresponds to mutual funds from Luxembourg, Bolivia, Ireland, and other countries, which represent 52.0 percent, 35.5 percent, 6.7 percent, and 5.8 percent of the total, respectively. As of December 31, 2022, the balance corresponds to mutual funds from Luxembourg, Bolivia, Peru, and other countries, which represent 64.2 percent, 23.5 percent, 4.8 percent, and 7.5 percent of the total, respectively.</w:t>
      </w:r>
    </w:p>
    <w:p>
      <w:pPr>
        <w:spacing w:after="0" w:line="119"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182"/>
          </w:cols>
          <w:pgMar w:left="318" w:top="124" w:right="399" w:bottom="1440" w:gutter="0" w:footer="0" w:header="0"/>
        </w:sectPr>
      </w:pPr>
    </w:p>
    <w:bookmarkStart w:id="69" w:name="page70"/>
    <w:bookmarkEnd w:id="69"/>
    <w:p>
      <w:pPr>
        <w:ind w:left="303" w:right="120" w:hanging="303"/>
        <w:spacing w:after="0" w:line="259" w:lineRule="auto"/>
        <w:tabs>
          <w:tab w:leader="none" w:pos="303"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restricted mutual funds comprise the participation quotas in the private pension funds managed by Prima AFP and are maintained in compliance with the legal regulations in Peru. Their availability is restricted, and the yield received is the same as that received by the private pension funds managed.</w:t>
      </w:r>
    </w:p>
    <w:p>
      <w:pPr>
        <w:spacing w:after="0" w:line="136" w:lineRule="exact"/>
        <w:rPr>
          <w:rFonts w:ascii="Arial" w:cs="Arial" w:eastAsia="Arial" w:hAnsi="Arial"/>
          <w:sz w:val="16"/>
          <w:szCs w:val="16"/>
          <w:color w:val="auto"/>
        </w:rPr>
      </w:pPr>
    </w:p>
    <w:p>
      <w:pPr>
        <w:ind w:left="303" w:hanging="303"/>
        <w:spacing w:after="0" w:line="280" w:lineRule="auto"/>
        <w:tabs>
          <w:tab w:leader="none" w:pos="303" w:val="left"/>
        </w:tabs>
        <w:numPr>
          <w:ilvl w:val="0"/>
          <w:numId w:val="93"/>
        </w:numPr>
        <w:rPr>
          <w:rFonts w:ascii="Arial" w:cs="Arial" w:eastAsia="Arial" w:hAnsi="Arial"/>
          <w:sz w:val="16"/>
          <w:szCs w:val="16"/>
          <w:color w:val="auto"/>
        </w:rPr>
      </w:pPr>
      <w:r>
        <w:rPr>
          <w:rFonts w:ascii="Arial" w:cs="Arial" w:eastAsia="Arial" w:hAnsi="Arial"/>
          <w:sz w:val="16"/>
          <w:szCs w:val="16"/>
          <w:color w:val="auto"/>
        </w:rPr>
        <w:t>As of December 31, 2023, the balance corresponded to 520 certificates of deposit for US$51.9 million, equivalent to S/192.7 million, which accrue interest at an effective annual rate of 5.68 percent, and maturing in January 2024</w:t>
      </w:r>
    </w:p>
    <w:p>
      <w:pPr>
        <w:spacing w:after="0" w:line="120" w:lineRule="exact"/>
        <w:rPr>
          <w:rFonts w:ascii="Arial" w:cs="Arial" w:eastAsia="Arial" w:hAnsi="Arial"/>
          <w:sz w:val="16"/>
          <w:szCs w:val="16"/>
          <w:color w:val="auto"/>
        </w:rPr>
      </w:pPr>
    </w:p>
    <w:p>
      <w:pPr>
        <w:ind w:left="303" w:hanging="303"/>
        <w:spacing w:after="0" w:line="252" w:lineRule="auto"/>
        <w:tabs>
          <w:tab w:leader="none" w:pos="303" w:val="left"/>
        </w:tabs>
        <w:numPr>
          <w:ilvl w:val="0"/>
          <w:numId w:val="93"/>
        </w:numPr>
        <w:rPr>
          <w:rFonts w:ascii="Arial" w:cs="Arial" w:eastAsia="Arial" w:hAnsi="Arial"/>
          <w:sz w:val="16"/>
          <w:szCs w:val="16"/>
          <w:color w:val="auto"/>
        </w:rPr>
      </w:pPr>
      <w:r>
        <w:rPr>
          <w:rFonts w:ascii="Arial" w:cs="Arial" w:eastAsia="Arial" w:hAnsi="Arial"/>
          <w:sz w:val="16"/>
          <w:szCs w:val="16"/>
          <w:color w:val="auto"/>
        </w:rPr>
        <w:t>As of December 31, 2023, these funds are approximately Bs194.6 million, equivalent to S/105.2 million, and US$10.8 million, equivalent to S/40.2 million. As of December 31, 2022, these funds amounted to approximately Bs218.7 million, equivalent to S/121.7 million, and US$12.1 million, equivalent to S/46.1 million; and include the investments made by the Group in the Central Bank of Bolivia as guarantee for deposits received from the public. These funds have restrictions for their use and are required from all banks in Bolivia.</w:t>
      </w:r>
    </w:p>
    <w:p>
      <w:pPr>
        <w:spacing w:after="0" w:line="119" w:lineRule="exact"/>
        <w:rPr>
          <w:sz w:val="20"/>
          <w:szCs w:val="20"/>
          <w:color w:val="auto"/>
        </w:rPr>
      </w:pPr>
    </w:p>
    <w:p>
      <w:pPr>
        <w:ind w:left="4643"/>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243"/>
          </w:cols>
          <w:pgMar w:left="1197" w:top="124" w:right="459" w:bottom="1440" w:gutter="0" w:footer="0" w:header="0"/>
        </w:sectPr>
      </w:pPr>
    </w:p>
    <w:bookmarkStart w:id="70" w:name="page71"/>
    <w:bookmarkEnd w:id="70"/>
    <w:p>
      <w:pPr>
        <w:spacing w:after="0"/>
        <w:tabs>
          <w:tab w:leader="none" w:pos="280" w:val="left"/>
        </w:tabs>
        <w:rPr>
          <w:sz w:val="20"/>
          <w:szCs w:val="20"/>
          <w:color w:val="auto"/>
        </w:rPr>
      </w:pPr>
      <w:r>
        <w:rPr>
          <w:rFonts w:ascii="Arial" w:cs="Arial" w:eastAsia="Arial" w:hAnsi="Arial"/>
          <w:sz w:val="16"/>
          <w:szCs w:val="16"/>
          <w:color w:val="auto"/>
        </w:rPr>
        <w:t>b)</w:t>
        <w:tab/>
        <w:t>Investments at fair value through other comprehensive income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20" w:type="dxa"/>
            <w:vAlign w:val="bottom"/>
          </w:tcPr>
          <w:p>
            <w:pPr>
              <w:spacing w:after="0"/>
              <w:rPr>
                <w:sz w:val="17"/>
                <w:szCs w:val="17"/>
                <w:color w:val="auto"/>
              </w:rPr>
            </w:pPr>
          </w:p>
        </w:tc>
        <w:tc>
          <w:tcPr>
            <w:tcW w:w="920" w:type="dxa"/>
            <w:vAlign w:val="bottom"/>
          </w:tcPr>
          <w:p>
            <w:pPr>
              <w:ind w:left="4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2"/>
          </w:tcPr>
          <w:p>
            <w:pPr>
              <w:ind w:left="22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center"/>
              <w:ind w:right="80"/>
              <w:spacing w:after="0" w:line="159" w:lineRule="exact"/>
              <w:rPr>
                <w:sz w:val="20"/>
                <w:szCs w:val="20"/>
                <w:color w:val="auto"/>
              </w:rPr>
            </w:pPr>
            <w:r>
              <w:rPr>
                <w:rFonts w:ascii="Arial" w:cs="Arial" w:eastAsia="Arial" w:hAnsi="Arial"/>
                <w:sz w:val="16"/>
                <w:szCs w:val="16"/>
                <w:b w:val="1"/>
                <w:bCs w:val="1"/>
                <w:color w:val="auto"/>
              </w:rPr>
              <w:t>Unrealized gross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4"/>
          </w:tcPr>
          <w:p>
            <w:pPr>
              <w:jc w:val="center"/>
              <w:ind w:right="80"/>
              <w:spacing w:after="0" w:line="159" w:lineRule="exact"/>
              <w:rPr>
                <w:sz w:val="20"/>
                <w:szCs w:val="20"/>
                <w:color w:val="auto"/>
              </w:rPr>
            </w:pPr>
            <w:r>
              <w:rPr>
                <w:rFonts w:ascii="Arial" w:cs="Arial" w:eastAsia="Arial" w:hAnsi="Arial"/>
                <w:sz w:val="16"/>
                <w:szCs w:val="16"/>
                <w:b w:val="1"/>
                <w:bCs w:val="1"/>
                <w:color w:val="auto"/>
              </w:rPr>
              <w:t>Unrealized gross</w:t>
            </w: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amount</w:t>
            </w:r>
          </w:p>
        </w:tc>
        <w:tc>
          <w:tcPr>
            <w:tcW w:w="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amount</w:t>
            </w:r>
          </w:p>
        </w:tc>
        <w:tc>
          <w:tcPr>
            <w:tcW w:w="9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w:t>
            </w:r>
          </w:p>
        </w:tc>
        <w:tc>
          <w:tcPr>
            <w:tcW w:w="7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Profits</w:t>
            </w: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Losses</w:t>
            </w:r>
          </w:p>
        </w:tc>
        <w:tc>
          <w:tcPr>
            <w:tcW w:w="920" w:type="dxa"/>
            <w:vAlign w:val="bottom"/>
          </w:tcPr>
          <w:p>
            <w:pPr>
              <w:ind w:left="4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w:t>
            </w:r>
          </w:p>
        </w:tc>
        <w:tc>
          <w:tcPr>
            <w:tcW w:w="7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Profits</w:t>
            </w: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Losses</w:t>
            </w:r>
          </w:p>
        </w:tc>
        <w:tc>
          <w:tcPr>
            <w:tcW w:w="920" w:type="dxa"/>
            <w:vAlign w:val="bottom"/>
          </w:tcPr>
          <w:p>
            <w:pPr>
              <w:ind w:left="6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8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9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r>
        <w:trPr>
          <w:trHeight w:val="350"/>
        </w:trPr>
        <w:tc>
          <w:tcPr>
            <w:tcW w:w="2620" w:type="dxa"/>
            <w:vAlign w:val="bottom"/>
          </w:tcPr>
          <w:p>
            <w:pPr>
              <w:spacing w:after="0"/>
              <w:rPr>
                <w:sz w:val="20"/>
                <w:szCs w:val="20"/>
                <w:color w:val="auto"/>
              </w:rPr>
            </w:pPr>
            <w:r>
              <w:rPr>
                <w:rFonts w:ascii="Arial" w:cs="Arial" w:eastAsia="Arial" w:hAnsi="Arial"/>
                <w:sz w:val="16"/>
                <w:szCs w:val="16"/>
                <w:b w:val="1"/>
                <w:bCs w:val="1"/>
                <w:color w:val="auto"/>
              </w:rPr>
              <w:t>Debts instruments: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620" w:type="dxa"/>
            <w:vAlign w:val="bottom"/>
          </w:tcPr>
          <w:p>
            <w:pPr>
              <w:spacing w:after="0"/>
              <w:rPr>
                <w:sz w:val="20"/>
                <w:szCs w:val="20"/>
                <w:color w:val="auto"/>
              </w:rPr>
            </w:pPr>
            <w:r>
              <w:rPr>
                <w:rFonts w:ascii="Arial" w:cs="Arial" w:eastAsia="Arial" w:hAnsi="Arial"/>
                <w:sz w:val="16"/>
                <w:szCs w:val="16"/>
                <w:color w:val="auto"/>
              </w:rPr>
              <w:t>Corporate bonds (i)</w:t>
            </w:r>
          </w:p>
        </w:tc>
        <w:tc>
          <w:tcPr>
            <w:tcW w:w="920" w:type="dxa"/>
            <w:vAlign w:val="bottom"/>
          </w:tcPr>
          <w:p>
            <w:pPr>
              <w:jc w:val="right"/>
              <w:spacing w:after="0"/>
              <w:rPr>
                <w:sz w:val="20"/>
                <w:szCs w:val="20"/>
                <w:color w:val="auto"/>
              </w:rPr>
            </w:pPr>
            <w:r>
              <w:rPr>
                <w:rFonts w:ascii="Arial" w:cs="Arial" w:eastAsia="Arial" w:hAnsi="Arial"/>
                <w:sz w:val="16"/>
                <w:szCs w:val="16"/>
                <w:color w:val="auto"/>
              </w:rPr>
              <w:t>13,643,405</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177,408</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(643,985)</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13,176,828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13,914,118</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61,336</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(1,194,756)</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12,780,698</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Certificates of deposit BCRP (ii)</w:t>
            </w:r>
          </w:p>
        </w:tc>
        <w:tc>
          <w:tcPr>
            <w:tcW w:w="920" w:type="dxa"/>
            <w:vAlign w:val="bottom"/>
          </w:tcPr>
          <w:p>
            <w:pPr>
              <w:jc w:val="right"/>
              <w:spacing w:after="0"/>
              <w:rPr>
                <w:sz w:val="20"/>
                <w:szCs w:val="20"/>
                <w:color w:val="auto"/>
              </w:rPr>
            </w:pPr>
            <w:r>
              <w:rPr>
                <w:rFonts w:ascii="Arial" w:cs="Arial" w:eastAsia="Arial" w:hAnsi="Arial"/>
                <w:sz w:val="16"/>
                <w:szCs w:val="16"/>
                <w:color w:val="auto"/>
              </w:rPr>
              <w:t>10,924,181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11,125</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10,935,253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7,021,219</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868</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(2,608)</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7,019,479</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Government Bonds (iii)</w:t>
            </w:r>
          </w:p>
        </w:tc>
        <w:tc>
          <w:tcPr>
            <w:tcW w:w="920" w:type="dxa"/>
            <w:vAlign w:val="bottom"/>
          </w:tcPr>
          <w:p>
            <w:pPr>
              <w:jc w:val="right"/>
              <w:spacing w:after="0"/>
              <w:rPr>
                <w:sz w:val="20"/>
                <w:szCs w:val="20"/>
                <w:color w:val="auto"/>
              </w:rPr>
            </w:pPr>
            <w:r>
              <w:rPr>
                <w:rFonts w:ascii="Arial" w:cs="Arial" w:eastAsia="Arial" w:hAnsi="Arial"/>
                <w:sz w:val="16"/>
                <w:szCs w:val="16"/>
                <w:color w:val="auto"/>
              </w:rPr>
              <w:t>10,387,141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185,055</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(207,320)</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10,364,876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9,139,100</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59,788</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(670,177)</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8,528,711</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Securitization instruments (iv)</w:t>
            </w:r>
          </w:p>
        </w:tc>
        <w:tc>
          <w:tcPr>
            <w:tcW w:w="920" w:type="dxa"/>
            <w:vAlign w:val="bottom"/>
          </w:tcPr>
          <w:p>
            <w:pPr>
              <w:jc w:val="right"/>
              <w:spacing w:after="0"/>
              <w:rPr>
                <w:sz w:val="20"/>
                <w:szCs w:val="20"/>
                <w:color w:val="auto"/>
              </w:rPr>
            </w:pPr>
            <w:r>
              <w:rPr>
                <w:rFonts w:ascii="Arial" w:cs="Arial" w:eastAsia="Arial" w:hAnsi="Arial"/>
                <w:sz w:val="16"/>
                <w:szCs w:val="16"/>
                <w:color w:val="auto"/>
              </w:rPr>
              <w:t>710,695</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15,611</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(48,421)</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677,885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772,737</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1,564</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(107,377)</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666,924</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Negotiable certificates of deposit</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ind w:left="160"/>
              <w:spacing w:after="0"/>
              <w:rPr>
                <w:sz w:val="20"/>
                <w:szCs w:val="20"/>
                <w:color w:val="auto"/>
              </w:rPr>
            </w:pPr>
            <w:r>
              <w:rPr>
                <w:rFonts w:ascii="Arial" w:cs="Arial" w:eastAsia="Arial" w:hAnsi="Arial"/>
                <w:sz w:val="16"/>
                <w:szCs w:val="16"/>
                <w:color w:val="auto"/>
              </w:rPr>
              <w:t>(v)</w:t>
            </w:r>
          </w:p>
        </w:tc>
        <w:tc>
          <w:tcPr>
            <w:tcW w:w="920" w:type="dxa"/>
            <w:vAlign w:val="bottom"/>
          </w:tcPr>
          <w:p>
            <w:pPr>
              <w:jc w:val="right"/>
              <w:spacing w:after="0"/>
              <w:rPr>
                <w:sz w:val="20"/>
                <w:szCs w:val="20"/>
                <w:color w:val="auto"/>
              </w:rPr>
            </w:pPr>
            <w:r>
              <w:rPr>
                <w:rFonts w:ascii="Arial" w:cs="Arial" w:eastAsia="Arial" w:hAnsi="Arial"/>
                <w:sz w:val="16"/>
                <w:szCs w:val="16"/>
                <w:color w:val="auto"/>
              </w:rPr>
              <w:t>458,503</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6,501</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(2,368)</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462,636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577,286</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9,988</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(1,516)</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585,758</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Subordinated bonds</w:t>
            </w:r>
          </w:p>
        </w:tc>
        <w:tc>
          <w:tcPr>
            <w:tcW w:w="920" w:type="dxa"/>
            <w:vAlign w:val="bottom"/>
          </w:tcPr>
          <w:p>
            <w:pPr>
              <w:jc w:val="right"/>
              <w:spacing w:after="0"/>
              <w:rPr>
                <w:sz w:val="20"/>
                <w:szCs w:val="20"/>
                <w:color w:val="auto"/>
              </w:rPr>
            </w:pPr>
            <w:r>
              <w:rPr>
                <w:rFonts w:ascii="Arial" w:cs="Arial" w:eastAsia="Arial" w:hAnsi="Arial"/>
                <w:sz w:val="16"/>
                <w:szCs w:val="16"/>
                <w:color w:val="auto"/>
              </w:rPr>
              <w:t>282,368</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2,243</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(6,793)</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277,818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377,111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462</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(17,467)</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360,106</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20"/>
                <w:szCs w:val="20"/>
                <w:color w:val="auto"/>
              </w:rPr>
            </w:pPr>
            <w:r>
              <w:rPr>
                <w:rFonts w:ascii="Arial" w:cs="Arial" w:eastAsia="Arial" w:hAnsi="Arial"/>
                <w:sz w:val="16"/>
                <w:szCs w:val="16"/>
                <w:color w:val="auto"/>
              </w:rPr>
              <w:t>Others</w:t>
            </w:r>
          </w:p>
        </w:tc>
        <w:tc>
          <w:tcPr>
            <w:tcW w:w="920" w:type="dxa"/>
            <w:vAlign w:val="bottom"/>
          </w:tcPr>
          <w:p>
            <w:pPr>
              <w:jc w:val="right"/>
              <w:spacing w:after="0"/>
              <w:rPr>
                <w:sz w:val="20"/>
                <w:szCs w:val="20"/>
                <w:color w:val="auto"/>
              </w:rPr>
            </w:pPr>
            <w:r>
              <w:rPr>
                <w:rFonts w:ascii="Arial" w:cs="Arial" w:eastAsia="Arial" w:hAnsi="Arial"/>
                <w:sz w:val="16"/>
                <w:szCs w:val="16"/>
                <w:color w:val="auto"/>
              </w:rPr>
              <w:t>340,867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340,338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117,123</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958</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(6,831)</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111,250</w:t>
            </w:r>
          </w:p>
        </w:tc>
        <w:tc>
          <w:tcPr>
            <w:tcW w:w="0" w:type="dxa"/>
            <w:vAlign w:val="bottom"/>
          </w:tcPr>
          <w:p>
            <w:pPr>
              <w:spacing w:after="0"/>
              <w:rPr>
                <w:sz w:val="1"/>
                <w:szCs w:val="1"/>
                <w:color w:val="auto"/>
              </w:rPr>
            </w:pPr>
          </w:p>
        </w:tc>
      </w:tr>
      <w:tr>
        <w:trPr>
          <w:trHeight w:val="208"/>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Equity instruments designated</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36,747,160</w:t>
            </w: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399,153</w:t>
            </w: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(910,679)</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36,235,634</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31,918,694</w:t>
            </w: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134,964</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(2,000,732)</w:t>
            </w: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30,052,926</w:t>
            </w:r>
          </w:p>
        </w:tc>
        <w:tc>
          <w:tcPr>
            <w:tcW w:w="0" w:type="dxa"/>
            <w:vAlign w:val="bottom"/>
          </w:tcPr>
          <w:p>
            <w:pPr>
              <w:spacing w:after="0"/>
              <w:rPr>
                <w:sz w:val="1"/>
                <w:szCs w:val="1"/>
                <w:color w:val="auto"/>
              </w:rPr>
            </w:pPr>
          </w:p>
        </w:tc>
      </w:tr>
      <w:tr>
        <w:trPr>
          <w:trHeight w:val="134"/>
        </w:trPr>
        <w:tc>
          <w:tcPr>
            <w:tcW w:w="26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160"/>
              <w:spacing w:after="0"/>
              <w:rPr>
                <w:sz w:val="20"/>
                <w:szCs w:val="20"/>
                <w:color w:val="auto"/>
              </w:rPr>
            </w:pPr>
            <w:r>
              <w:rPr>
                <w:rFonts w:ascii="Arial" w:cs="Arial" w:eastAsia="Arial" w:hAnsi="Arial"/>
                <w:sz w:val="16"/>
                <w:szCs w:val="16"/>
                <w:b w:val="1"/>
                <w:bCs w:val="1"/>
                <w:color w:val="auto"/>
              </w:rPr>
              <w:t>at the initial recognition</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620" w:type="dxa"/>
            <w:vAlign w:val="bottom"/>
          </w:tcPr>
          <w:p>
            <w:pPr>
              <w:spacing w:after="0"/>
              <w:rPr>
                <w:sz w:val="20"/>
                <w:szCs w:val="20"/>
                <w:color w:val="auto"/>
              </w:rPr>
            </w:pPr>
            <w:r>
              <w:rPr>
                <w:rFonts w:ascii="Arial" w:cs="Arial" w:eastAsia="Arial" w:hAnsi="Arial"/>
                <w:sz w:val="16"/>
                <w:szCs w:val="16"/>
                <w:b w:val="1"/>
                <w:bCs w:val="1"/>
                <w:color w:val="auto"/>
              </w:rPr>
              <w:t>Shares issued by:</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Alicorp S.A.A.</w:t>
            </w:r>
          </w:p>
        </w:tc>
        <w:tc>
          <w:tcPr>
            <w:tcW w:w="920" w:type="dxa"/>
            <w:vAlign w:val="bottom"/>
          </w:tcPr>
          <w:p>
            <w:pPr>
              <w:jc w:val="right"/>
              <w:spacing w:after="0"/>
              <w:rPr>
                <w:sz w:val="20"/>
                <w:szCs w:val="20"/>
                <w:color w:val="auto"/>
              </w:rPr>
            </w:pPr>
            <w:r>
              <w:rPr>
                <w:rFonts w:ascii="Arial" w:cs="Arial" w:eastAsia="Arial" w:hAnsi="Arial"/>
                <w:sz w:val="16"/>
                <w:szCs w:val="16"/>
                <w:color w:val="auto"/>
              </w:rPr>
              <w:t>12,197</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134,185</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146,382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12,197</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144,641</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156,838</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Inversiones Centenario</w:t>
            </w:r>
          </w:p>
        </w:tc>
        <w:tc>
          <w:tcPr>
            <w:tcW w:w="920" w:type="dxa"/>
            <w:vAlign w:val="bottom"/>
          </w:tcPr>
          <w:p>
            <w:pPr>
              <w:jc w:val="right"/>
              <w:spacing w:after="0"/>
              <w:rPr>
                <w:sz w:val="20"/>
                <w:szCs w:val="20"/>
                <w:color w:val="auto"/>
              </w:rPr>
            </w:pPr>
            <w:r>
              <w:rPr>
                <w:rFonts w:ascii="Arial" w:cs="Arial" w:eastAsia="Arial" w:hAnsi="Arial"/>
                <w:sz w:val="16"/>
                <w:szCs w:val="16"/>
                <w:color w:val="auto"/>
              </w:rPr>
              <w:t>112,647</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23,214</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135,861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112,647</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14,158</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126,805</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Holding Bursatil Chilena S.A.</w:t>
            </w:r>
          </w:p>
        </w:tc>
        <w:tc>
          <w:tcPr>
            <w:tcW w:w="920" w:type="dxa"/>
            <w:vAlign w:val="bottom"/>
          </w:tcPr>
          <w:p>
            <w:pPr>
              <w:jc w:val="right"/>
              <w:spacing w:after="0"/>
              <w:rPr>
                <w:sz w:val="20"/>
                <w:szCs w:val="20"/>
                <w:color w:val="auto"/>
              </w:rPr>
            </w:pPr>
            <w:r>
              <w:rPr>
                <w:rFonts w:ascii="Arial" w:cs="Arial" w:eastAsia="Arial" w:hAnsi="Arial"/>
                <w:sz w:val="16"/>
                <w:szCs w:val="16"/>
                <w:color w:val="auto"/>
              </w:rPr>
              <w:t>20,457</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18,696</w:t>
            </w:r>
          </w:p>
        </w:tc>
        <w:tc>
          <w:tcPr>
            <w:tcW w:w="1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Holding Bursatil Regional S.A.</w:t>
            </w:r>
          </w:p>
        </w:tc>
        <w:tc>
          <w:tcPr>
            <w:tcW w:w="920" w:type="dxa"/>
            <w:vAlign w:val="bottom"/>
          </w:tcPr>
          <w:p>
            <w:pPr>
              <w:jc w:val="right"/>
              <w:spacing w:after="0"/>
              <w:rPr>
                <w:sz w:val="20"/>
                <w:szCs w:val="20"/>
                <w:color w:val="auto"/>
              </w:rPr>
            </w:pPr>
            <w:r>
              <w:rPr>
                <w:rFonts w:ascii="Arial" w:cs="Arial" w:eastAsia="Arial" w:hAnsi="Arial"/>
                <w:sz w:val="16"/>
                <w:szCs w:val="16"/>
                <w:color w:val="auto"/>
              </w:rPr>
              <w:t>20,599</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(2,318)</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18,281</w:t>
            </w:r>
          </w:p>
        </w:tc>
        <w:tc>
          <w:tcPr>
            <w:tcW w:w="1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Corporación Andina de Fomento</w:t>
            </w:r>
          </w:p>
        </w:tc>
        <w:tc>
          <w:tcPr>
            <w:tcW w:w="920" w:type="dxa"/>
            <w:vAlign w:val="bottom"/>
          </w:tcPr>
          <w:p>
            <w:pPr>
              <w:jc w:val="right"/>
              <w:spacing w:after="0"/>
              <w:rPr>
                <w:sz w:val="20"/>
                <w:szCs w:val="20"/>
                <w:color w:val="auto"/>
              </w:rPr>
            </w:pPr>
            <w:r>
              <w:rPr>
                <w:rFonts w:ascii="Arial" w:cs="Arial" w:eastAsia="Arial" w:hAnsi="Arial"/>
                <w:sz w:val="16"/>
                <w:szCs w:val="16"/>
                <w:color w:val="auto"/>
              </w:rPr>
              <w:t>4,441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776</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5,217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4,441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930</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5,371</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Compañía Universal Textil S.A.</w:t>
            </w:r>
          </w:p>
        </w:tc>
        <w:tc>
          <w:tcPr>
            <w:tcW w:w="920" w:type="dxa"/>
            <w:vAlign w:val="bottom"/>
          </w:tcPr>
          <w:p>
            <w:pPr>
              <w:jc w:val="right"/>
              <w:spacing w:after="0"/>
              <w:rPr>
                <w:sz w:val="20"/>
                <w:szCs w:val="20"/>
                <w:color w:val="auto"/>
              </w:rPr>
            </w:pPr>
            <w:r>
              <w:rPr>
                <w:rFonts w:ascii="Arial" w:cs="Arial" w:eastAsia="Arial" w:hAnsi="Arial"/>
                <w:sz w:val="16"/>
                <w:szCs w:val="16"/>
                <w:color w:val="auto"/>
              </w:rPr>
              <w:t>6,195</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(2,415)</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3,780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9,597</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(3,191)</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6,406</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Bolsa de Valores de Colombia</w:t>
            </w: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3,541</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(1,152)</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2,389</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Bolsa de Valores de Lima</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18,367</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6,632</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24,999</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Bolsa de Comercio de Santiago</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3,995</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4,006</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8,001</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Pagos Digitales Peruanos S.A.</w:t>
            </w:r>
          </w:p>
        </w:tc>
        <w:tc>
          <w:tcPr>
            <w:tcW w:w="920" w:type="dxa"/>
            <w:vAlign w:val="bottom"/>
          </w:tcPr>
          <w:p>
            <w:pPr>
              <w:jc w:val="right"/>
              <w:spacing w:after="0"/>
              <w:rPr>
                <w:sz w:val="20"/>
                <w:szCs w:val="20"/>
                <w:color w:val="auto"/>
              </w:rPr>
            </w:pPr>
            <w:r>
              <w:rPr>
                <w:rFonts w:ascii="Arial" w:cs="Arial" w:eastAsia="Arial" w:hAnsi="Arial"/>
                <w:sz w:val="16"/>
                <w:szCs w:val="16"/>
                <w:color w:val="auto"/>
              </w:rPr>
              <w:t>5,611</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(5,611)</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5,611</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(5,611)</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20"/>
                <w:szCs w:val="20"/>
                <w:color w:val="auto"/>
              </w:rPr>
            </w:pPr>
            <w:r>
              <w:rPr>
                <w:rFonts w:ascii="Arial" w:cs="Arial" w:eastAsia="Arial" w:hAnsi="Arial"/>
                <w:sz w:val="16"/>
                <w:szCs w:val="16"/>
                <w:color w:val="auto"/>
              </w:rPr>
              <w:t>Others</w:t>
            </w:r>
          </w:p>
        </w:tc>
        <w:tc>
          <w:tcPr>
            <w:tcW w:w="920" w:type="dxa"/>
            <w:vAlign w:val="bottom"/>
          </w:tcPr>
          <w:p>
            <w:pPr>
              <w:jc w:val="right"/>
              <w:spacing w:after="0"/>
              <w:rPr>
                <w:sz w:val="20"/>
                <w:szCs w:val="20"/>
                <w:color w:val="auto"/>
              </w:rPr>
            </w:pPr>
            <w:r>
              <w:rPr>
                <w:rFonts w:ascii="Arial" w:cs="Arial" w:eastAsia="Arial" w:hAnsi="Arial"/>
                <w:sz w:val="16"/>
                <w:szCs w:val="16"/>
                <w:color w:val="auto"/>
              </w:rPr>
              <w:t>3,522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2,906</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6,403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2,844</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3,392</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5,546</w:t>
            </w: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185,702</w:t>
            </w: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161,081</w:t>
            </w: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(11,981)</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334,802</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173,240</w:t>
            </w: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173,759</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(10,644)</w:t>
            </w: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336,355</w:t>
            </w:r>
          </w:p>
        </w:tc>
        <w:tc>
          <w:tcPr>
            <w:tcW w:w="0" w:type="dxa"/>
            <w:vAlign w:val="bottom"/>
          </w:tcPr>
          <w:p>
            <w:pPr>
              <w:spacing w:after="0"/>
              <w:rPr>
                <w:sz w:val="1"/>
                <w:szCs w:val="1"/>
                <w:color w:val="auto"/>
              </w:rPr>
            </w:pPr>
          </w:p>
        </w:tc>
      </w:tr>
      <w:tr>
        <w:trPr>
          <w:trHeight w:val="151"/>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Balance before accrued</w:t>
            </w: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620" w:type="dxa"/>
            <w:vAlign w:val="bottom"/>
          </w:tcPr>
          <w:p>
            <w:pPr>
              <w:ind w:left="160"/>
              <w:spacing w:after="0"/>
              <w:rPr>
                <w:sz w:val="20"/>
                <w:szCs w:val="20"/>
                <w:color w:val="auto"/>
              </w:rPr>
            </w:pPr>
            <w:r>
              <w:rPr>
                <w:rFonts w:ascii="Arial" w:cs="Arial" w:eastAsia="Arial" w:hAnsi="Arial"/>
                <w:sz w:val="16"/>
                <w:szCs w:val="16"/>
                <w:b w:val="1"/>
                <w:bCs w:val="1"/>
                <w:color w:val="auto"/>
              </w:rPr>
              <w:t>interest</w:t>
            </w:r>
          </w:p>
        </w:tc>
        <w:tc>
          <w:tcPr>
            <w:tcW w:w="920" w:type="dxa"/>
            <w:vAlign w:val="bottom"/>
          </w:tcPr>
          <w:p>
            <w:pPr>
              <w:jc w:val="right"/>
              <w:spacing w:after="0"/>
              <w:rPr>
                <w:sz w:val="20"/>
                <w:szCs w:val="20"/>
                <w:color w:val="auto"/>
              </w:rPr>
            </w:pPr>
            <w:r>
              <w:rPr>
                <w:rFonts w:ascii="Arial" w:cs="Arial" w:eastAsia="Arial" w:hAnsi="Arial"/>
                <w:sz w:val="16"/>
                <w:szCs w:val="16"/>
                <w:color w:val="auto"/>
              </w:rPr>
              <w:t>36,932,862</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560,234</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(922,660)</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36,570,436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32,091,934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308,723</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(2,011,376)</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30,389,281</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20"/>
                <w:szCs w:val="20"/>
                <w:color w:val="auto"/>
              </w:rPr>
            </w:pPr>
            <w:r>
              <w:rPr>
                <w:rFonts w:ascii="Arial" w:cs="Arial" w:eastAsia="Arial" w:hAnsi="Arial"/>
                <w:sz w:val="16"/>
                <w:szCs w:val="16"/>
                <w:color w:val="auto"/>
              </w:rPr>
              <w:t>Accrued interest</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473,504</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396,880</w:t>
            </w:r>
          </w:p>
        </w:tc>
        <w:tc>
          <w:tcPr>
            <w:tcW w:w="0" w:type="dxa"/>
            <w:vAlign w:val="bottom"/>
          </w:tcPr>
          <w:p>
            <w:pPr>
              <w:spacing w:after="0"/>
              <w:rPr>
                <w:sz w:val="1"/>
                <w:szCs w:val="1"/>
                <w:color w:val="auto"/>
              </w:rPr>
            </w:pPr>
          </w:p>
        </w:tc>
      </w:tr>
      <w:tr>
        <w:trPr>
          <w:trHeight w:val="180"/>
        </w:trPr>
        <w:tc>
          <w:tcPr>
            <w:tcW w:w="262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37,043,940</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30,786,161</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variation in the fair value of the investments is mainly due to the decrease in interest rates in soles and in foreign currency, which positively affected the investment portfolios at fair value with changes in other comprehensive income as of December 31, 2023. Credicorp’s management has determined that the unrealized losses of investments at fair value through other comprehensive income as of December 31, 2023 and December 31, 2022 are of a temporal nature; considering factors such as the planned strategy in relation to the security or portfolio identified, the related guarantee and the credit rating of the issuers. During 2023, as a result of the evaluation of the impairment loss of investments at fair value with changes in other comprehensive income, the Group has recorded a provision for credit loss of S/4.3 million (provision for credit loss of S/58.3 million ended December 31, 2022), which is presented in the caption “Net gain in securities”, see note 21 of the consolidated statement of income. Furthermore, Management has decided and has the ability to hold each of these investments for a period of time to allow an early recovery in fair value, even before their sufficient recovery or maturity.</w:t>
      </w:r>
    </w:p>
    <w:p>
      <w:pPr>
        <w:spacing w:after="0" w:line="308"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41275</wp:posOffset>
            </wp:positionV>
            <wp:extent cx="714565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80"/>
          </w:cols>
          <w:pgMar w:left="900" w:top="124" w:right="31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The maturities and annual market rates of investments at fair value through other comprehensive income during 2023 and 2022,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Maturities</w:t>
            </w:r>
          </w:p>
        </w:tc>
        <w:tc>
          <w:tcPr>
            <w:tcW w:w="9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Annual effective interest rate</w:t>
            </w: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r>
      <w:tr>
        <w:trPr>
          <w:trHeight w:val="139"/>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ind w:left="40"/>
              <w:spacing w:after="0" w:line="139" w:lineRule="exact"/>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2"/>
                <w:szCs w:val="12"/>
                <w:color w:val="auto"/>
              </w:rPr>
            </w:pPr>
          </w:p>
        </w:tc>
        <w:tc>
          <w:tcPr>
            <w:tcW w:w="960" w:type="dxa"/>
            <w:vAlign w:val="bottom"/>
            <w:tcBorders>
              <w:bottom w:val="single" w:sz="8" w:color="auto"/>
            </w:tcBorders>
          </w:tcPr>
          <w:p>
            <w:pPr>
              <w:ind w:left="40"/>
              <w:spacing w:after="0" w:line="139" w:lineRule="exact"/>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2"/>
                <w:szCs w:val="12"/>
                <w:color w:val="auto"/>
              </w:rPr>
            </w:pPr>
          </w:p>
        </w:tc>
        <w:tc>
          <w:tcPr>
            <w:tcW w:w="540" w:type="dxa"/>
            <w:vAlign w:val="bottom"/>
            <w:tcBorders>
              <w:bottom w:val="single" w:sz="8" w:color="auto"/>
            </w:tcBorders>
          </w:tcPr>
          <w:p>
            <w:pPr>
              <w:ind w:left="40"/>
              <w:spacing w:after="0" w:line="139" w:lineRule="exact"/>
              <w:rPr>
                <w:sz w:val="20"/>
                <w:szCs w:val="20"/>
                <w:color w:val="auto"/>
              </w:rPr>
            </w:pPr>
            <w:r>
              <w:rPr>
                <w:rFonts w:ascii="Arial" w:cs="Arial" w:eastAsia="Arial" w:hAnsi="Arial"/>
                <w:sz w:val="13"/>
                <w:szCs w:val="13"/>
                <w:b w:val="1"/>
                <w:bCs w:val="1"/>
                <w:color w:val="auto"/>
              </w:rPr>
              <w:t>2023</w:t>
            </w: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ind w:left="60"/>
              <w:spacing w:after="0" w:line="139" w:lineRule="exact"/>
              <w:rPr>
                <w:sz w:val="20"/>
                <w:szCs w:val="20"/>
                <w:color w:val="auto"/>
              </w:rPr>
            </w:pPr>
            <w:r>
              <w:rPr>
                <w:rFonts w:ascii="Arial" w:cs="Arial" w:eastAsia="Arial" w:hAnsi="Arial"/>
                <w:sz w:val="13"/>
                <w:szCs w:val="13"/>
                <w:b w:val="1"/>
                <w:bCs w:val="1"/>
                <w:color w:val="auto"/>
              </w:rPr>
              <w:t>2022</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r>
      <w:tr>
        <w:trPr>
          <w:trHeight w:val="131"/>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ind w:left="40"/>
              <w:spacing w:after="0" w:line="131" w:lineRule="exact"/>
              <w:rPr>
                <w:sz w:val="20"/>
                <w:szCs w:val="20"/>
                <w:color w:val="auto"/>
              </w:rPr>
            </w:pPr>
            <w:r>
              <w:rPr>
                <w:rFonts w:ascii="Arial" w:cs="Arial" w:eastAsia="Arial" w:hAnsi="Arial"/>
                <w:sz w:val="13"/>
                <w:szCs w:val="13"/>
                <w:b w:val="1"/>
                <w:bCs w:val="1"/>
                <w:color w:val="auto"/>
              </w:rPr>
              <w:t>Other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60"/>
              <w:spacing w:after="0" w:line="131" w:lineRule="exact"/>
              <w:rPr>
                <w:sz w:val="20"/>
                <w:szCs w:val="20"/>
                <w:color w:val="auto"/>
              </w:rPr>
            </w:pPr>
            <w:r>
              <w:rPr>
                <w:rFonts w:ascii="Arial" w:cs="Arial" w:eastAsia="Arial" w:hAnsi="Arial"/>
                <w:sz w:val="13"/>
                <w:szCs w:val="13"/>
                <w:b w:val="1"/>
                <w:bCs w:val="1"/>
                <w:color w:val="auto"/>
              </w:rPr>
              <w:t>Other</w:t>
            </w:r>
          </w:p>
        </w:tc>
        <w:tc>
          <w:tcPr>
            <w:tcW w:w="480" w:type="dxa"/>
            <w:vAlign w:val="bottom"/>
          </w:tcPr>
          <w:p>
            <w:pPr>
              <w:spacing w:after="0"/>
              <w:rPr>
                <w:sz w:val="11"/>
                <w:szCs w:val="11"/>
                <w:color w:val="auto"/>
              </w:rPr>
            </w:pPr>
          </w:p>
        </w:tc>
      </w:tr>
      <w:tr>
        <w:trPr>
          <w:trHeight w:val="154"/>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rPr>
              <w:t>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Arial" w:cs="Arial" w:eastAsia="Arial" w:hAnsi="Arial"/>
                <w:sz w:val="13"/>
                <w:szCs w:val="13"/>
                <w:b w:val="1"/>
                <w:bCs w:val="1"/>
                <w:color w:val="auto"/>
              </w:rPr>
              <w:t>US$</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auto"/>
              </w:rPr>
              <w:t>currencies</w:t>
            </w:r>
          </w:p>
        </w:tc>
        <w:tc>
          <w:tcPr>
            <w:tcW w:w="440" w:type="dxa"/>
            <w:vAlign w:val="bottom"/>
          </w:tcPr>
          <w:p>
            <w:pPr>
              <w:ind w:left="60"/>
              <w:spacing w:after="0"/>
              <w:rPr>
                <w:sz w:val="20"/>
                <w:szCs w:val="20"/>
                <w:color w:val="auto"/>
              </w:rPr>
            </w:pPr>
            <w:r>
              <w:rPr>
                <w:rFonts w:ascii="Arial" w:cs="Arial" w:eastAsia="Arial" w:hAnsi="Arial"/>
                <w:sz w:val="13"/>
                <w:szCs w:val="13"/>
                <w:b w:val="1"/>
                <w:bCs w:val="1"/>
                <w:color w:val="auto"/>
              </w:rPr>
              <w:t>S/</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Arial" w:cs="Arial" w:eastAsia="Arial" w:hAnsi="Arial"/>
                <w:sz w:val="13"/>
                <w:szCs w:val="13"/>
                <w:b w:val="1"/>
                <w:bCs w:val="1"/>
                <w:color w:val="auto"/>
              </w:rPr>
              <w:t>US$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currencies</w:t>
            </w:r>
          </w:p>
        </w:tc>
      </w:tr>
      <w:tr>
        <w:trPr>
          <w:trHeight w:val="131"/>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Min</w:t>
            </w:r>
          </w:p>
        </w:tc>
        <w:tc>
          <w:tcPr>
            <w:tcW w:w="50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b w:val="1"/>
                <w:bCs w:val="1"/>
                <w:color w:val="auto"/>
              </w:rPr>
              <w:t>Max</w:t>
            </w:r>
          </w:p>
        </w:tc>
        <w:tc>
          <w:tcPr>
            <w:tcW w:w="140" w:type="dxa"/>
            <w:vAlign w:val="bottom"/>
          </w:tcPr>
          <w:p>
            <w:pPr>
              <w:spacing w:after="0"/>
              <w:rPr>
                <w:sz w:val="11"/>
                <w:szCs w:val="11"/>
                <w:color w:val="auto"/>
              </w:rPr>
            </w:pPr>
          </w:p>
        </w:tc>
        <w:tc>
          <w:tcPr>
            <w:tcW w:w="4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Min</w:t>
            </w:r>
          </w:p>
        </w:tc>
        <w:tc>
          <w:tcPr>
            <w:tcW w:w="56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Max</w:t>
            </w:r>
          </w:p>
        </w:tc>
        <w:tc>
          <w:tcPr>
            <w:tcW w:w="140" w:type="dxa"/>
            <w:vAlign w:val="bottom"/>
          </w:tcPr>
          <w:p>
            <w:pPr>
              <w:spacing w:after="0"/>
              <w:rPr>
                <w:sz w:val="11"/>
                <w:szCs w:val="11"/>
                <w:color w:val="auto"/>
              </w:rPr>
            </w:pPr>
          </w:p>
        </w:tc>
        <w:tc>
          <w:tcPr>
            <w:tcW w:w="4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Min</w:t>
            </w:r>
          </w:p>
        </w:tc>
        <w:tc>
          <w:tcPr>
            <w:tcW w:w="4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b w:val="1"/>
                <w:bCs w:val="1"/>
                <w:color w:val="auto"/>
              </w:rPr>
              <w:t>Max</w:t>
            </w:r>
          </w:p>
        </w:tc>
        <w:tc>
          <w:tcPr>
            <w:tcW w:w="120" w:type="dxa"/>
            <w:vAlign w:val="bottom"/>
          </w:tcPr>
          <w:p>
            <w:pPr>
              <w:spacing w:after="0"/>
              <w:rPr>
                <w:sz w:val="11"/>
                <w:szCs w:val="11"/>
                <w:color w:val="auto"/>
              </w:rPr>
            </w:pPr>
          </w:p>
        </w:tc>
        <w:tc>
          <w:tcPr>
            <w:tcW w:w="4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Min</w:t>
            </w:r>
          </w:p>
        </w:tc>
        <w:tc>
          <w:tcPr>
            <w:tcW w:w="48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Max</w:t>
            </w:r>
          </w:p>
        </w:tc>
        <w:tc>
          <w:tcPr>
            <w:tcW w:w="140" w:type="dxa"/>
            <w:vAlign w:val="bottom"/>
          </w:tcPr>
          <w:p>
            <w:pPr>
              <w:spacing w:after="0"/>
              <w:rPr>
                <w:sz w:val="11"/>
                <w:szCs w:val="11"/>
                <w:color w:val="auto"/>
              </w:rPr>
            </w:pPr>
          </w:p>
        </w:tc>
        <w:tc>
          <w:tcPr>
            <w:tcW w:w="4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Min</w:t>
            </w:r>
          </w:p>
        </w:tc>
        <w:tc>
          <w:tcPr>
            <w:tcW w:w="50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b w:val="1"/>
                <w:bCs w:val="1"/>
                <w:color w:val="auto"/>
              </w:rPr>
              <w:t>Max</w:t>
            </w:r>
          </w:p>
        </w:tc>
        <w:tc>
          <w:tcPr>
            <w:tcW w:w="120" w:type="dxa"/>
            <w:vAlign w:val="bottom"/>
          </w:tcPr>
          <w:p>
            <w:pPr>
              <w:spacing w:after="0"/>
              <w:rPr>
                <w:sz w:val="11"/>
                <w:szCs w:val="11"/>
                <w:color w:val="auto"/>
              </w:rPr>
            </w:pPr>
          </w:p>
        </w:tc>
        <w:tc>
          <w:tcPr>
            <w:tcW w:w="5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Min</w:t>
            </w:r>
          </w:p>
        </w:tc>
        <w:tc>
          <w:tcPr>
            <w:tcW w:w="48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Max</w:t>
            </w:r>
          </w:p>
        </w:tc>
      </w:tr>
      <w:tr>
        <w:trPr>
          <w:trHeight w:val="178"/>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4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4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ind w:left="100"/>
              <w:spacing w:after="0"/>
              <w:rPr>
                <w:sz w:val="20"/>
                <w:szCs w:val="20"/>
                <w:color w:val="auto"/>
              </w:rPr>
            </w:pPr>
            <w:r>
              <w:rPr>
                <w:rFonts w:ascii="Arial" w:cs="Arial" w:eastAsia="Arial" w:hAnsi="Arial"/>
                <w:sz w:val="13"/>
                <w:szCs w:val="13"/>
                <w:b w:val="1"/>
                <w:bCs w:val="1"/>
                <w:color w:val="auto"/>
              </w:rPr>
              <w:t>%</w:t>
            </w:r>
          </w:p>
        </w:tc>
      </w:tr>
      <w:tr>
        <w:trPr>
          <w:trHeight w:val="262"/>
        </w:trPr>
        <w:tc>
          <w:tcPr>
            <w:tcW w:w="1580" w:type="dxa"/>
            <w:vAlign w:val="bottom"/>
          </w:tcPr>
          <w:p>
            <w:pPr>
              <w:spacing w:after="0"/>
              <w:rPr>
                <w:sz w:val="20"/>
                <w:szCs w:val="20"/>
                <w:color w:val="auto"/>
              </w:rPr>
            </w:pPr>
            <w:r>
              <w:rPr>
                <w:rFonts w:ascii="Arial" w:cs="Arial" w:eastAsia="Arial" w:hAnsi="Arial"/>
                <w:sz w:val="13"/>
                <w:szCs w:val="13"/>
                <w:color w:val="auto"/>
              </w:rPr>
              <w:t>Corporate bonds</w:t>
            </w:r>
          </w:p>
        </w:tc>
        <w:tc>
          <w:tcPr>
            <w:tcW w:w="1260" w:type="dxa"/>
            <w:vAlign w:val="bottom"/>
            <w:gridSpan w:val="3"/>
          </w:tcPr>
          <w:p>
            <w:pPr>
              <w:ind w:left="100"/>
              <w:spacing w:after="0"/>
              <w:rPr>
                <w:sz w:val="20"/>
                <w:szCs w:val="20"/>
                <w:color w:val="auto"/>
              </w:rPr>
            </w:pPr>
            <w:r>
              <w:rPr>
                <w:rFonts w:ascii="Arial" w:cs="Arial" w:eastAsia="Arial" w:hAnsi="Arial"/>
                <w:sz w:val="13"/>
                <w:szCs w:val="13"/>
                <w:color w:val="auto"/>
              </w:rPr>
              <w:t>Jan-2024 / Nov-</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Jan-2023 /</w:t>
            </w: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147"/>
        </w:trPr>
        <w:tc>
          <w:tcPr>
            <w:tcW w:w="158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2095</w:t>
            </w:r>
          </w:p>
        </w:tc>
        <w:tc>
          <w:tcPr>
            <w:tcW w:w="14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Nov-2095</w:t>
            </w:r>
          </w:p>
        </w:tc>
        <w:tc>
          <w:tcPr>
            <w:tcW w:w="5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3.17</w:t>
            </w: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18.23</w:t>
            </w:r>
          </w:p>
        </w:tc>
        <w:tc>
          <w:tcPr>
            <w:tcW w:w="140" w:type="dxa"/>
            <w:vAlign w:val="bottom"/>
          </w:tcPr>
          <w:p>
            <w:pPr>
              <w:spacing w:after="0"/>
              <w:rPr>
                <w:sz w:val="12"/>
                <w:szCs w:val="12"/>
                <w:color w:val="auto"/>
              </w:rPr>
            </w:pPr>
          </w:p>
        </w:tc>
        <w:tc>
          <w:tcPr>
            <w:tcW w:w="4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2.26</w:t>
            </w:r>
          </w:p>
        </w:tc>
        <w:tc>
          <w:tcPr>
            <w:tcW w:w="560" w:type="dxa"/>
            <w:vAlign w:val="bottom"/>
          </w:tcPr>
          <w:p>
            <w:pPr>
              <w:jc w:val="right"/>
              <w:spacing w:after="0" w:line="147" w:lineRule="exact"/>
              <w:rPr>
                <w:sz w:val="20"/>
                <w:szCs w:val="20"/>
                <w:color w:val="auto"/>
              </w:rPr>
            </w:pPr>
            <w:r>
              <w:rPr>
                <w:rFonts w:ascii="Arial" w:cs="Arial" w:eastAsia="Arial" w:hAnsi="Arial"/>
                <w:sz w:val="13"/>
                <w:szCs w:val="13"/>
                <w:color w:val="auto"/>
              </w:rPr>
              <w:t>54.02</w:t>
            </w:r>
          </w:p>
        </w:tc>
        <w:tc>
          <w:tcPr>
            <w:tcW w:w="140" w:type="dxa"/>
            <w:vAlign w:val="bottom"/>
          </w:tcPr>
          <w:p>
            <w:pPr>
              <w:spacing w:after="0"/>
              <w:rPr>
                <w:sz w:val="12"/>
                <w:szCs w:val="12"/>
                <w:color w:val="auto"/>
              </w:rPr>
            </w:pPr>
          </w:p>
        </w:tc>
        <w:tc>
          <w:tcPr>
            <w:tcW w:w="460" w:type="dxa"/>
            <w:vAlign w:val="bottom"/>
          </w:tcPr>
          <w:p>
            <w:pPr>
              <w:jc w:val="right"/>
              <w:ind w:right="95"/>
              <w:spacing w:after="0" w:line="147" w:lineRule="exact"/>
              <w:rPr>
                <w:sz w:val="20"/>
                <w:szCs w:val="20"/>
                <w:color w:val="auto"/>
              </w:rPr>
            </w:pPr>
            <w:r>
              <w:rPr>
                <w:rFonts w:ascii="Arial" w:cs="Arial" w:eastAsia="Arial" w:hAnsi="Arial"/>
                <w:sz w:val="13"/>
                <w:szCs w:val="13"/>
                <w:color w:val="auto"/>
              </w:rPr>
              <w:t>2.98</w:t>
            </w: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auto"/>
              </w:rPr>
              <w:t>15.67</w:t>
            </w:r>
          </w:p>
        </w:tc>
        <w:tc>
          <w:tcPr>
            <w:tcW w:w="120" w:type="dxa"/>
            <w:vAlign w:val="bottom"/>
          </w:tcPr>
          <w:p>
            <w:pPr>
              <w:spacing w:after="0"/>
              <w:rPr>
                <w:sz w:val="12"/>
                <w:szCs w:val="12"/>
                <w:color w:val="auto"/>
              </w:rPr>
            </w:pPr>
          </w:p>
        </w:tc>
        <w:tc>
          <w:tcPr>
            <w:tcW w:w="440" w:type="dxa"/>
            <w:vAlign w:val="bottom"/>
          </w:tcPr>
          <w:p>
            <w:pPr>
              <w:ind w:left="60"/>
              <w:spacing w:after="0" w:line="147" w:lineRule="exact"/>
              <w:rPr>
                <w:sz w:val="20"/>
                <w:szCs w:val="20"/>
                <w:color w:val="auto"/>
              </w:rPr>
            </w:pPr>
            <w:r>
              <w:rPr>
                <w:rFonts w:ascii="Arial" w:cs="Arial" w:eastAsia="Arial" w:hAnsi="Arial"/>
                <w:sz w:val="13"/>
                <w:szCs w:val="13"/>
                <w:color w:val="auto"/>
              </w:rPr>
              <w:t>4.10</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13.45</w:t>
            </w:r>
          </w:p>
        </w:tc>
        <w:tc>
          <w:tcPr>
            <w:tcW w:w="140" w:type="dxa"/>
            <w:vAlign w:val="bottom"/>
          </w:tcPr>
          <w:p>
            <w:pPr>
              <w:spacing w:after="0"/>
              <w:rPr>
                <w:sz w:val="12"/>
                <w:szCs w:val="12"/>
                <w:color w:val="auto"/>
              </w:rPr>
            </w:pPr>
          </w:p>
        </w:tc>
        <w:tc>
          <w:tcPr>
            <w:tcW w:w="4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0.29</w:t>
            </w: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29.61</w:t>
            </w:r>
          </w:p>
        </w:tc>
        <w:tc>
          <w:tcPr>
            <w:tcW w:w="120" w:type="dxa"/>
            <w:vAlign w:val="bottom"/>
          </w:tcPr>
          <w:p>
            <w:pPr>
              <w:spacing w:after="0"/>
              <w:rPr>
                <w:sz w:val="12"/>
                <w:szCs w:val="12"/>
                <w:color w:val="auto"/>
              </w:rPr>
            </w:pPr>
          </w:p>
        </w:tc>
        <w:tc>
          <w:tcPr>
            <w:tcW w:w="500" w:type="dxa"/>
            <w:vAlign w:val="bottom"/>
          </w:tcPr>
          <w:p>
            <w:pPr>
              <w:jc w:val="right"/>
              <w:ind w:right="75"/>
              <w:spacing w:after="0" w:line="147" w:lineRule="exact"/>
              <w:rPr>
                <w:sz w:val="20"/>
                <w:szCs w:val="20"/>
                <w:color w:val="auto"/>
              </w:rPr>
            </w:pPr>
            <w:r>
              <w:rPr>
                <w:rFonts w:ascii="Arial" w:cs="Arial" w:eastAsia="Arial" w:hAnsi="Arial"/>
                <w:sz w:val="13"/>
                <w:szCs w:val="13"/>
                <w:color w:val="auto"/>
              </w:rPr>
              <w:t>2.60</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14.89</w:t>
            </w:r>
          </w:p>
        </w:tc>
      </w:tr>
      <w:tr>
        <w:trPr>
          <w:trHeight w:val="147"/>
        </w:trPr>
        <w:tc>
          <w:tcPr>
            <w:tcW w:w="1580" w:type="dxa"/>
            <w:vAlign w:val="bottom"/>
          </w:tcPr>
          <w:p>
            <w:pPr>
              <w:spacing w:after="0" w:line="147" w:lineRule="exact"/>
              <w:rPr>
                <w:sz w:val="20"/>
                <w:szCs w:val="20"/>
                <w:color w:val="auto"/>
              </w:rPr>
            </w:pPr>
            <w:r>
              <w:rPr>
                <w:rFonts w:ascii="Arial" w:cs="Arial" w:eastAsia="Arial" w:hAnsi="Arial"/>
                <w:sz w:val="13"/>
                <w:szCs w:val="13"/>
                <w:color w:val="auto"/>
              </w:rPr>
              <w:t>Certificates of deposit</w:t>
            </w:r>
          </w:p>
        </w:tc>
        <w:tc>
          <w:tcPr>
            <w:tcW w:w="12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Jan-2024 / Dec-</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Jan-2023 /</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7"/>
        </w:trPr>
        <w:tc>
          <w:tcPr>
            <w:tcW w:w="1580" w:type="dxa"/>
            <w:vAlign w:val="bottom"/>
          </w:tcPr>
          <w:p>
            <w:pPr>
              <w:ind w:left="160"/>
              <w:spacing w:after="0" w:line="147" w:lineRule="exact"/>
              <w:rPr>
                <w:sz w:val="20"/>
                <w:szCs w:val="20"/>
                <w:color w:val="auto"/>
              </w:rPr>
            </w:pPr>
            <w:r>
              <w:rPr>
                <w:rFonts w:ascii="Arial" w:cs="Arial" w:eastAsia="Arial" w:hAnsi="Arial"/>
                <w:sz w:val="13"/>
                <w:szCs w:val="13"/>
                <w:color w:val="auto"/>
              </w:rPr>
              <w:t>BCRP</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2024</w:t>
            </w:r>
          </w:p>
        </w:tc>
        <w:tc>
          <w:tcPr>
            <w:tcW w:w="14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Sep-2023</w:t>
            </w:r>
          </w:p>
        </w:tc>
        <w:tc>
          <w:tcPr>
            <w:tcW w:w="5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5.42</w:t>
            </w: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6.74</w:t>
            </w:r>
          </w:p>
        </w:tc>
        <w:tc>
          <w:tcPr>
            <w:tcW w:w="140" w:type="dxa"/>
            <w:vAlign w:val="bottom"/>
          </w:tcPr>
          <w:p>
            <w:pPr>
              <w:spacing w:after="0"/>
              <w:rPr>
                <w:sz w:val="12"/>
                <w:szCs w:val="12"/>
                <w:color w:val="auto"/>
              </w:rPr>
            </w:pPr>
          </w:p>
        </w:tc>
        <w:tc>
          <w:tcPr>
            <w:tcW w:w="4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460" w:type="dxa"/>
            <w:vAlign w:val="bottom"/>
          </w:tcPr>
          <w:p>
            <w:pPr>
              <w:jc w:val="right"/>
              <w:ind w:right="95"/>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60"/>
              <w:spacing w:after="0" w:line="147" w:lineRule="exact"/>
              <w:rPr>
                <w:sz w:val="20"/>
                <w:szCs w:val="20"/>
                <w:color w:val="auto"/>
              </w:rPr>
            </w:pPr>
            <w:r>
              <w:rPr>
                <w:rFonts w:ascii="Arial" w:cs="Arial" w:eastAsia="Arial" w:hAnsi="Arial"/>
                <w:sz w:val="13"/>
                <w:szCs w:val="13"/>
                <w:color w:val="auto"/>
              </w:rPr>
              <w:t>7.13</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7.48</w:t>
            </w:r>
          </w:p>
        </w:tc>
        <w:tc>
          <w:tcPr>
            <w:tcW w:w="140" w:type="dxa"/>
            <w:vAlign w:val="bottom"/>
          </w:tcPr>
          <w:p>
            <w:pPr>
              <w:spacing w:after="0"/>
              <w:rPr>
                <w:sz w:val="12"/>
                <w:szCs w:val="12"/>
                <w:color w:val="auto"/>
              </w:rPr>
            </w:pPr>
          </w:p>
        </w:tc>
        <w:tc>
          <w:tcPr>
            <w:tcW w:w="4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500" w:type="dxa"/>
            <w:vAlign w:val="bottom"/>
          </w:tcPr>
          <w:p>
            <w:pPr>
              <w:jc w:val="right"/>
              <w:ind w:right="75"/>
              <w:spacing w:after="0" w:line="147"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r>
      <w:tr>
        <w:trPr>
          <w:trHeight w:val="147"/>
        </w:trPr>
        <w:tc>
          <w:tcPr>
            <w:tcW w:w="1580" w:type="dxa"/>
            <w:vAlign w:val="bottom"/>
          </w:tcPr>
          <w:p>
            <w:pPr>
              <w:spacing w:after="0" w:line="147" w:lineRule="exact"/>
              <w:rPr>
                <w:sz w:val="20"/>
                <w:szCs w:val="20"/>
                <w:color w:val="auto"/>
              </w:rPr>
            </w:pPr>
            <w:r>
              <w:rPr>
                <w:rFonts w:ascii="Arial" w:cs="Arial" w:eastAsia="Arial" w:hAnsi="Arial"/>
                <w:sz w:val="13"/>
                <w:szCs w:val="13"/>
                <w:color w:val="auto"/>
              </w:rPr>
              <w:t>Government bonds</w:t>
            </w:r>
          </w:p>
        </w:tc>
        <w:tc>
          <w:tcPr>
            <w:tcW w:w="12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Jan-2024 / Feb-</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Jan-2023 /</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7"/>
        </w:trPr>
        <w:tc>
          <w:tcPr>
            <w:tcW w:w="158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2055</w:t>
            </w:r>
          </w:p>
        </w:tc>
        <w:tc>
          <w:tcPr>
            <w:tcW w:w="14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Feb-2055</w:t>
            </w:r>
          </w:p>
        </w:tc>
        <w:tc>
          <w:tcPr>
            <w:tcW w:w="5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0.90</w:t>
            </w: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6.82</w:t>
            </w:r>
          </w:p>
        </w:tc>
        <w:tc>
          <w:tcPr>
            <w:tcW w:w="140" w:type="dxa"/>
            <w:vAlign w:val="bottom"/>
          </w:tcPr>
          <w:p>
            <w:pPr>
              <w:spacing w:after="0"/>
              <w:rPr>
                <w:sz w:val="12"/>
                <w:szCs w:val="12"/>
                <w:color w:val="auto"/>
              </w:rPr>
            </w:pPr>
          </w:p>
        </w:tc>
        <w:tc>
          <w:tcPr>
            <w:tcW w:w="4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0.92</w:t>
            </w:r>
          </w:p>
        </w:tc>
        <w:tc>
          <w:tcPr>
            <w:tcW w:w="560" w:type="dxa"/>
            <w:vAlign w:val="bottom"/>
          </w:tcPr>
          <w:p>
            <w:pPr>
              <w:jc w:val="right"/>
              <w:spacing w:after="0" w:line="147" w:lineRule="exact"/>
              <w:rPr>
                <w:sz w:val="20"/>
                <w:szCs w:val="20"/>
                <w:color w:val="auto"/>
              </w:rPr>
            </w:pPr>
            <w:r>
              <w:rPr>
                <w:rFonts w:ascii="Arial" w:cs="Arial" w:eastAsia="Arial" w:hAnsi="Arial"/>
                <w:sz w:val="13"/>
                <w:szCs w:val="13"/>
                <w:color w:val="auto"/>
              </w:rPr>
              <w:t>8.89</w:t>
            </w:r>
          </w:p>
        </w:tc>
        <w:tc>
          <w:tcPr>
            <w:tcW w:w="140" w:type="dxa"/>
            <w:vAlign w:val="bottom"/>
          </w:tcPr>
          <w:p>
            <w:pPr>
              <w:spacing w:after="0"/>
              <w:rPr>
                <w:sz w:val="12"/>
                <w:szCs w:val="12"/>
                <w:color w:val="auto"/>
              </w:rPr>
            </w:pPr>
          </w:p>
        </w:tc>
        <w:tc>
          <w:tcPr>
            <w:tcW w:w="460" w:type="dxa"/>
            <w:vAlign w:val="bottom"/>
          </w:tcPr>
          <w:p>
            <w:pPr>
              <w:jc w:val="right"/>
              <w:ind w:right="95"/>
              <w:spacing w:after="0" w:line="147" w:lineRule="exact"/>
              <w:rPr>
                <w:sz w:val="20"/>
                <w:szCs w:val="20"/>
                <w:color w:val="auto"/>
              </w:rPr>
            </w:pPr>
            <w:r>
              <w:rPr>
                <w:rFonts w:ascii="Arial" w:cs="Arial" w:eastAsia="Arial" w:hAnsi="Arial"/>
                <w:sz w:val="13"/>
                <w:szCs w:val="13"/>
                <w:color w:val="auto"/>
              </w:rPr>
              <w:t>4.19</w:t>
            </w: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auto"/>
              </w:rPr>
              <w:t>4.19</w:t>
            </w:r>
          </w:p>
        </w:tc>
        <w:tc>
          <w:tcPr>
            <w:tcW w:w="120" w:type="dxa"/>
            <w:vAlign w:val="bottom"/>
          </w:tcPr>
          <w:p>
            <w:pPr>
              <w:spacing w:after="0"/>
              <w:rPr>
                <w:sz w:val="12"/>
                <w:szCs w:val="12"/>
                <w:color w:val="auto"/>
              </w:rPr>
            </w:pPr>
          </w:p>
        </w:tc>
        <w:tc>
          <w:tcPr>
            <w:tcW w:w="440" w:type="dxa"/>
            <w:vAlign w:val="bottom"/>
          </w:tcPr>
          <w:p>
            <w:pPr>
              <w:ind w:left="60"/>
              <w:spacing w:after="0" w:line="147" w:lineRule="exact"/>
              <w:rPr>
                <w:sz w:val="20"/>
                <w:szCs w:val="20"/>
                <w:color w:val="auto"/>
              </w:rPr>
            </w:pPr>
            <w:r>
              <w:rPr>
                <w:rFonts w:ascii="Arial" w:cs="Arial" w:eastAsia="Arial" w:hAnsi="Arial"/>
                <w:sz w:val="13"/>
                <w:szCs w:val="13"/>
                <w:color w:val="auto"/>
              </w:rPr>
              <w:t>1.87</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8.13</w:t>
            </w:r>
          </w:p>
        </w:tc>
        <w:tc>
          <w:tcPr>
            <w:tcW w:w="140" w:type="dxa"/>
            <w:vAlign w:val="bottom"/>
          </w:tcPr>
          <w:p>
            <w:pPr>
              <w:spacing w:after="0"/>
              <w:rPr>
                <w:sz w:val="12"/>
                <w:szCs w:val="12"/>
                <w:color w:val="auto"/>
              </w:rPr>
            </w:pPr>
          </w:p>
        </w:tc>
        <w:tc>
          <w:tcPr>
            <w:tcW w:w="4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8.19</w:t>
            </w:r>
          </w:p>
        </w:tc>
        <w:tc>
          <w:tcPr>
            <w:tcW w:w="120" w:type="dxa"/>
            <w:vAlign w:val="bottom"/>
          </w:tcPr>
          <w:p>
            <w:pPr>
              <w:spacing w:after="0"/>
              <w:rPr>
                <w:sz w:val="12"/>
                <w:szCs w:val="12"/>
                <w:color w:val="auto"/>
              </w:rPr>
            </w:pPr>
          </w:p>
        </w:tc>
        <w:tc>
          <w:tcPr>
            <w:tcW w:w="500" w:type="dxa"/>
            <w:vAlign w:val="bottom"/>
          </w:tcPr>
          <w:p>
            <w:pPr>
              <w:jc w:val="right"/>
              <w:ind w:right="75"/>
              <w:spacing w:after="0" w:line="147"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r>
      <w:tr>
        <w:trPr>
          <w:trHeight w:val="147"/>
        </w:trPr>
        <w:tc>
          <w:tcPr>
            <w:tcW w:w="1580" w:type="dxa"/>
            <w:vAlign w:val="bottom"/>
          </w:tcPr>
          <w:p>
            <w:pPr>
              <w:spacing w:after="0" w:line="147" w:lineRule="exact"/>
              <w:rPr>
                <w:sz w:val="20"/>
                <w:szCs w:val="20"/>
                <w:color w:val="auto"/>
              </w:rPr>
            </w:pPr>
            <w:r>
              <w:rPr>
                <w:rFonts w:ascii="Arial" w:cs="Arial" w:eastAsia="Arial" w:hAnsi="Arial"/>
                <w:sz w:val="13"/>
                <w:szCs w:val="13"/>
                <w:color w:val="auto"/>
              </w:rPr>
              <w:t>Securitization instruments</w:t>
            </w:r>
          </w:p>
        </w:tc>
        <w:tc>
          <w:tcPr>
            <w:tcW w:w="12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Sep-2025 / Sep-</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Aug-2023 /</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7"/>
        </w:trPr>
        <w:tc>
          <w:tcPr>
            <w:tcW w:w="158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2045</w:t>
            </w:r>
          </w:p>
        </w:tc>
        <w:tc>
          <w:tcPr>
            <w:tcW w:w="14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Sep-2045</w:t>
            </w:r>
          </w:p>
        </w:tc>
        <w:tc>
          <w:tcPr>
            <w:tcW w:w="5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4.11</w:t>
            </w: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29.78</w:t>
            </w:r>
          </w:p>
        </w:tc>
        <w:tc>
          <w:tcPr>
            <w:tcW w:w="140" w:type="dxa"/>
            <w:vAlign w:val="bottom"/>
          </w:tcPr>
          <w:p>
            <w:pPr>
              <w:spacing w:after="0"/>
              <w:rPr>
                <w:sz w:val="12"/>
                <w:szCs w:val="12"/>
                <w:color w:val="auto"/>
              </w:rPr>
            </w:pPr>
          </w:p>
        </w:tc>
        <w:tc>
          <w:tcPr>
            <w:tcW w:w="4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6.09</w:t>
            </w:r>
          </w:p>
        </w:tc>
        <w:tc>
          <w:tcPr>
            <w:tcW w:w="560" w:type="dxa"/>
            <w:vAlign w:val="bottom"/>
          </w:tcPr>
          <w:p>
            <w:pPr>
              <w:jc w:val="right"/>
              <w:spacing w:after="0" w:line="147" w:lineRule="exact"/>
              <w:rPr>
                <w:sz w:val="20"/>
                <w:szCs w:val="20"/>
                <w:color w:val="auto"/>
              </w:rPr>
            </w:pPr>
            <w:r>
              <w:rPr>
                <w:rFonts w:ascii="Arial" w:cs="Arial" w:eastAsia="Arial" w:hAnsi="Arial"/>
                <w:sz w:val="13"/>
                <w:szCs w:val="13"/>
                <w:color w:val="auto"/>
              </w:rPr>
              <w:t>16.11</w:t>
            </w:r>
          </w:p>
        </w:tc>
        <w:tc>
          <w:tcPr>
            <w:tcW w:w="140" w:type="dxa"/>
            <w:vAlign w:val="bottom"/>
          </w:tcPr>
          <w:p>
            <w:pPr>
              <w:spacing w:after="0"/>
              <w:rPr>
                <w:sz w:val="12"/>
                <w:szCs w:val="12"/>
                <w:color w:val="auto"/>
              </w:rPr>
            </w:pPr>
          </w:p>
        </w:tc>
        <w:tc>
          <w:tcPr>
            <w:tcW w:w="460" w:type="dxa"/>
            <w:vAlign w:val="bottom"/>
          </w:tcPr>
          <w:p>
            <w:pPr>
              <w:jc w:val="right"/>
              <w:ind w:right="95"/>
              <w:spacing w:after="0" w:line="147" w:lineRule="exact"/>
              <w:rPr>
                <w:sz w:val="20"/>
                <w:szCs w:val="20"/>
                <w:color w:val="auto"/>
              </w:rPr>
            </w:pPr>
            <w:r>
              <w:rPr>
                <w:rFonts w:ascii="Arial" w:cs="Arial" w:eastAsia="Arial" w:hAnsi="Arial"/>
                <w:sz w:val="13"/>
                <w:szCs w:val="13"/>
                <w:color w:val="auto"/>
              </w:rPr>
              <w:t>5.80</w:t>
            </w: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auto"/>
              </w:rPr>
              <w:t>6.00</w:t>
            </w:r>
          </w:p>
        </w:tc>
        <w:tc>
          <w:tcPr>
            <w:tcW w:w="120" w:type="dxa"/>
            <w:vAlign w:val="bottom"/>
          </w:tcPr>
          <w:p>
            <w:pPr>
              <w:spacing w:after="0"/>
              <w:rPr>
                <w:sz w:val="12"/>
                <w:szCs w:val="12"/>
                <w:color w:val="auto"/>
              </w:rPr>
            </w:pPr>
          </w:p>
        </w:tc>
        <w:tc>
          <w:tcPr>
            <w:tcW w:w="440" w:type="dxa"/>
            <w:vAlign w:val="bottom"/>
          </w:tcPr>
          <w:p>
            <w:pPr>
              <w:ind w:left="60"/>
              <w:spacing w:after="0" w:line="147" w:lineRule="exact"/>
              <w:rPr>
                <w:sz w:val="20"/>
                <w:szCs w:val="20"/>
                <w:color w:val="auto"/>
              </w:rPr>
            </w:pPr>
            <w:r>
              <w:rPr>
                <w:rFonts w:ascii="Arial" w:cs="Arial" w:eastAsia="Arial" w:hAnsi="Arial"/>
                <w:sz w:val="13"/>
                <w:szCs w:val="13"/>
                <w:color w:val="auto"/>
              </w:rPr>
              <w:t>5.03</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30.87</w:t>
            </w:r>
          </w:p>
        </w:tc>
        <w:tc>
          <w:tcPr>
            <w:tcW w:w="140" w:type="dxa"/>
            <w:vAlign w:val="bottom"/>
          </w:tcPr>
          <w:p>
            <w:pPr>
              <w:spacing w:after="0"/>
              <w:rPr>
                <w:sz w:val="12"/>
                <w:szCs w:val="12"/>
                <w:color w:val="auto"/>
              </w:rPr>
            </w:pPr>
          </w:p>
        </w:tc>
        <w:tc>
          <w:tcPr>
            <w:tcW w:w="4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5.64</w:t>
            </w: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16.63</w:t>
            </w:r>
          </w:p>
        </w:tc>
        <w:tc>
          <w:tcPr>
            <w:tcW w:w="120" w:type="dxa"/>
            <w:vAlign w:val="bottom"/>
          </w:tcPr>
          <w:p>
            <w:pPr>
              <w:spacing w:after="0"/>
              <w:rPr>
                <w:sz w:val="12"/>
                <w:szCs w:val="12"/>
                <w:color w:val="auto"/>
              </w:rPr>
            </w:pPr>
          </w:p>
        </w:tc>
        <w:tc>
          <w:tcPr>
            <w:tcW w:w="500" w:type="dxa"/>
            <w:vAlign w:val="bottom"/>
          </w:tcPr>
          <w:p>
            <w:pPr>
              <w:jc w:val="right"/>
              <w:ind w:right="75"/>
              <w:spacing w:after="0" w:line="147" w:lineRule="exact"/>
              <w:rPr>
                <w:sz w:val="20"/>
                <w:szCs w:val="20"/>
                <w:color w:val="auto"/>
              </w:rPr>
            </w:pPr>
            <w:r>
              <w:rPr>
                <w:rFonts w:ascii="Arial" w:cs="Arial" w:eastAsia="Arial" w:hAnsi="Arial"/>
                <w:sz w:val="13"/>
                <w:szCs w:val="13"/>
                <w:color w:val="auto"/>
              </w:rPr>
              <w:t>3.50</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7.50</w:t>
            </w:r>
          </w:p>
        </w:tc>
      </w:tr>
      <w:tr>
        <w:trPr>
          <w:trHeight w:val="147"/>
        </w:trPr>
        <w:tc>
          <w:tcPr>
            <w:tcW w:w="1580" w:type="dxa"/>
            <w:vAlign w:val="bottom"/>
          </w:tcPr>
          <w:p>
            <w:pPr>
              <w:spacing w:after="0" w:line="147" w:lineRule="exact"/>
              <w:rPr>
                <w:sz w:val="20"/>
                <w:szCs w:val="20"/>
                <w:color w:val="auto"/>
              </w:rPr>
            </w:pPr>
            <w:r>
              <w:rPr>
                <w:rFonts w:ascii="Arial" w:cs="Arial" w:eastAsia="Arial" w:hAnsi="Arial"/>
                <w:sz w:val="13"/>
                <w:szCs w:val="13"/>
                <w:color w:val="auto"/>
              </w:rPr>
              <w:t>Negotiable certificates of</w:t>
            </w:r>
          </w:p>
        </w:tc>
        <w:tc>
          <w:tcPr>
            <w:tcW w:w="12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Jan-2024 / Nov-</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Jan-2023 / Jul-</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7"/>
        </w:trPr>
        <w:tc>
          <w:tcPr>
            <w:tcW w:w="1580" w:type="dxa"/>
            <w:vAlign w:val="bottom"/>
          </w:tcPr>
          <w:p>
            <w:pPr>
              <w:ind w:left="160"/>
              <w:spacing w:after="0" w:line="147" w:lineRule="exact"/>
              <w:rPr>
                <w:sz w:val="20"/>
                <w:szCs w:val="20"/>
                <w:color w:val="auto"/>
              </w:rPr>
            </w:pPr>
            <w:r>
              <w:rPr>
                <w:rFonts w:ascii="Arial" w:cs="Arial" w:eastAsia="Arial" w:hAnsi="Arial"/>
                <w:sz w:val="13"/>
                <w:szCs w:val="13"/>
                <w:color w:val="auto"/>
              </w:rPr>
              <w:t>deposits</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2037</w:t>
            </w:r>
          </w:p>
        </w:tc>
        <w:tc>
          <w:tcPr>
            <w:tcW w:w="140" w:type="dxa"/>
            <w:vAlign w:val="bottom"/>
          </w:tcPr>
          <w:p>
            <w:pPr>
              <w:spacing w:after="0"/>
              <w:rPr>
                <w:sz w:val="12"/>
                <w:szCs w:val="12"/>
                <w:color w:val="auto"/>
              </w:rPr>
            </w:pPr>
          </w:p>
        </w:tc>
        <w:tc>
          <w:tcPr>
            <w:tcW w:w="960" w:type="dxa"/>
            <w:vAlign w:val="bottom"/>
          </w:tcPr>
          <w:p>
            <w:pPr>
              <w:ind w:left="40"/>
              <w:spacing w:after="0" w:line="147" w:lineRule="exact"/>
              <w:rPr>
                <w:sz w:val="20"/>
                <w:szCs w:val="20"/>
                <w:color w:val="auto"/>
              </w:rPr>
            </w:pPr>
            <w:r>
              <w:rPr>
                <w:rFonts w:ascii="Arial" w:cs="Arial" w:eastAsia="Arial" w:hAnsi="Arial"/>
                <w:sz w:val="13"/>
                <w:szCs w:val="13"/>
                <w:color w:val="auto"/>
              </w:rPr>
              <w:t>2033</w:t>
            </w:r>
          </w:p>
        </w:tc>
        <w:tc>
          <w:tcPr>
            <w:tcW w:w="140" w:type="dxa"/>
            <w:vAlign w:val="bottom"/>
          </w:tcPr>
          <w:p>
            <w:pPr>
              <w:spacing w:after="0"/>
              <w:rPr>
                <w:sz w:val="12"/>
                <w:szCs w:val="12"/>
                <w:color w:val="auto"/>
              </w:rPr>
            </w:pPr>
          </w:p>
        </w:tc>
        <w:tc>
          <w:tcPr>
            <w:tcW w:w="5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460" w:type="dxa"/>
            <w:vAlign w:val="bottom"/>
          </w:tcPr>
          <w:p>
            <w:pPr>
              <w:jc w:val="right"/>
              <w:ind w:right="95"/>
              <w:spacing w:after="0" w:line="147" w:lineRule="exact"/>
              <w:rPr>
                <w:sz w:val="20"/>
                <w:szCs w:val="20"/>
                <w:color w:val="auto"/>
              </w:rPr>
            </w:pPr>
            <w:r>
              <w:rPr>
                <w:rFonts w:ascii="Arial" w:cs="Arial" w:eastAsia="Arial" w:hAnsi="Arial"/>
                <w:sz w:val="13"/>
                <w:szCs w:val="13"/>
                <w:color w:val="auto"/>
              </w:rPr>
              <w:t>0.53</w:t>
            </w: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auto"/>
              </w:rPr>
              <w:t>5.74</w:t>
            </w:r>
          </w:p>
        </w:tc>
        <w:tc>
          <w:tcPr>
            <w:tcW w:w="120" w:type="dxa"/>
            <w:vAlign w:val="bottom"/>
          </w:tcPr>
          <w:p>
            <w:pPr>
              <w:spacing w:after="0"/>
              <w:rPr>
                <w:sz w:val="12"/>
                <w:szCs w:val="12"/>
                <w:color w:val="auto"/>
              </w:rPr>
            </w:pPr>
          </w:p>
        </w:tc>
        <w:tc>
          <w:tcPr>
            <w:tcW w:w="440" w:type="dxa"/>
            <w:vAlign w:val="bottom"/>
          </w:tcPr>
          <w:p>
            <w:pPr>
              <w:ind w:left="60"/>
              <w:spacing w:after="0" w:line="147" w:lineRule="exact"/>
              <w:rPr>
                <w:sz w:val="20"/>
                <w:szCs w:val="20"/>
                <w:color w:val="auto"/>
              </w:rPr>
            </w:pPr>
            <w:r>
              <w:rPr>
                <w:rFonts w:ascii="Arial" w:cs="Arial" w:eastAsia="Arial" w:hAnsi="Arial"/>
                <w:sz w:val="13"/>
                <w:szCs w:val="13"/>
                <w:color w:val="auto"/>
              </w:rPr>
              <w:t>8.76</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8.76</w:t>
            </w:r>
          </w:p>
        </w:tc>
        <w:tc>
          <w:tcPr>
            <w:tcW w:w="140" w:type="dxa"/>
            <w:vAlign w:val="bottom"/>
          </w:tcPr>
          <w:p>
            <w:pPr>
              <w:spacing w:after="0"/>
              <w:rPr>
                <w:sz w:val="12"/>
                <w:szCs w:val="12"/>
                <w:color w:val="auto"/>
              </w:rPr>
            </w:pPr>
          </w:p>
        </w:tc>
        <w:tc>
          <w:tcPr>
            <w:tcW w:w="4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2.48</w:t>
            </w: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4.80</w:t>
            </w:r>
          </w:p>
        </w:tc>
        <w:tc>
          <w:tcPr>
            <w:tcW w:w="120" w:type="dxa"/>
            <w:vAlign w:val="bottom"/>
          </w:tcPr>
          <w:p>
            <w:pPr>
              <w:spacing w:after="0"/>
              <w:rPr>
                <w:sz w:val="12"/>
                <w:szCs w:val="12"/>
                <w:color w:val="auto"/>
              </w:rPr>
            </w:pPr>
          </w:p>
        </w:tc>
        <w:tc>
          <w:tcPr>
            <w:tcW w:w="500" w:type="dxa"/>
            <w:vAlign w:val="bottom"/>
          </w:tcPr>
          <w:p>
            <w:pPr>
              <w:jc w:val="right"/>
              <w:ind w:right="75"/>
              <w:spacing w:after="0" w:line="147" w:lineRule="exact"/>
              <w:rPr>
                <w:sz w:val="20"/>
                <w:szCs w:val="20"/>
                <w:color w:val="auto"/>
              </w:rPr>
            </w:pPr>
            <w:r>
              <w:rPr>
                <w:rFonts w:ascii="Arial" w:cs="Arial" w:eastAsia="Arial" w:hAnsi="Arial"/>
                <w:sz w:val="13"/>
                <w:szCs w:val="13"/>
                <w:color w:val="auto"/>
              </w:rPr>
              <w:t>1.00</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13.50</w:t>
            </w:r>
          </w:p>
        </w:tc>
      </w:tr>
      <w:tr>
        <w:trPr>
          <w:trHeight w:val="147"/>
        </w:trPr>
        <w:tc>
          <w:tcPr>
            <w:tcW w:w="1580" w:type="dxa"/>
            <w:vAlign w:val="bottom"/>
          </w:tcPr>
          <w:p>
            <w:pPr>
              <w:spacing w:after="0" w:line="147" w:lineRule="exact"/>
              <w:rPr>
                <w:sz w:val="20"/>
                <w:szCs w:val="20"/>
                <w:color w:val="auto"/>
              </w:rPr>
            </w:pPr>
            <w:r>
              <w:rPr>
                <w:rFonts w:ascii="Arial" w:cs="Arial" w:eastAsia="Arial" w:hAnsi="Arial"/>
                <w:sz w:val="13"/>
                <w:szCs w:val="13"/>
                <w:color w:val="auto"/>
              </w:rPr>
              <w:t>Subordinated bonds</w:t>
            </w:r>
          </w:p>
        </w:tc>
        <w:tc>
          <w:tcPr>
            <w:tcW w:w="12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Apr-2024 / Aug-</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Jan-2023 /</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7"/>
        </w:trPr>
        <w:tc>
          <w:tcPr>
            <w:tcW w:w="158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2045</w:t>
            </w:r>
          </w:p>
        </w:tc>
        <w:tc>
          <w:tcPr>
            <w:tcW w:w="14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Aug-2045</w:t>
            </w:r>
          </w:p>
        </w:tc>
        <w:tc>
          <w:tcPr>
            <w:tcW w:w="5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3.23</w:t>
            </w: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9.42</w:t>
            </w:r>
          </w:p>
        </w:tc>
        <w:tc>
          <w:tcPr>
            <w:tcW w:w="140" w:type="dxa"/>
            <w:vAlign w:val="bottom"/>
          </w:tcPr>
          <w:p>
            <w:pPr>
              <w:spacing w:after="0"/>
              <w:rPr>
                <w:sz w:val="12"/>
                <w:szCs w:val="12"/>
                <w:color w:val="auto"/>
              </w:rPr>
            </w:pPr>
          </w:p>
        </w:tc>
        <w:tc>
          <w:tcPr>
            <w:tcW w:w="4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2.81</w:t>
            </w:r>
          </w:p>
        </w:tc>
        <w:tc>
          <w:tcPr>
            <w:tcW w:w="560" w:type="dxa"/>
            <w:vAlign w:val="bottom"/>
          </w:tcPr>
          <w:p>
            <w:pPr>
              <w:jc w:val="right"/>
              <w:spacing w:after="0" w:line="147" w:lineRule="exact"/>
              <w:rPr>
                <w:sz w:val="20"/>
                <w:szCs w:val="20"/>
                <w:color w:val="auto"/>
              </w:rPr>
            </w:pPr>
            <w:r>
              <w:rPr>
                <w:rFonts w:ascii="Arial" w:cs="Arial" w:eastAsia="Arial" w:hAnsi="Arial"/>
                <w:sz w:val="13"/>
                <w:szCs w:val="13"/>
                <w:color w:val="auto"/>
              </w:rPr>
              <w:t>7.14</w:t>
            </w:r>
          </w:p>
        </w:tc>
        <w:tc>
          <w:tcPr>
            <w:tcW w:w="140" w:type="dxa"/>
            <w:vAlign w:val="bottom"/>
          </w:tcPr>
          <w:p>
            <w:pPr>
              <w:spacing w:after="0"/>
              <w:rPr>
                <w:sz w:val="12"/>
                <w:szCs w:val="12"/>
                <w:color w:val="auto"/>
              </w:rPr>
            </w:pPr>
          </w:p>
        </w:tc>
        <w:tc>
          <w:tcPr>
            <w:tcW w:w="460" w:type="dxa"/>
            <w:vAlign w:val="bottom"/>
          </w:tcPr>
          <w:p>
            <w:pPr>
              <w:jc w:val="right"/>
              <w:ind w:right="95"/>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440" w:type="dxa"/>
            <w:vAlign w:val="bottom"/>
          </w:tcPr>
          <w:p>
            <w:pPr>
              <w:ind w:left="60"/>
              <w:spacing w:after="0" w:line="147" w:lineRule="exact"/>
              <w:rPr>
                <w:sz w:val="20"/>
                <w:szCs w:val="20"/>
                <w:color w:val="auto"/>
              </w:rPr>
            </w:pPr>
            <w:r>
              <w:rPr>
                <w:rFonts w:ascii="Arial" w:cs="Arial" w:eastAsia="Arial" w:hAnsi="Arial"/>
                <w:sz w:val="13"/>
                <w:szCs w:val="13"/>
                <w:color w:val="auto"/>
              </w:rPr>
              <w:t>2.15</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10.01</w:t>
            </w:r>
          </w:p>
        </w:tc>
        <w:tc>
          <w:tcPr>
            <w:tcW w:w="140" w:type="dxa"/>
            <w:vAlign w:val="bottom"/>
          </w:tcPr>
          <w:p>
            <w:pPr>
              <w:spacing w:after="0"/>
              <w:rPr>
                <w:sz w:val="12"/>
                <w:szCs w:val="12"/>
                <w:color w:val="auto"/>
              </w:rPr>
            </w:pPr>
          </w:p>
        </w:tc>
        <w:tc>
          <w:tcPr>
            <w:tcW w:w="4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3.36</w:t>
            </w: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23.73</w:t>
            </w:r>
          </w:p>
        </w:tc>
        <w:tc>
          <w:tcPr>
            <w:tcW w:w="120" w:type="dxa"/>
            <w:vAlign w:val="bottom"/>
          </w:tcPr>
          <w:p>
            <w:pPr>
              <w:spacing w:after="0"/>
              <w:rPr>
                <w:sz w:val="12"/>
                <w:szCs w:val="12"/>
                <w:color w:val="auto"/>
              </w:rPr>
            </w:pPr>
          </w:p>
        </w:tc>
        <w:tc>
          <w:tcPr>
            <w:tcW w:w="500" w:type="dxa"/>
            <w:vAlign w:val="bottom"/>
          </w:tcPr>
          <w:p>
            <w:pPr>
              <w:jc w:val="right"/>
              <w:ind w:right="75"/>
              <w:spacing w:after="0" w:line="147"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r>
      <w:tr>
        <w:trPr>
          <w:trHeight w:val="147"/>
        </w:trPr>
        <w:tc>
          <w:tcPr>
            <w:tcW w:w="1580" w:type="dxa"/>
            <w:vAlign w:val="bottom"/>
          </w:tcPr>
          <w:p>
            <w:pPr>
              <w:spacing w:after="0"/>
              <w:rPr>
                <w:sz w:val="12"/>
                <w:szCs w:val="12"/>
                <w:color w:val="auto"/>
              </w:rPr>
            </w:pPr>
          </w:p>
        </w:tc>
        <w:tc>
          <w:tcPr>
            <w:tcW w:w="126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Jan-2024 / Feb-</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Apr-2023 /</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72"/>
        </w:trPr>
        <w:tc>
          <w:tcPr>
            <w:tcW w:w="1580" w:type="dxa"/>
            <w:vAlign w:val="bottom"/>
          </w:tcPr>
          <w:p>
            <w:pPr>
              <w:spacing w:after="0"/>
              <w:rPr>
                <w:sz w:val="20"/>
                <w:szCs w:val="20"/>
                <w:color w:val="auto"/>
              </w:rPr>
            </w:pPr>
            <w:r>
              <w:rPr>
                <w:rFonts w:ascii="Arial" w:cs="Arial" w:eastAsia="Arial" w:hAnsi="Arial"/>
                <w:sz w:val="13"/>
                <w:szCs w:val="13"/>
                <w:color w:val="auto"/>
              </w:rPr>
              <w:t>Others</w:t>
            </w:r>
          </w:p>
        </w:tc>
        <w:tc>
          <w:tcPr>
            <w:tcW w:w="1120" w:type="dxa"/>
            <w:vAlign w:val="bottom"/>
            <w:gridSpan w:val="2"/>
          </w:tcPr>
          <w:p>
            <w:pPr>
              <w:ind w:left="100"/>
              <w:spacing w:after="0"/>
              <w:rPr>
                <w:sz w:val="20"/>
                <w:szCs w:val="20"/>
                <w:color w:val="auto"/>
              </w:rPr>
            </w:pPr>
            <w:r>
              <w:rPr>
                <w:rFonts w:ascii="Arial" w:cs="Arial" w:eastAsia="Arial" w:hAnsi="Arial"/>
                <w:sz w:val="13"/>
                <w:szCs w:val="13"/>
                <w:color w:val="auto"/>
              </w:rPr>
              <w:t>2035</w:t>
            </w: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Feb-2035</w:t>
            </w:r>
          </w:p>
        </w:tc>
        <w:tc>
          <w:tcPr>
            <w:tcW w:w="540" w:type="dxa"/>
            <w:vAlign w:val="bottom"/>
          </w:tcPr>
          <w:p>
            <w:pPr>
              <w:jc w:val="right"/>
              <w:ind w:right="55"/>
              <w:spacing w:after="0"/>
              <w:rPr>
                <w:sz w:val="20"/>
                <w:szCs w:val="20"/>
                <w:color w:val="auto"/>
              </w:rPr>
            </w:pPr>
            <w:r>
              <w:rPr>
                <w:rFonts w:ascii="Arial" w:cs="Arial" w:eastAsia="Arial" w:hAnsi="Arial"/>
                <w:sz w:val="13"/>
                <w:szCs w:val="13"/>
                <w:color w:val="auto"/>
              </w:rPr>
              <w:t>0.14</w:t>
            </w:r>
          </w:p>
        </w:tc>
        <w:tc>
          <w:tcPr>
            <w:tcW w:w="500" w:type="dxa"/>
            <w:vAlign w:val="bottom"/>
          </w:tcPr>
          <w:p>
            <w:pPr>
              <w:jc w:val="right"/>
              <w:spacing w:after="0"/>
              <w:rPr>
                <w:sz w:val="20"/>
                <w:szCs w:val="20"/>
                <w:color w:val="auto"/>
              </w:rPr>
            </w:pPr>
            <w:r>
              <w:rPr>
                <w:rFonts w:ascii="Arial" w:cs="Arial" w:eastAsia="Arial" w:hAnsi="Arial"/>
                <w:sz w:val="13"/>
                <w:szCs w:val="13"/>
                <w:color w:val="auto"/>
              </w:rPr>
              <w:t>1.76</w:t>
            </w:r>
          </w:p>
        </w:tc>
        <w:tc>
          <w:tcPr>
            <w:tcW w:w="140" w:type="dxa"/>
            <w:vAlign w:val="bottom"/>
          </w:tcPr>
          <w:p>
            <w:pPr>
              <w:spacing w:after="0"/>
              <w:rPr>
                <w:sz w:val="14"/>
                <w:szCs w:val="14"/>
                <w:color w:val="auto"/>
              </w:rPr>
            </w:pPr>
          </w:p>
        </w:tc>
        <w:tc>
          <w:tcPr>
            <w:tcW w:w="420" w:type="dxa"/>
            <w:vAlign w:val="bottom"/>
          </w:tcPr>
          <w:p>
            <w:pPr>
              <w:jc w:val="right"/>
              <w:ind w:right="55"/>
              <w:spacing w:after="0"/>
              <w:rPr>
                <w:sz w:val="20"/>
                <w:szCs w:val="20"/>
                <w:color w:val="auto"/>
              </w:rPr>
            </w:pPr>
            <w:r>
              <w:rPr>
                <w:rFonts w:ascii="Arial" w:cs="Arial" w:eastAsia="Arial" w:hAnsi="Arial"/>
                <w:sz w:val="13"/>
                <w:szCs w:val="13"/>
                <w:color w:val="auto"/>
              </w:rPr>
              <w:t>8.12</w:t>
            </w:r>
          </w:p>
        </w:tc>
        <w:tc>
          <w:tcPr>
            <w:tcW w:w="560" w:type="dxa"/>
            <w:vAlign w:val="bottom"/>
          </w:tcPr>
          <w:p>
            <w:pPr>
              <w:jc w:val="right"/>
              <w:spacing w:after="0"/>
              <w:rPr>
                <w:sz w:val="20"/>
                <w:szCs w:val="20"/>
                <w:color w:val="auto"/>
              </w:rPr>
            </w:pPr>
            <w:r>
              <w:rPr>
                <w:rFonts w:ascii="Arial" w:cs="Arial" w:eastAsia="Arial" w:hAnsi="Arial"/>
                <w:sz w:val="13"/>
                <w:szCs w:val="13"/>
                <w:color w:val="auto"/>
              </w:rPr>
              <w:t>9.08</w:t>
            </w:r>
          </w:p>
        </w:tc>
        <w:tc>
          <w:tcPr>
            <w:tcW w:w="140" w:type="dxa"/>
            <w:vAlign w:val="bottom"/>
          </w:tcPr>
          <w:p>
            <w:pPr>
              <w:spacing w:after="0"/>
              <w:rPr>
                <w:sz w:val="14"/>
                <w:szCs w:val="14"/>
                <w:color w:val="auto"/>
              </w:rPr>
            </w:pPr>
          </w:p>
        </w:tc>
        <w:tc>
          <w:tcPr>
            <w:tcW w:w="460" w:type="dxa"/>
            <w:vAlign w:val="bottom"/>
          </w:tcPr>
          <w:p>
            <w:pPr>
              <w:jc w:val="right"/>
              <w:ind w:right="95"/>
              <w:spacing w:after="0"/>
              <w:rPr>
                <w:sz w:val="20"/>
                <w:szCs w:val="20"/>
                <w:color w:val="auto"/>
              </w:rPr>
            </w:pPr>
            <w:r>
              <w:rPr>
                <w:rFonts w:ascii="Arial" w:cs="Arial" w:eastAsia="Arial" w:hAnsi="Arial"/>
                <w:sz w:val="13"/>
                <w:szCs w:val="13"/>
                <w:color w:val="auto"/>
              </w:rPr>
              <w:t>0.25</w:t>
            </w:r>
          </w:p>
        </w:tc>
        <w:tc>
          <w:tcPr>
            <w:tcW w:w="460" w:type="dxa"/>
            <w:vAlign w:val="bottom"/>
          </w:tcPr>
          <w:p>
            <w:pPr>
              <w:jc w:val="right"/>
              <w:spacing w:after="0"/>
              <w:rPr>
                <w:sz w:val="20"/>
                <w:szCs w:val="20"/>
                <w:color w:val="auto"/>
              </w:rPr>
            </w:pPr>
            <w:r>
              <w:rPr>
                <w:rFonts w:ascii="Arial" w:cs="Arial" w:eastAsia="Arial" w:hAnsi="Arial"/>
                <w:sz w:val="13"/>
                <w:szCs w:val="13"/>
                <w:color w:val="auto"/>
              </w:rPr>
              <w:t>6.10</w:t>
            </w:r>
          </w:p>
        </w:tc>
        <w:tc>
          <w:tcPr>
            <w:tcW w:w="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3"/>
                <w:szCs w:val="13"/>
                <w:color w:val="auto"/>
              </w:rPr>
              <w:t>2.22</w:t>
            </w:r>
          </w:p>
        </w:tc>
        <w:tc>
          <w:tcPr>
            <w:tcW w:w="480" w:type="dxa"/>
            <w:vAlign w:val="bottom"/>
          </w:tcPr>
          <w:p>
            <w:pPr>
              <w:jc w:val="right"/>
              <w:spacing w:after="0"/>
              <w:rPr>
                <w:sz w:val="20"/>
                <w:szCs w:val="20"/>
                <w:color w:val="auto"/>
              </w:rPr>
            </w:pPr>
            <w:r>
              <w:rPr>
                <w:rFonts w:ascii="Arial" w:cs="Arial" w:eastAsia="Arial" w:hAnsi="Arial"/>
                <w:sz w:val="13"/>
                <w:szCs w:val="13"/>
                <w:color w:val="auto"/>
              </w:rPr>
              <w:t>9.56</w:t>
            </w:r>
          </w:p>
        </w:tc>
        <w:tc>
          <w:tcPr>
            <w:tcW w:w="140" w:type="dxa"/>
            <w:vAlign w:val="bottom"/>
          </w:tcPr>
          <w:p>
            <w:pPr>
              <w:spacing w:after="0"/>
              <w:rPr>
                <w:sz w:val="14"/>
                <w:szCs w:val="14"/>
                <w:color w:val="auto"/>
              </w:rPr>
            </w:pPr>
          </w:p>
        </w:tc>
        <w:tc>
          <w:tcPr>
            <w:tcW w:w="420" w:type="dxa"/>
            <w:vAlign w:val="bottom"/>
          </w:tcPr>
          <w:p>
            <w:pPr>
              <w:jc w:val="right"/>
              <w:ind w:right="55"/>
              <w:spacing w:after="0"/>
              <w:rPr>
                <w:sz w:val="20"/>
                <w:szCs w:val="20"/>
                <w:color w:val="auto"/>
              </w:rPr>
            </w:pPr>
            <w:r>
              <w:rPr>
                <w:rFonts w:ascii="Arial" w:cs="Arial" w:eastAsia="Arial" w:hAnsi="Arial"/>
                <w:sz w:val="13"/>
                <w:szCs w:val="13"/>
                <w:color w:val="auto"/>
              </w:rPr>
              <w:t>8.03</w:t>
            </w:r>
          </w:p>
        </w:tc>
        <w:tc>
          <w:tcPr>
            <w:tcW w:w="500" w:type="dxa"/>
            <w:vAlign w:val="bottom"/>
          </w:tcPr>
          <w:p>
            <w:pPr>
              <w:jc w:val="right"/>
              <w:spacing w:after="0"/>
              <w:rPr>
                <w:sz w:val="20"/>
                <w:szCs w:val="20"/>
                <w:color w:val="auto"/>
              </w:rPr>
            </w:pPr>
            <w:r>
              <w:rPr>
                <w:rFonts w:ascii="Arial" w:cs="Arial" w:eastAsia="Arial" w:hAnsi="Arial"/>
                <w:sz w:val="13"/>
                <w:szCs w:val="13"/>
                <w:color w:val="auto"/>
              </w:rPr>
              <w:t>8.58</w:t>
            </w:r>
          </w:p>
        </w:tc>
        <w:tc>
          <w:tcPr>
            <w:tcW w:w="12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3"/>
                <w:szCs w:val="13"/>
                <w:color w:val="auto"/>
              </w:rPr>
              <w:t>0.05</w:t>
            </w:r>
          </w:p>
        </w:tc>
        <w:tc>
          <w:tcPr>
            <w:tcW w:w="480" w:type="dxa"/>
            <w:vAlign w:val="bottom"/>
          </w:tcPr>
          <w:p>
            <w:pPr>
              <w:jc w:val="right"/>
              <w:spacing w:after="0"/>
              <w:rPr>
                <w:sz w:val="20"/>
                <w:szCs w:val="20"/>
                <w:color w:val="auto"/>
              </w:rPr>
            </w:pPr>
            <w:r>
              <w:rPr>
                <w:rFonts w:ascii="Arial" w:cs="Arial" w:eastAsia="Arial" w:hAnsi="Arial"/>
                <w:sz w:val="13"/>
                <w:szCs w:val="13"/>
                <w:color w:val="auto"/>
              </w:rPr>
              <w:t>0.08</w:t>
            </w:r>
          </w:p>
        </w:tc>
      </w:tr>
    </w:tbl>
    <w:p>
      <w:pPr>
        <w:spacing w:after="0" w:line="149"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Likewise, as of December 31, 2023, the Group entered into repurchase agreements for government bonds and BCRP certificates of deposit classified as investments at fair value through other comprehensive income, for an estimated fair value of S/4,269.9 million (S/1,108.1 million as of December 31, 2022), whose related liability is presented in “Accounts payable for repurchase agreements and securities lending” of the consolidated statement of financial position, see note 5(c).</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of December 31, 2023, the Group maintains IRS, which have been designated as hedges of the fair value of certain fixed-rate bonds in US dollars issued by corporate companies classified as investments at fair value through other comprehensive income, for a nominal amount of S/778.9 million (S/926.5 million as of December 31, 2022), see note 12(c); through said IRS these bonds were economically converted to a variable rate.</w:t>
      </w:r>
    </w:p>
    <w:p>
      <w:pPr>
        <w:spacing w:after="0" w:line="296"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41275</wp:posOffset>
            </wp:positionV>
            <wp:extent cx="714565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60"/>
          </w:cols>
          <w:pgMar w:left="900" w:top="306" w:right="339" w:bottom="1440" w:gutter="0" w:footer="0" w:header="0"/>
        </w:sectPr>
      </w:pPr>
    </w:p>
    <w:bookmarkStart w:id="72" w:name="page73"/>
    <w:bookmarkEnd w:id="72"/>
    <w:p>
      <w:pPr>
        <w:ind w:left="1180" w:right="320" w:hanging="303"/>
        <w:spacing w:after="0" w:line="252" w:lineRule="auto"/>
        <w:tabs>
          <w:tab w:leader="none" w:pos="11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As of December 31, 2023, the balance corresponds to corporate bonds issued by companies in the United States of America, Peru, Colombia and other countries, which represent 40.2 percent, 34.2 percent, 4.3 percent and 21.3 percent of the total, respectively. As of December 31, 2022, the balance corresponds to corporate bonds issued by companies in the United States of America, Peru, Chile and other countries, which represent 39.2 percent, 37.4 percent, 4.4 percent and 19.0 percent of the total, respectively.</w:t>
      </w:r>
    </w:p>
    <w:p>
      <w:pPr>
        <w:spacing w:after="0" w:line="143" w:lineRule="exact"/>
        <w:rPr>
          <w:rFonts w:ascii="Arial" w:cs="Arial" w:eastAsia="Arial" w:hAnsi="Arial"/>
          <w:sz w:val="16"/>
          <w:szCs w:val="16"/>
          <w:color w:val="auto"/>
        </w:rPr>
      </w:pPr>
    </w:p>
    <w:p>
      <w:pPr>
        <w:ind w:left="1180" w:right="20"/>
        <w:spacing w:after="0" w:line="259" w:lineRule="auto"/>
        <w:rPr>
          <w:rFonts w:ascii="Arial" w:cs="Arial" w:eastAsia="Arial" w:hAnsi="Arial"/>
          <w:sz w:val="16"/>
          <w:szCs w:val="16"/>
          <w:color w:val="auto"/>
        </w:rPr>
      </w:pPr>
      <w:r>
        <w:rPr>
          <w:rFonts w:ascii="Arial" w:cs="Arial" w:eastAsia="Arial" w:hAnsi="Arial"/>
          <w:sz w:val="16"/>
          <w:szCs w:val="16"/>
          <w:color w:val="auto"/>
        </w:rPr>
        <w:t>Likewise, as of December 31, 2023, the Group maintains Cross currency swaps (CCS), which were designated as cash flow hedges of certain corporate bonds for nominal amounts of S/126.6 million. As of December 31, 2022, it held CCS for an amount of S/131.4 million, see note 12(c); Through said Cross currency swaps (CCS) the bonds were economically converted to soles at a fixed rate.</w:t>
      </w:r>
    </w:p>
    <w:p>
      <w:pPr>
        <w:spacing w:after="0" w:line="137" w:lineRule="exact"/>
        <w:rPr>
          <w:rFonts w:ascii="Arial" w:cs="Arial" w:eastAsia="Arial" w:hAnsi="Arial"/>
          <w:sz w:val="16"/>
          <w:szCs w:val="16"/>
          <w:color w:val="auto"/>
        </w:rPr>
      </w:pPr>
    </w:p>
    <w:p>
      <w:pPr>
        <w:jc w:val="both"/>
        <w:ind w:left="1180" w:right="20"/>
        <w:spacing w:after="0" w:line="259" w:lineRule="auto"/>
        <w:rPr>
          <w:rFonts w:ascii="Arial" w:cs="Arial" w:eastAsia="Arial" w:hAnsi="Arial"/>
          <w:sz w:val="16"/>
          <w:szCs w:val="16"/>
          <w:color w:val="auto"/>
        </w:rPr>
      </w:pPr>
      <w:r>
        <w:rPr>
          <w:rFonts w:ascii="Arial" w:cs="Arial" w:eastAsia="Arial" w:hAnsi="Arial"/>
          <w:sz w:val="16"/>
          <w:szCs w:val="16"/>
          <w:color w:val="auto"/>
        </w:rPr>
        <w:t>As of December 31, 2023, the most significant individual unrealized loss amounts to approximately S/25.2 million of Inversiones Nacionales de Turismo - Intursa S.A, S/34.2 million as of December 31, 2022. The variation of the unrealized loss with respect to to the balance of 2022 is due to the behavior of the market.</w:t>
      </w:r>
    </w:p>
    <w:p>
      <w:pPr>
        <w:spacing w:after="0" w:line="137" w:lineRule="exact"/>
        <w:rPr>
          <w:rFonts w:ascii="Arial" w:cs="Arial" w:eastAsia="Arial" w:hAnsi="Arial"/>
          <w:sz w:val="16"/>
          <w:szCs w:val="16"/>
          <w:color w:val="auto"/>
        </w:rPr>
      </w:pPr>
    </w:p>
    <w:p>
      <w:pPr>
        <w:ind w:left="1180" w:right="120" w:hanging="303"/>
        <w:spacing w:after="0" w:line="259" w:lineRule="auto"/>
        <w:tabs>
          <w:tab w:leader="none" w:pos="11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As of December 31, 2023, the Group maintains 111,613 BCRP certificates of deposit. As of December 31, 2022, it held 70,253 BCRP certificates of deposit; which are instruments issued at a discount through public auction, negotiated in the Peruvian secondary market and payable in soles. The increase in the balance is mainly due to the acquisition of new instruments.</w:t>
      </w:r>
    </w:p>
    <w:p>
      <w:pPr>
        <w:spacing w:after="0" w:line="137" w:lineRule="exact"/>
        <w:rPr>
          <w:rFonts w:ascii="Arial" w:cs="Arial" w:eastAsia="Arial" w:hAnsi="Arial"/>
          <w:sz w:val="16"/>
          <w:szCs w:val="16"/>
          <w:color w:val="auto"/>
        </w:rPr>
      </w:pPr>
    </w:p>
    <w:p>
      <w:pPr>
        <w:ind w:left="1180" w:hanging="303"/>
        <w:spacing w:after="0"/>
        <w:tabs>
          <w:tab w:leader="none" w:pos="11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As of December 31, 2023 and December 31, 2022, the balance includes the following Government Treasury Bonds: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960" w:type="dxa"/>
            <w:vAlign w:val="bottom"/>
          </w:tcPr>
          <w:p>
            <w:pPr>
              <w:spacing w:after="0"/>
              <w:rPr>
                <w:sz w:val="17"/>
                <w:szCs w:val="17"/>
                <w:color w:val="auto"/>
              </w:rPr>
            </w:pPr>
          </w:p>
        </w:tc>
        <w:tc>
          <w:tcPr>
            <w:tcW w:w="4600" w:type="dxa"/>
            <w:vAlign w:val="bottom"/>
            <w:gridSpan w:val="2"/>
          </w:tcPr>
          <w:p>
            <w:pPr>
              <w:ind w:left="360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1080" w:type="dxa"/>
            <w:vAlign w:val="bottom"/>
          </w:tcPr>
          <w:p>
            <w:pPr>
              <w:ind w:left="60"/>
              <w:spacing w:after="0"/>
              <w:rPr>
                <w:sz w:val="20"/>
                <w:szCs w:val="20"/>
                <w:color w:val="auto"/>
              </w:rPr>
            </w:pPr>
            <w:r>
              <w:rPr>
                <w:rFonts w:ascii="Arial" w:cs="Arial" w:eastAsia="Arial" w:hAnsi="Arial"/>
                <w:sz w:val="16"/>
                <w:szCs w:val="16"/>
                <w:b w:val="1"/>
                <w:bCs w:val="1"/>
                <w:color w:val="auto"/>
              </w:rPr>
              <w:t>2022</w:t>
            </w:r>
          </w:p>
        </w:tc>
        <w:tc>
          <w:tcPr>
            <w:tcW w:w="540" w:type="dxa"/>
            <w:vAlign w:val="bottom"/>
          </w:tcPr>
          <w:p>
            <w:pPr>
              <w:spacing w:after="0"/>
              <w:rPr>
                <w:sz w:val="17"/>
                <w:szCs w:val="17"/>
                <w:color w:val="auto"/>
              </w:rPr>
            </w:pPr>
          </w:p>
        </w:tc>
      </w:tr>
      <w:tr>
        <w:trPr>
          <w:trHeight w:val="216"/>
        </w:trPr>
        <w:tc>
          <w:tcPr>
            <w:tcW w:w="49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10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540" w:type="dxa"/>
            <w:vAlign w:val="bottom"/>
          </w:tcPr>
          <w:p>
            <w:pPr>
              <w:spacing w:after="0"/>
              <w:rPr>
                <w:sz w:val="18"/>
                <w:szCs w:val="18"/>
                <w:color w:val="auto"/>
              </w:rPr>
            </w:pPr>
          </w:p>
        </w:tc>
      </w:tr>
      <w:tr>
        <w:trPr>
          <w:trHeight w:val="310"/>
        </w:trPr>
        <w:tc>
          <w:tcPr>
            <w:tcW w:w="4960" w:type="dxa"/>
            <w:vAlign w:val="bottom"/>
          </w:tcPr>
          <w:p>
            <w:pPr>
              <w:ind w:left="1180"/>
              <w:spacing w:after="0"/>
              <w:rPr>
                <w:sz w:val="20"/>
                <w:szCs w:val="20"/>
                <w:color w:val="auto"/>
              </w:rPr>
            </w:pPr>
            <w:r>
              <w:rPr>
                <w:rFonts w:ascii="Arial" w:cs="Arial" w:eastAsia="Arial" w:hAnsi="Arial"/>
                <w:sz w:val="16"/>
                <w:szCs w:val="16"/>
                <w:color w:val="auto"/>
              </w:rPr>
              <w:t>Peruvian Government Bonds</w:t>
            </w: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rPr>
              <w:t>8,260,261</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6,126,564</w:t>
            </w:r>
          </w:p>
        </w:tc>
        <w:tc>
          <w:tcPr>
            <w:tcW w:w="540" w:type="dxa"/>
            <w:vAlign w:val="bottom"/>
          </w:tcPr>
          <w:p>
            <w:pPr>
              <w:spacing w:after="0"/>
              <w:rPr>
                <w:sz w:val="24"/>
                <w:szCs w:val="24"/>
                <w:color w:val="auto"/>
              </w:rPr>
            </w:pPr>
          </w:p>
        </w:tc>
      </w:tr>
      <w:tr>
        <w:trPr>
          <w:trHeight w:val="183"/>
        </w:trPr>
        <w:tc>
          <w:tcPr>
            <w:tcW w:w="4960" w:type="dxa"/>
            <w:vAlign w:val="bottom"/>
          </w:tcPr>
          <w:p>
            <w:pPr>
              <w:ind w:left="1180"/>
              <w:spacing w:after="0"/>
              <w:rPr>
                <w:sz w:val="20"/>
                <w:szCs w:val="20"/>
                <w:color w:val="auto"/>
              </w:rPr>
            </w:pPr>
            <w:r>
              <w:rPr>
                <w:rFonts w:ascii="Arial" w:cs="Arial" w:eastAsia="Arial" w:hAnsi="Arial"/>
                <w:sz w:val="16"/>
                <w:szCs w:val="16"/>
                <w:color w:val="auto"/>
              </w:rPr>
              <w:t>United States of America Government Bonds</w:t>
            </w: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rPr>
              <w:t>1,740,125</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2,103,713</w:t>
            </w:r>
          </w:p>
        </w:tc>
        <w:tc>
          <w:tcPr>
            <w:tcW w:w="540" w:type="dxa"/>
            <w:vAlign w:val="bottom"/>
          </w:tcPr>
          <w:p>
            <w:pPr>
              <w:spacing w:after="0"/>
              <w:rPr>
                <w:sz w:val="15"/>
                <w:szCs w:val="15"/>
                <w:color w:val="auto"/>
              </w:rPr>
            </w:pPr>
          </w:p>
        </w:tc>
      </w:tr>
      <w:tr>
        <w:trPr>
          <w:trHeight w:val="183"/>
        </w:trPr>
        <w:tc>
          <w:tcPr>
            <w:tcW w:w="4960" w:type="dxa"/>
            <w:vAlign w:val="bottom"/>
          </w:tcPr>
          <w:p>
            <w:pPr>
              <w:ind w:left="1180"/>
              <w:spacing w:after="0"/>
              <w:rPr>
                <w:sz w:val="20"/>
                <w:szCs w:val="20"/>
                <w:color w:val="auto"/>
              </w:rPr>
            </w:pPr>
            <w:r>
              <w:rPr>
                <w:rFonts w:ascii="Arial" w:cs="Arial" w:eastAsia="Arial" w:hAnsi="Arial"/>
                <w:sz w:val="16"/>
                <w:szCs w:val="16"/>
                <w:color w:val="auto"/>
              </w:rPr>
              <w:t>Colombian Government Bonds</w:t>
            </w: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rPr>
              <w:t>204,525</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130,883</w:t>
            </w:r>
          </w:p>
        </w:tc>
        <w:tc>
          <w:tcPr>
            <w:tcW w:w="540" w:type="dxa"/>
            <w:vAlign w:val="bottom"/>
          </w:tcPr>
          <w:p>
            <w:pPr>
              <w:spacing w:after="0"/>
              <w:rPr>
                <w:sz w:val="15"/>
                <w:szCs w:val="15"/>
                <w:color w:val="auto"/>
              </w:rPr>
            </w:pPr>
          </w:p>
        </w:tc>
      </w:tr>
      <w:tr>
        <w:trPr>
          <w:trHeight w:val="183"/>
        </w:trPr>
        <w:tc>
          <w:tcPr>
            <w:tcW w:w="4960" w:type="dxa"/>
            <w:vAlign w:val="bottom"/>
          </w:tcPr>
          <w:p>
            <w:pPr>
              <w:ind w:left="1180"/>
              <w:spacing w:after="0"/>
              <w:rPr>
                <w:sz w:val="20"/>
                <w:szCs w:val="20"/>
                <w:color w:val="auto"/>
              </w:rPr>
            </w:pPr>
            <w:r>
              <w:rPr>
                <w:rFonts w:ascii="Arial" w:cs="Arial" w:eastAsia="Arial" w:hAnsi="Arial"/>
                <w:sz w:val="16"/>
                <w:szCs w:val="16"/>
                <w:color w:val="auto"/>
              </w:rPr>
              <w:t>Chilean Government Bonds</w:t>
            </w: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rPr>
              <w:t>78,034</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78,383</w:t>
            </w:r>
          </w:p>
        </w:tc>
        <w:tc>
          <w:tcPr>
            <w:tcW w:w="540" w:type="dxa"/>
            <w:vAlign w:val="bottom"/>
          </w:tcPr>
          <w:p>
            <w:pPr>
              <w:spacing w:after="0"/>
              <w:rPr>
                <w:sz w:val="15"/>
                <w:szCs w:val="15"/>
                <w:color w:val="auto"/>
              </w:rPr>
            </w:pPr>
          </w:p>
        </w:tc>
      </w:tr>
      <w:tr>
        <w:trPr>
          <w:trHeight w:val="183"/>
        </w:trPr>
        <w:tc>
          <w:tcPr>
            <w:tcW w:w="4960" w:type="dxa"/>
            <w:vAlign w:val="bottom"/>
          </w:tcPr>
          <w:p>
            <w:pPr>
              <w:ind w:left="1180"/>
              <w:spacing w:after="0"/>
              <w:rPr>
                <w:sz w:val="20"/>
                <w:szCs w:val="20"/>
                <w:color w:val="auto"/>
              </w:rPr>
            </w:pPr>
            <w:r>
              <w:rPr>
                <w:rFonts w:ascii="Arial" w:cs="Arial" w:eastAsia="Arial" w:hAnsi="Arial"/>
                <w:sz w:val="16"/>
                <w:szCs w:val="16"/>
                <w:color w:val="auto"/>
              </w:rPr>
              <w:t>Bolivian Government Bonds</w:t>
            </w: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rPr>
              <w:t>41,436</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67,040</w:t>
            </w:r>
          </w:p>
        </w:tc>
        <w:tc>
          <w:tcPr>
            <w:tcW w:w="540" w:type="dxa"/>
            <w:vAlign w:val="bottom"/>
          </w:tcPr>
          <w:p>
            <w:pPr>
              <w:spacing w:after="0"/>
              <w:rPr>
                <w:sz w:val="15"/>
                <w:szCs w:val="15"/>
                <w:color w:val="auto"/>
              </w:rPr>
            </w:pPr>
          </w:p>
        </w:tc>
      </w:tr>
      <w:tr>
        <w:trPr>
          <w:trHeight w:val="200"/>
        </w:trPr>
        <w:tc>
          <w:tcPr>
            <w:tcW w:w="4960" w:type="dxa"/>
            <w:vAlign w:val="bottom"/>
          </w:tcPr>
          <w:p>
            <w:pPr>
              <w:ind w:left="1180"/>
              <w:spacing w:after="0"/>
              <w:rPr>
                <w:sz w:val="20"/>
                <w:szCs w:val="20"/>
                <w:color w:val="auto"/>
              </w:rPr>
            </w:pPr>
            <w:r>
              <w:rPr>
                <w:rFonts w:ascii="Arial" w:cs="Arial" w:eastAsia="Arial" w:hAnsi="Arial"/>
                <w:sz w:val="16"/>
                <w:szCs w:val="16"/>
                <w:color w:val="auto"/>
              </w:rPr>
              <w:t>Others</w:t>
            </w: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rPr>
              <w:t>40,495</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22,128</w:t>
            </w:r>
          </w:p>
        </w:tc>
        <w:tc>
          <w:tcPr>
            <w:tcW w:w="540" w:type="dxa"/>
            <w:vAlign w:val="bottom"/>
          </w:tcPr>
          <w:p>
            <w:pPr>
              <w:spacing w:after="0"/>
              <w:rPr>
                <w:sz w:val="17"/>
                <w:szCs w:val="17"/>
                <w:color w:val="auto"/>
              </w:rPr>
            </w:pPr>
          </w:p>
        </w:tc>
      </w:tr>
      <w:tr>
        <w:trPr>
          <w:trHeight w:val="180"/>
        </w:trPr>
        <w:tc>
          <w:tcPr>
            <w:tcW w:w="4960" w:type="dxa"/>
            <w:vAlign w:val="bottom"/>
          </w:tcPr>
          <w:p>
            <w:pPr>
              <w:ind w:left="1180"/>
              <w:spacing w:after="0" w:line="175" w:lineRule="exact"/>
              <w:rPr>
                <w:sz w:val="20"/>
                <w:szCs w:val="20"/>
                <w:color w:val="auto"/>
              </w:rPr>
            </w:pPr>
            <w:r>
              <w:rPr>
                <w:rFonts w:ascii="Arial" w:cs="Arial" w:eastAsia="Arial" w:hAnsi="Arial"/>
                <w:sz w:val="16"/>
                <w:szCs w:val="16"/>
                <w:b w:val="1"/>
                <w:bCs w:val="1"/>
                <w:color w:val="auto"/>
              </w:rPr>
              <w:t>Total</w:t>
            </w:r>
          </w:p>
        </w:tc>
        <w:tc>
          <w:tcPr>
            <w:tcW w:w="354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10,364,876</w:t>
            </w:r>
          </w:p>
        </w:tc>
        <w:tc>
          <w:tcPr>
            <w:tcW w:w="8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8,528,711</w:t>
            </w:r>
          </w:p>
        </w:tc>
        <w:tc>
          <w:tcPr>
            <w:tcW w:w="540" w:type="dxa"/>
            <w:vAlign w:val="bottom"/>
          </w:tcPr>
          <w:p>
            <w:pPr>
              <w:spacing w:after="0"/>
              <w:rPr>
                <w:sz w:val="15"/>
                <w:szCs w:val="15"/>
                <w:color w:val="auto"/>
              </w:rPr>
            </w:pPr>
          </w:p>
        </w:tc>
      </w:tr>
      <w:tr>
        <w:trPr>
          <w:trHeight w:val="541"/>
        </w:trPr>
        <w:tc>
          <w:tcPr>
            <w:tcW w:w="4960" w:type="dxa"/>
            <w:vAlign w:val="bottom"/>
          </w:tcPr>
          <w:p>
            <w:pPr>
              <w:spacing w:after="0"/>
              <w:rPr>
                <w:sz w:val="24"/>
                <w:szCs w:val="24"/>
                <w:color w:val="auto"/>
              </w:rPr>
            </w:pPr>
          </w:p>
        </w:tc>
        <w:tc>
          <w:tcPr>
            <w:tcW w:w="3540" w:type="dxa"/>
            <w:vAlign w:val="bottom"/>
          </w:tcPr>
          <w:p>
            <w:pPr>
              <w:jc w:val="right"/>
              <w:ind w:right="2719"/>
              <w:spacing w:after="0"/>
              <w:rPr>
                <w:sz w:val="20"/>
                <w:szCs w:val="20"/>
                <w:color w:val="auto"/>
              </w:rPr>
            </w:pPr>
            <w:r>
              <w:rPr>
                <w:rFonts w:ascii="Arial" w:cs="Arial" w:eastAsia="Arial" w:hAnsi="Arial"/>
                <w:sz w:val="16"/>
                <w:szCs w:val="16"/>
                <w:color w:val="auto"/>
              </w:rPr>
              <w:t>70</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8"/>
        </w:trPr>
        <w:tc>
          <w:tcPr>
            <w:tcW w:w="496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73" w:name="page74"/>
    <w:bookmarkEnd w:id="73"/>
    <w:p>
      <w:pPr>
        <w:ind w:left="3"/>
        <w:spacing w:after="0"/>
        <w:rPr>
          <w:sz w:val="20"/>
          <w:szCs w:val="20"/>
          <w:color w:val="auto"/>
        </w:rPr>
      </w:pPr>
      <w:r>
        <w:rPr>
          <w:rFonts w:ascii="Arial" w:cs="Arial" w:eastAsia="Arial" w:hAnsi="Arial"/>
          <w:sz w:val="16"/>
          <w:szCs w:val="16"/>
          <w:color w:val="auto"/>
        </w:rPr>
        <w:t>(iv) As of December 31, 2023 and December 31, 2022, the balance of securitization instruments includes the following:</w:t>
      </w:r>
    </w:p>
    <w:p>
      <w:pPr>
        <w:spacing w:after="0" w:line="183" w:lineRule="exact"/>
        <w:rPr>
          <w:sz w:val="20"/>
          <w:szCs w:val="20"/>
          <w:color w:val="auto"/>
        </w:rPr>
      </w:pPr>
    </w:p>
    <w:tbl>
      <w:tblPr>
        <w:tblLayout w:type="fixed"/>
        <w:tblInd w:w="303" w:type="dxa"/>
        <w:tblCellMar>
          <w:top w:w="0" w:type="dxa"/>
          <w:left w:w="0" w:type="dxa"/>
          <w:bottom w:w="0" w:type="dxa"/>
          <w:right w:w="0" w:type="dxa"/>
        </w:tblCellMar>
      </w:tblPr>
      <w:tr>
        <w:trPr>
          <w:trHeight w:val="200"/>
        </w:trPr>
        <w:tc>
          <w:tcPr>
            <w:tcW w:w="7320" w:type="dxa"/>
            <w:vAlign w:val="bottom"/>
          </w:tcPr>
          <w:p>
            <w:pPr>
              <w:spacing w:after="0"/>
              <w:rPr>
                <w:sz w:val="17"/>
                <w:szCs w:val="17"/>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r>
      <w:tr>
        <w:trPr>
          <w:trHeight w:val="216"/>
        </w:trPr>
        <w:tc>
          <w:tcPr>
            <w:tcW w:w="732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6"/>
                <w:szCs w:val="16"/>
                <w:b w:val="1"/>
                <w:bCs w:val="1"/>
                <w:color w:val="auto"/>
              </w:rPr>
              <w:t>S/(000)</w:t>
            </w:r>
          </w:p>
        </w:tc>
      </w:tr>
      <w:tr>
        <w:trPr>
          <w:trHeight w:val="310"/>
        </w:trPr>
        <w:tc>
          <w:tcPr>
            <w:tcW w:w="7320" w:type="dxa"/>
            <w:vAlign w:val="bottom"/>
          </w:tcPr>
          <w:p>
            <w:pPr>
              <w:spacing w:after="0"/>
              <w:rPr>
                <w:sz w:val="20"/>
                <w:szCs w:val="20"/>
                <w:color w:val="auto"/>
              </w:rPr>
            </w:pPr>
            <w:r>
              <w:rPr>
                <w:rFonts w:ascii="Arial" w:cs="Arial" w:eastAsia="Arial" w:hAnsi="Arial"/>
                <w:sz w:val="16"/>
                <w:szCs w:val="16"/>
                <w:color w:val="auto"/>
              </w:rPr>
              <w:t>Inmuebles Panamericana S.A.</w:t>
            </w:r>
          </w:p>
        </w:tc>
        <w:tc>
          <w:tcPr>
            <w:tcW w:w="1060" w:type="dxa"/>
            <w:vAlign w:val="bottom"/>
          </w:tcPr>
          <w:p>
            <w:pPr>
              <w:jc w:val="right"/>
              <w:spacing w:after="0"/>
              <w:rPr>
                <w:sz w:val="20"/>
                <w:szCs w:val="20"/>
                <w:color w:val="auto"/>
              </w:rPr>
            </w:pPr>
            <w:r>
              <w:rPr>
                <w:rFonts w:ascii="Arial" w:cs="Arial" w:eastAsia="Arial" w:hAnsi="Arial"/>
                <w:sz w:val="16"/>
                <w:szCs w:val="16"/>
                <w:color w:val="auto"/>
              </w:rPr>
              <w:t>153,034</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133,079</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ATN S.A.</w:t>
            </w:r>
          </w:p>
        </w:tc>
        <w:tc>
          <w:tcPr>
            <w:tcW w:w="1060" w:type="dxa"/>
            <w:vAlign w:val="bottom"/>
          </w:tcPr>
          <w:p>
            <w:pPr>
              <w:jc w:val="right"/>
              <w:spacing w:after="0"/>
              <w:rPr>
                <w:sz w:val="20"/>
                <w:szCs w:val="20"/>
                <w:color w:val="auto"/>
              </w:rPr>
            </w:pPr>
            <w:r>
              <w:rPr>
                <w:rFonts w:ascii="Arial" w:cs="Arial" w:eastAsia="Arial" w:hAnsi="Arial"/>
                <w:sz w:val="16"/>
                <w:szCs w:val="16"/>
                <w:color w:val="auto"/>
              </w:rPr>
              <w:t>77,666</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77,047</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Colegios Peruanos S.A.</w:t>
            </w:r>
          </w:p>
        </w:tc>
        <w:tc>
          <w:tcPr>
            <w:tcW w:w="1060" w:type="dxa"/>
            <w:vAlign w:val="bottom"/>
          </w:tcPr>
          <w:p>
            <w:pPr>
              <w:jc w:val="right"/>
              <w:spacing w:after="0"/>
              <w:rPr>
                <w:sz w:val="20"/>
                <w:szCs w:val="20"/>
                <w:color w:val="auto"/>
              </w:rPr>
            </w:pPr>
            <w:r>
              <w:rPr>
                <w:rFonts w:ascii="Arial" w:cs="Arial" w:eastAsia="Arial" w:hAnsi="Arial"/>
                <w:sz w:val="16"/>
                <w:szCs w:val="16"/>
                <w:color w:val="auto"/>
              </w:rPr>
              <w:t>77,560</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61,109</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Multimercados Zonales S.A.C.</w:t>
            </w:r>
          </w:p>
        </w:tc>
        <w:tc>
          <w:tcPr>
            <w:tcW w:w="1060" w:type="dxa"/>
            <w:vAlign w:val="bottom"/>
          </w:tcPr>
          <w:p>
            <w:pPr>
              <w:jc w:val="right"/>
              <w:spacing w:after="0"/>
              <w:rPr>
                <w:sz w:val="20"/>
                <w:szCs w:val="20"/>
                <w:color w:val="auto"/>
              </w:rPr>
            </w:pPr>
            <w:r>
              <w:rPr>
                <w:rFonts w:ascii="Arial" w:cs="Arial" w:eastAsia="Arial" w:hAnsi="Arial"/>
                <w:sz w:val="16"/>
                <w:szCs w:val="16"/>
                <w:color w:val="auto"/>
              </w:rPr>
              <w:t>53,540</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47,643</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Inmobiliaria Terrano S.A. y Operadora Portuaria S.A.</w:t>
            </w:r>
          </w:p>
        </w:tc>
        <w:tc>
          <w:tcPr>
            <w:tcW w:w="1060" w:type="dxa"/>
            <w:vAlign w:val="bottom"/>
          </w:tcPr>
          <w:p>
            <w:pPr>
              <w:jc w:val="right"/>
              <w:spacing w:after="0"/>
              <w:rPr>
                <w:sz w:val="20"/>
                <w:szCs w:val="20"/>
                <w:color w:val="auto"/>
              </w:rPr>
            </w:pPr>
            <w:r>
              <w:rPr>
                <w:rFonts w:ascii="Arial" w:cs="Arial" w:eastAsia="Arial" w:hAnsi="Arial"/>
                <w:sz w:val="16"/>
                <w:szCs w:val="16"/>
                <w:color w:val="auto"/>
              </w:rPr>
              <w:t>40,530</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Costa de Sol S.A.</w:t>
            </w:r>
          </w:p>
        </w:tc>
        <w:tc>
          <w:tcPr>
            <w:tcW w:w="1060" w:type="dxa"/>
            <w:vAlign w:val="bottom"/>
          </w:tcPr>
          <w:p>
            <w:pPr>
              <w:jc w:val="right"/>
              <w:spacing w:after="0"/>
              <w:rPr>
                <w:sz w:val="20"/>
                <w:szCs w:val="20"/>
                <w:color w:val="auto"/>
              </w:rPr>
            </w:pPr>
            <w:r>
              <w:rPr>
                <w:rFonts w:ascii="Arial" w:cs="Arial" w:eastAsia="Arial" w:hAnsi="Arial"/>
                <w:sz w:val="16"/>
                <w:szCs w:val="16"/>
                <w:color w:val="auto"/>
              </w:rPr>
              <w:t>36,717</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37,653</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Nessus Hoteles Perú S.A.</w:t>
            </w:r>
          </w:p>
        </w:tc>
        <w:tc>
          <w:tcPr>
            <w:tcW w:w="1060" w:type="dxa"/>
            <w:vAlign w:val="bottom"/>
          </w:tcPr>
          <w:p>
            <w:pPr>
              <w:jc w:val="right"/>
              <w:spacing w:after="0"/>
              <w:rPr>
                <w:sz w:val="20"/>
                <w:szCs w:val="20"/>
                <w:color w:val="auto"/>
              </w:rPr>
            </w:pPr>
            <w:r>
              <w:rPr>
                <w:rFonts w:ascii="Arial" w:cs="Arial" w:eastAsia="Arial" w:hAnsi="Arial"/>
                <w:sz w:val="16"/>
                <w:szCs w:val="16"/>
                <w:color w:val="auto"/>
              </w:rPr>
              <w:t>34,330</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32,519</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Concesionaria La Chira S.A.</w:t>
            </w:r>
          </w:p>
        </w:tc>
        <w:tc>
          <w:tcPr>
            <w:tcW w:w="1060" w:type="dxa"/>
            <w:vAlign w:val="bottom"/>
          </w:tcPr>
          <w:p>
            <w:pPr>
              <w:jc w:val="right"/>
              <w:spacing w:after="0"/>
              <w:rPr>
                <w:sz w:val="20"/>
                <w:szCs w:val="20"/>
                <w:color w:val="auto"/>
              </w:rPr>
            </w:pPr>
            <w:r>
              <w:rPr>
                <w:rFonts w:ascii="Arial" w:cs="Arial" w:eastAsia="Arial" w:hAnsi="Arial"/>
                <w:sz w:val="16"/>
                <w:szCs w:val="16"/>
                <w:color w:val="auto"/>
              </w:rPr>
              <w:t>27,457</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25,906</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Ferreyros S.A.</w:t>
            </w:r>
          </w:p>
        </w:tc>
        <w:tc>
          <w:tcPr>
            <w:tcW w:w="1060" w:type="dxa"/>
            <w:vAlign w:val="bottom"/>
          </w:tcPr>
          <w:p>
            <w:pPr>
              <w:jc w:val="right"/>
              <w:spacing w:after="0"/>
              <w:rPr>
                <w:sz w:val="20"/>
                <w:szCs w:val="20"/>
                <w:color w:val="auto"/>
              </w:rPr>
            </w:pPr>
            <w:r>
              <w:rPr>
                <w:rFonts w:ascii="Arial" w:cs="Arial" w:eastAsia="Arial" w:hAnsi="Arial"/>
                <w:sz w:val="16"/>
                <w:szCs w:val="16"/>
                <w:color w:val="auto"/>
              </w:rPr>
              <w:t>25,068</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Redesur y Tesur</w:t>
            </w:r>
          </w:p>
        </w:tc>
        <w:tc>
          <w:tcPr>
            <w:tcW w:w="1060" w:type="dxa"/>
            <w:vAlign w:val="bottom"/>
          </w:tcPr>
          <w:p>
            <w:pPr>
              <w:jc w:val="right"/>
              <w:spacing w:after="0"/>
              <w:rPr>
                <w:sz w:val="20"/>
                <w:szCs w:val="20"/>
                <w:color w:val="auto"/>
              </w:rPr>
            </w:pPr>
            <w:r>
              <w:rPr>
                <w:rFonts w:ascii="Arial" w:cs="Arial" w:eastAsia="Arial" w:hAnsi="Arial"/>
                <w:sz w:val="16"/>
                <w:szCs w:val="16"/>
                <w:color w:val="auto"/>
              </w:rPr>
              <w:t>24,504</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27,718</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Centro Comercial Plaza Norte S.A.C.</w:t>
            </w:r>
          </w:p>
        </w:tc>
        <w:tc>
          <w:tcPr>
            <w:tcW w:w="1060" w:type="dxa"/>
            <w:vAlign w:val="bottom"/>
          </w:tcPr>
          <w:p>
            <w:pPr>
              <w:jc w:val="right"/>
              <w:spacing w:after="0"/>
              <w:rPr>
                <w:sz w:val="20"/>
                <w:szCs w:val="20"/>
                <w:color w:val="auto"/>
              </w:rPr>
            </w:pPr>
            <w:r>
              <w:rPr>
                <w:rFonts w:ascii="Arial" w:cs="Arial" w:eastAsia="Arial" w:hAnsi="Arial"/>
                <w:sz w:val="16"/>
                <w:szCs w:val="16"/>
                <w:color w:val="auto"/>
              </w:rPr>
              <w:t>24,504</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21,996</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Compañía de Turismo La Paz S.A.C.</w:t>
            </w:r>
          </w:p>
        </w:tc>
        <w:tc>
          <w:tcPr>
            <w:tcW w:w="1060" w:type="dxa"/>
            <w:vAlign w:val="bottom"/>
          </w:tcPr>
          <w:p>
            <w:pPr>
              <w:jc w:val="right"/>
              <w:spacing w:after="0"/>
              <w:rPr>
                <w:sz w:val="20"/>
                <w:szCs w:val="20"/>
                <w:color w:val="auto"/>
              </w:rPr>
            </w:pPr>
            <w:r>
              <w:rPr>
                <w:rFonts w:ascii="Arial" w:cs="Arial" w:eastAsia="Arial" w:hAnsi="Arial"/>
                <w:sz w:val="16"/>
                <w:szCs w:val="16"/>
                <w:color w:val="auto"/>
              </w:rPr>
              <w:t>24,174</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23,375</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Asociación Civil San Juan Bautista</w:t>
            </w:r>
          </w:p>
        </w:tc>
        <w:tc>
          <w:tcPr>
            <w:tcW w:w="1060" w:type="dxa"/>
            <w:vAlign w:val="bottom"/>
          </w:tcPr>
          <w:p>
            <w:pPr>
              <w:jc w:val="right"/>
              <w:spacing w:after="0"/>
              <w:rPr>
                <w:sz w:val="20"/>
                <w:szCs w:val="20"/>
                <w:color w:val="auto"/>
              </w:rPr>
            </w:pPr>
            <w:r>
              <w:rPr>
                <w:rFonts w:ascii="Arial" w:cs="Arial" w:eastAsia="Arial" w:hAnsi="Arial"/>
                <w:sz w:val="16"/>
                <w:szCs w:val="16"/>
                <w:color w:val="auto"/>
              </w:rPr>
              <w:t>23,565</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24,122</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Aeropuertos del Perú S.A.</w:t>
            </w:r>
          </w:p>
        </w:tc>
        <w:tc>
          <w:tcPr>
            <w:tcW w:w="1060" w:type="dxa"/>
            <w:vAlign w:val="bottom"/>
          </w:tcPr>
          <w:p>
            <w:pPr>
              <w:jc w:val="right"/>
              <w:spacing w:after="0"/>
              <w:rPr>
                <w:sz w:val="20"/>
                <w:szCs w:val="20"/>
                <w:color w:val="auto"/>
              </w:rPr>
            </w:pPr>
            <w:r>
              <w:rPr>
                <w:rFonts w:ascii="Arial" w:cs="Arial" w:eastAsia="Arial" w:hAnsi="Arial"/>
                <w:sz w:val="16"/>
                <w:szCs w:val="16"/>
                <w:color w:val="auto"/>
              </w:rPr>
              <w:t>14,730</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30,301</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Homecenters Peruanos S.A.</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22,804</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Fábrica Nacional de Cemento S.A.</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22,529</w:t>
            </w:r>
          </w:p>
        </w:tc>
      </w:tr>
      <w:tr>
        <w:trPr>
          <w:trHeight w:val="183"/>
        </w:trPr>
        <w:tc>
          <w:tcPr>
            <w:tcW w:w="7320" w:type="dxa"/>
            <w:vAlign w:val="bottom"/>
          </w:tcPr>
          <w:p>
            <w:pPr>
              <w:spacing w:after="0"/>
              <w:rPr>
                <w:sz w:val="20"/>
                <w:szCs w:val="20"/>
                <w:color w:val="auto"/>
              </w:rPr>
            </w:pPr>
            <w:r>
              <w:rPr>
                <w:rFonts w:ascii="Arial" w:cs="Arial" w:eastAsia="Arial" w:hAnsi="Arial"/>
                <w:sz w:val="16"/>
                <w:szCs w:val="16"/>
                <w:color w:val="auto"/>
              </w:rPr>
              <w:t>Telefónica Celular de Bolivia S.A.</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21,470</w:t>
            </w:r>
          </w:p>
        </w:tc>
      </w:tr>
      <w:tr>
        <w:trPr>
          <w:trHeight w:val="200"/>
        </w:trPr>
        <w:tc>
          <w:tcPr>
            <w:tcW w:w="7320" w:type="dxa"/>
            <w:vAlign w:val="bottom"/>
          </w:tcPr>
          <w:p>
            <w:pPr>
              <w:spacing w:after="0"/>
              <w:rPr>
                <w:sz w:val="20"/>
                <w:szCs w:val="20"/>
                <w:color w:val="auto"/>
              </w:rPr>
            </w:pPr>
            <w:r>
              <w:rPr>
                <w:rFonts w:ascii="Arial" w:cs="Arial" w:eastAsia="Arial" w:hAnsi="Arial"/>
                <w:sz w:val="16"/>
                <w:szCs w:val="16"/>
                <w:color w:val="auto"/>
              </w:rPr>
              <w:t>Others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40,506</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57,653</w:t>
            </w:r>
          </w:p>
        </w:tc>
      </w:tr>
      <w:tr>
        <w:trPr>
          <w:trHeight w:val="180"/>
        </w:trPr>
        <w:tc>
          <w:tcPr>
            <w:tcW w:w="732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677,885</w:t>
            </w: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666,924</w:t>
            </w:r>
          </w:p>
        </w:tc>
      </w:tr>
    </w:tbl>
    <w:p>
      <w:pPr>
        <w:spacing w:after="0" w:line="166" w:lineRule="exact"/>
        <w:rPr>
          <w:sz w:val="20"/>
          <w:szCs w:val="20"/>
          <w:color w:val="auto"/>
        </w:rPr>
      </w:pPr>
    </w:p>
    <w:p>
      <w:pPr>
        <w:jc w:val="both"/>
        <w:ind w:left="303" w:right="220"/>
        <w:spacing w:after="0" w:line="259" w:lineRule="auto"/>
        <w:rPr>
          <w:sz w:val="20"/>
          <w:szCs w:val="20"/>
          <w:color w:val="auto"/>
        </w:rPr>
      </w:pPr>
      <w:r>
        <w:rPr>
          <w:rFonts w:ascii="Arial" w:cs="Arial" w:eastAsia="Arial" w:hAnsi="Arial"/>
          <w:sz w:val="16"/>
          <w:szCs w:val="16"/>
          <w:color w:val="auto"/>
        </w:rPr>
        <w:t>The instruments have periodic payments until 2045.The pool of underlying assets consists mainly of accounts receivable from income, revenues for services and from maintenance and marketing contributions (Inmuebles Panamericana S.A.), and accounts receivable for electrical transmission services from the Carhuamayo - Cajamarca line (ATN S.A.).</w:t>
      </w:r>
    </w:p>
    <w:p>
      <w:pPr>
        <w:spacing w:after="0" w:line="137" w:lineRule="exact"/>
        <w:rPr>
          <w:sz w:val="20"/>
          <w:szCs w:val="20"/>
          <w:color w:val="auto"/>
        </w:rPr>
      </w:pPr>
    </w:p>
    <w:p>
      <w:pPr>
        <w:ind w:left="303" w:hanging="303"/>
        <w:spacing w:after="0" w:line="252" w:lineRule="auto"/>
        <w:tabs>
          <w:tab w:leader="none" w:pos="303"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of December 31, 2023, the balance corresponds to certificates equivalent to S/462.6 million in other currencies. issued mainly by the financial systems of Colombia and Bolivia. As of December 31, 2022, the balance corresponds to certificates in other currencies for an amount equivalent to S/573.2 million, certificates in soles for an amount of S/5.9 million and certificates in dollars for an amount of US$1.8 million, equivalent to S/6.7 million.</w:t>
      </w:r>
    </w:p>
    <w:p>
      <w:pPr>
        <w:spacing w:after="0" w:line="302" w:lineRule="exact"/>
        <w:rPr>
          <w:sz w:val="20"/>
          <w:szCs w:val="20"/>
          <w:color w:val="auto"/>
        </w:rPr>
      </w:pPr>
    </w:p>
    <w:p>
      <w:pPr>
        <w:ind w:left="4643"/>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203"/>
          </w:cols>
          <w:pgMar w:left="1197" w:top="306" w:right="49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20"/>
                <w:szCs w:val="20"/>
                <w:color w:val="auto"/>
              </w:rPr>
            </w:pPr>
            <w:r>
              <w:rPr>
                <w:rFonts w:ascii="Arial" w:cs="Arial" w:eastAsia="Arial" w:hAnsi="Arial"/>
                <w:sz w:val="16"/>
                <w:szCs w:val="16"/>
                <w:color w:val="auto"/>
              </w:rPr>
              <w:t>c)  Amortized cost investments consist of the following: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51"/>
        </w:trPr>
        <w:tc>
          <w:tcPr>
            <w:tcW w:w="8060" w:type="dxa"/>
            <w:vAlign w:val="bottom"/>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9"/>
        </w:trPr>
        <w:tc>
          <w:tcPr>
            <w:tcW w:w="8060" w:type="dxa"/>
            <w:vAlign w:val="bottom"/>
          </w:tcPr>
          <w:p>
            <w:pPr>
              <w:spacing w:after="0"/>
              <w:rPr>
                <w:sz w:val="13"/>
                <w:szCs w:val="13"/>
                <w:color w:val="auto"/>
              </w:rPr>
            </w:pPr>
          </w:p>
        </w:tc>
        <w:tc>
          <w:tcPr>
            <w:tcW w:w="1220" w:type="dxa"/>
            <w:vAlign w:val="bottom"/>
            <w:gridSpan w:val="2"/>
          </w:tcPr>
          <w:p>
            <w:pPr>
              <w:ind w:left="60"/>
              <w:spacing w:after="0" w:line="159" w:lineRule="exact"/>
              <w:rPr>
                <w:sz w:val="20"/>
                <w:szCs w:val="20"/>
                <w:color w:val="auto"/>
              </w:rPr>
            </w:pPr>
            <w:r>
              <w:rPr>
                <w:rFonts w:ascii="Arial" w:cs="Arial" w:eastAsia="Arial" w:hAnsi="Arial"/>
                <w:sz w:val="16"/>
                <w:szCs w:val="16"/>
                <w:b w:val="1"/>
                <w:bCs w:val="1"/>
                <w:color w:val="auto"/>
              </w:rPr>
              <w:t>Carrying</w:t>
            </w:r>
          </w:p>
        </w:tc>
        <w:tc>
          <w:tcPr>
            <w:tcW w:w="1140" w:type="dxa"/>
            <w:vAlign w:val="bottom"/>
          </w:tcPr>
          <w:p>
            <w:pPr>
              <w:ind w:left="60"/>
              <w:spacing w:after="0" w:line="159" w:lineRule="exact"/>
              <w:rPr>
                <w:sz w:val="20"/>
                <w:szCs w:val="20"/>
                <w:color w:val="auto"/>
              </w:rPr>
            </w:pPr>
            <w:r>
              <w:rPr>
                <w:rFonts w:ascii="Arial" w:cs="Arial" w:eastAsia="Arial" w:hAnsi="Arial"/>
                <w:sz w:val="16"/>
                <w:szCs w:val="16"/>
                <w:b w:val="1"/>
                <w:bCs w:val="1"/>
                <w:color w:val="auto"/>
              </w:rPr>
              <w:t>Fair</w:t>
            </w:r>
          </w:p>
        </w:tc>
      </w:tr>
      <w:tr>
        <w:trPr>
          <w:trHeight w:val="200"/>
        </w:trPr>
        <w:tc>
          <w:tcPr>
            <w:tcW w:w="806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40" w:type="dxa"/>
            <w:vAlign w:val="bottom"/>
          </w:tcPr>
          <w:p>
            <w:pPr>
              <w:ind w:left="60"/>
              <w:spacing w:after="0"/>
              <w:rPr>
                <w:sz w:val="20"/>
                <w:szCs w:val="20"/>
                <w:color w:val="auto"/>
              </w:rPr>
            </w:pPr>
            <w:r>
              <w:rPr>
                <w:rFonts w:ascii="Arial" w:cs="Arial" w:eastAsia="Arial" w:hAnsi="Arial"/>
                <w:sz w:val="16"/>
                <w:szCs w:val="16"/>
                <w:b w:val="1"/>
                <w:bCs w:val="1"/>
                <w:color w:val="auto"/>
              </w:rPr>
              <w:t>value</w:t>
            </w:r>
          </w:p>
        </w:tc>
      </w:tr>
      <w:tr>
        <w:trPr>
          <w:trHeight w:val="216"/>
        </w:trPr>
        <w:tc>
          <w:tcPr>
            <w:tcW w:w="8060" w:type="dxa"/>
            <w:vAlign w:val="bottom"/>
          </w:tcPr>
          <w:p>
            <w:pPr>
              <w:spacing w:after="0"/>
              <w:rPr>
                <w:sz w:val="18"/>
                <w:szCs w:val="18"/>
                <w:color w:val="auto"/>
              </w:rPr>
            </w:pP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r>
      <w:tr>
        <w:trPr>
          <w:trHeight w:val="310"/>
        </w:trPr>
        <w:tc>
          <w:tcPr>
            <w:tcW w:w="8060" w:type="dxa"/>
            <w:vAlign w:val="bottom"/>
          </w:tcPr>
          <w:p>
            <w:pPr>
              <w:ind w:left="300"/>
              <w:spacing w:after="0"/>
              <w:rPr>
                <w:sz w:val="20"/>
                <w:szCs w:val="20"/>
                <w:color w:val="auto"/>
              </w:rPr>
            </w:pPr>
            <w:r>
              <w:rPr>
                <w:rFonts w:ascii="Arial" w:cs="Arial" w:eastAsia="Arial" w:hAnsi="Arial"/>
                <w:sz w:val="16"/>
                <w:szCs w:val="16"/>
                <w:color w:val="auto"/>
              </w:rPr>
              <w:t>Peruvian Government Bonds (i)</w:t>
            </w:r>
          </w:p>
        </w:tc>
        <w:tc>
          <w:tcPr>
            <w:tcW w:w="1120" w:type="dxa"/>
            <w:vAlign w:val="bottom"/>
          </w:tcPr>
          <w:p>
            <w:pPr>
              <w:jc w:val="right"/>
              <w:spacing w:after="0"/>
              <w:rPr>
                <w:sz w:val="20"/>
                <w:szCs w:val="20"/>
                <w:color w:val="auto"/>
              </w:rPr>
            </w:pPr>
            <w:r>
              <w:rPr>
                <w:rFonts w:ascii="Arial" w:cs="Arial" w:eastAsia="Arial" w:hAnsi="Arial"/>
                <w:sz w:val="16"/>
                <w:szCs w:val="16"/>
                <w:color w:val="auto"/>
              </w:rPr>
              <w:t>9,323,970</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8,860,624</w:t>
            </w:r>
          </w:p>
        </w:tc>
      </w:tr>
      <w:tr>
        <w:trPr>
          <w:trHeight w:val="183"/>
        </w:trPr>
        <w:tc>
          <w:tcPr>
            <w:tcW w:w="8060" w:type="dxa"/>
            <w:vAlign w:val="bottom"/>
          </w:tcPr>
          <w:p>
            <w:pPr>
              <w:ind w:left="300"/>
              <w:spacing w:after="0"/>
              <w:rPr>
                <w:sz w:val="20"/>
                <w:szCs w:val="20"/>
                <w:color w:val="auto"/>
              </w:rPr>
            </w:pPr>
            <w:r>
              <w:rPr>
                <w:rFonts w:ascii="Arial" w:cs="Arial" w:eastAsia="Arial" w:hAnsi="Arial"/>
                <w:sz w:val="16"/>
                <w:szCs w:val="16"/>
                <w:color w:val="auto"/>
              </w:rPr>
              <w:t>Corporate bonds (i)</w:t>
            </w:r>
          </w:p>
        </w:tc>
        <w:tc>
          <w:tcPr>
            <w:tcW w:w="1120" w:type="dxa"/>
            <w:vAlign w:val="bottom"/>
          </w:tcPr>
          <w:p>
            <w:pPr>
              <w:jc w:val="right"/>
              <w:spacing w:after="0"/>
              <w:rPr>
                <w:sz w:val="20"/>
                <w:szCs w:val="20"/>
                <w:color w:val="auto"/>
              </w:rPr>
            </w:pPr>
            <w:r>
              <w:rPr>
                <w:rFonts w:ascii="Arial" w:cs="Arial" w:eastAsia="Arial" w:hAnsi="Arial"/>
                <w:sz w:val="16"/>
                <w:szCs w:val="16"/>
                <w:color w:val="auto"/>
              </w:rPr>
              <w:t>447,245</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447,774</w:t>
            </w:r>
          </w:p>
        </w:tc>
      </w:tr>
      <w:tr>
        <w:trPr>
          <w:trHeight w:val="183"/>
        </w:trPr>
        <w:tc>
          <w:tcPr>
            <w:tcW w:w="8060" w:type="dxa"/>
            <w:vAlign w:val="bottom"/>
          </w:tcPr>
          <w:p>
            <w:pPr>
              <w:ind w:left="300"/>
              <w:spacing w:after="0"/>
              <w:rPr>
                <w:sz w:val="20"/>
                <w:szCs w:val="20"/>
                <w:color w:val="auto"/>
              </w:rPr>
            </w:pPr>
            <w:r>
              <w:rPr>
                <w:rFonts w:ascii="Arial" w:cs="Arial" w:eastAsia="Arial" w:hAnsi="Arial"/>
                <w:sz w:val="16"/>
                <w:szCs w:val="16"/>
                <w:color w:val="auto"/>
              </w:rPr>
              <w:t>Other government bonds (i)</w:t>
            </w:r>
          </w:p>
        </w:tc>
        <w:tc>
          <w:tcPr>
            <w:tcW w:w="1120" w:type="dxa"/>
            <w:vAlign w:val="bottom"/>
          </w:tcPr>
          <w:p>
            <w:pPr>
              <w:jc w:val="right"/>
              <w:spacing w:after="0"/>
              <w:rPr>
                <w:sz w:val="20"/>
                <w:szCs w:val="20"/>
                <w:color w:val="auto"/>
              </w:rPr>
            </w:pPr>
            <w:r>
              <w:rPr>
                <w:rFonts w:ascii="Arial" w:cs="Arial" w:eastAsia="Arial" w:hAnsi="Arial"/>
                <w:sz w:val="16"/>
                <w:szCs w:val="16"/>
                <w:color w:val="auto"/>
              </w:rPr>
              <w:t>89,484</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89,482</w:t>
            </w:r>
          </w:p>
        </w:tc>
      </w:tr>
      <w:tr>
        <w:trPr>
          <w:trHeight w:val="183"/>
        </w:trPr>
        <w:tc>
          <w:tcPr>
            <w:tcW w:w="8060" w:type="dxa"/>
            <w:vAlign w:val="bottom"/>
          </w:tcPr>
          <w:p>
            <w:pPr>
              <w:ind w:left="300"/>
              <w:spacing w:after="0"/>
              <w:rPr>
                <w:sz w:val="20"/>
                <w:szCs w:val="20"/>
                <w:color w:val="auto"/>
              </w:rPr>
            </w:pPr>
            <w:r>
              <w:rPr>
                <w:rFonts w:ascii="Arial" w:cs="Arial" w:eastAsia="Arial" w:hAnsi="Arial"/>
                <w:sz w:val="16"/>
                <w:szCs w:val="16"/>
                <w:color w:val="auto"/>
              </w:rPr>
              <w:t>Negotiable certificates of deposits</w:t>
            </w:r>
          </w:p>
        </w:tc>
        <w:tc>
          <w:tcPr>
            <w:tcW w:w="1120" w:type="dxa"/>
            <w:vAlign w:val="bottom"/>
          </w:tcPr>
          <w:p>
            <w:pPr>
              <w:jc w:val="right"/>
              <w:spacing w:after="0"/>
              <w:rPr>
                <w:sz w:val="20"/>
                <w:szCs w:val="20"/>
                <w:color w:val="auto"/>
              </w:rPr>
            </w:pPr>
            <w:r>
              <w:rPr>
                <w:rFonts w:ascii="Arial" w:cs="Arial" w:eastAsia="Arial" w:hAnsi="Arial"/>
                <w:sz w:val="16"/>
                <w:szCs w:val="16"/>
                <w:color w:val="auto"/>
              </w:rPr>
              <w:t>55,336</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29,672</w:t>
            </w:r>
          </w:p>
        </w:tc>
      </w:tr>
      <w:tr>
        <w:trPr>
          <w:trHeight w:val="183"/>
        </w:trPr>
        <w:tc>
          <w:tcPr>
            <w:tcW w:w="8060" w:type="dxa"/>
            <w:vAlign w:val="bottom"/>
          </w:tcPr>
          <w:p>
            <w:pPr>
              <w:ind w:left="300"/>
              <w:spacing w:after="0"/>
              <w:rPr>
                <w:sz w:val="20"/>
                <w:szCs w:val="20"/>
                <w:color w:val="auto"/>
              </w:rPr>
            </w:pPr>
            <w:r>
              <w:rPr>
                <w:rFonts w:ascii="Arial" w:cs="Arial" w:eastAsia="Arial" w:hAnsi="Arial"/>
                <w:sz w:val="16"/>
                <w:szCs w:val="16"/>
                <w:color w:val="auto"/>
              </w:rPr>
              <w:t>Subordinated bonds (i)</w:t>
            </w:r>
          </w:p>
        </w:tc>
        <w:tc>
          <w:tcPr>
            <w:tcW w:w="1120" w:type="dxa"/>
            <w:vAlign w:val="bottom"/>
          </w:tcPr>
          <w:p>
            <w:pPr>
              <w:jc w:val="right"/>
              <w:spacing w:after="0"/>
              <w:rPr>
                <w:sz w:val="20"/>
                <w:szCs w:val="20"/>
                <w:color w:val="auto"/>
              </w:rPr>
            </w:pPr>
            <w:r>
              <w:rPr>
                <w:rFonts w:ascii="Arial" w:cs="Arial" w:eastAsia="Arial" w:hAnsi="Arial"/>
                <w:sz w:val="16"/>
                <w:szCs w:val="16"/>
                <w:color w:val="auto"/>
              </w:rPr>
              <w:t>29,648</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29,801</w:t>
            </w:r>
          </w:p>
        </w:tc>
      </w:tr>
      <w:tr>
        <w:trPr>
          <w:trHeight w:val="200"/>
        </w:trPr>
        <w:tc>
          <w:tcPr>
            <w:tcW w:w="8060" w:type="dxa"/>
            <w:vAlign w:val="bottom"/>
          </w:tcPr>
          <w:p>
            <w:pPr>
              <w:ind w:left="300"/>
              <w:spacing w:after="0"/>
              <w:rPr>
                <w:sz w:val="20"/>
                <w:szCs w:val="20"/>
                <w:color w:val="auto"/>
              </w:rPr>
            </w:pPr>
            <w:r>
              <w:rPr>
                <w:rFonts w:ascii="Arial" w:cs="Arial" w:eastAsia="Arial" w:hAnsi="Arial"/>
                <w:sz w:val="16"/>
                <w:szCs w:val="16"/>
                <w:color w:val="auto"/>
              </w:rPr>
              <w:t>Certificates of payment on work progress (CRPAO) (ii)</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22,717</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22,433</w:t>
            </w:r>
          </w:p>
        </w:tc>
      </w:tr>
      <w:tr>
        <w:trPr>
          <w:trHeight w:val="159"/>
        </w:trPr>
        <w:tc>
          <w:tcPr>
            <w:tcW w:w="8060" w:type="dxa"/>
            <w:vAlign w:val="bottom"/>
          </w:tcPr>
          <w:p>
            <w:pPr>
              <w:spacing w:after="0"/>
              <w:rPr>
                <w:sz w:val="13"/>
                <w:szCs w:val="13"/>
                <w:color w:val="auto"/>
              </w:rPr>
            </w:pPr>
          </w:p>
        </w:tc>
        <w:tc>
          <w:tcPr>
            <w:tcW w:w="1120" w:type="dxa"/>
            <w:vAlign w:val="bottom"/>
          </w:tcPr>
          <w:p>
            <w:pPr>
              <w:jc w:val="right"/>
              <w:spacing w:after="0" w:line="159" w:lineRule="exact"/>
              <w:rPr>
                <w:sz w:val="20"/>
                <w:szCs w:val="20"/>
                <w:color w:val="auto"/>
              </w:rPr>
            </w:pPr>
            <w:r>
              <w:rPr>
                <w:rFonts w:ascii="Arial" w:cs="Arial" w:eastAsia="Arial" w:hAnsi="Arial"/>
                <w:sz w:val="16"/>
                <w:szCs w:val="16"/>
                <w:color w:val="auto"/>
              </w:rPr>
              <w:t>9,968,400</w:t>
            </w:r>
          </w:p>
        </w:tc>
        <w:tc>
          <w:tcPr>
            <w:tcW w:w="10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6"/>
                <w:szCs w:val="16"/>
                <w:color w:val="auto"/>
              </w:rPr>
              <w:t>9,479,786</w:t>
            </w:r>
          </w:p>
        </w:tc>
      </w:tr>
      <w:tr>
        <w:trPr>
          <w:trHeight w:val="200"/>
        </w:trPr>
        <w:tc>
          <w:tcPr>
            <w:tcW w:w="8060" w:type="dxa"/>
            <w:vAlign w:val="bottom"/>
          </w:tcPr>
          <w:p>
            <w:pPr>
              <w:ind w:left="300"/>
              <w:spacing w:after="0"/>
              <w:rPr>
                <w:sz w:val="20"/>
                <w:szCs w:val="20"/>
                <w:color w:val="auto"/>
              </w:rPr>
            </w:pPr>
            <w:r>
              <w:rPr>
                <w:rFonts w:ascii="Arial" w:cs="Arial" w:eastAsia="Arial" w:hAnsi="Arial"/>
                <w:sz w:val="16"/>
                <w:szCs w:val="16"/>
                <w:color w:val="auto"/>
              </w:rPr>
              <w:t>Accrued interest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220,527</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220,527</w:t>
            </w:r>
          </w:p>
        </w:tc>
      </w:tr>
      <w:tr>
        <w:trPr>
          <w:trHeight w:val="180"/>
        </w:trPr>
        <w:tc>
          <w:tcPr>
            <w:tcW w:w="8060" w:type="dxa"/>
            <w:vAlign w:val="bottom"/>
          </w:tcPr>
          <w:p>
            <w:pPr>
              <w:ind w:left="300"/>
              <w:spacing w:after="0" w:line="175" w:lineRule="exact"/>
              <w:rPr>
                <w:sz w:val="20"/>
                <w:szCs w:val="20"/>
                <w:color w:val="auto"/>
              </w:rPr>
            </w:pPr>
            <w:r>
              <w:rPr>
                <w:rFonts w:ascii="Arial" w:cs="Arial" w:eastAsia="Arial" w:hAnsi="Arial"/>
                <w:sz w:val="16"/>
                <w:szCs w:val="16"/>
                <w:b w:val="1"/>
                <w:bCs w:val="1"/>
                <w:color w:val="auto"/>
              </w:rPr>
              <w:t>Total investments at amortized cost, net</w:t>
            </w: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10,188,927</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9,700,313</w:t>
            </w:r>
          </w:p>
        </w:tc>
      </w:tr>
      <w:tr>
        <w:trPr>
          <w:trHeight w:val="550"/>
        </w:trPr>
        <w:tc>
          <w:tcPr>
            <w:tcW w:w="8060" w:type="dxa"/>
            <w:vAlign w:val="bottom"/>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9"/>
        </w:trPr>
        <w:tc>
          <w:tcPr>
            <w:tcW w:w="8060" w:type="dxa"/>
            <w:vAlign w:val="bottom"/>
          </w:tcPr>
          <w:p>
            <w:pPr>
              <w:spacing w:after="0"/>
              <w:rPr>
                <w:sz w:val="13"/>
                <w:szCs w:val="13"/>
                <w:color w:val="auto"/>
              </w:rPr>
            </w:pPr>
          </w:p>
        </w:tc>
        <w:tc>
          <w:tcPr>
            <w:tcW w:w="1220" w:type="dxa"/>
            <w:vAlign w:val="bottom"/>
            <w:gridSpan w:val="2"/>
          </w:tcPr>
          <w:p>
            <w:pPr>
              <w:ind w:left="60"/>
              <w:spacing w:after="0" w:line="159" w:lineRule="exact"/>
              <w:rPr>
                <w:sz w:val="20"/>
                <w:szCs w:val="20"/>
                <w:color w:val="auto"/>
              </w:rPr>
            </w:pPr>
            <w:r>
              <w:rPr>
                <w:rFonts w:ascii="Arial" w:cs="Arial" w:eastAsia="Arial" w:hAnsi="Arial"/>
                <w:sz w:val="16"/>
                <w:szCs w:val="16"/>
                <w:b w:val="1"/>
                <w:bCs w:val="1"/>
                <w:color w:val="auto"/>
              </w:rPr>
              <w:t>Carrying</w:t>
            </w:r>
          </w:p>
        </w:tc>
        <w:tc>
          <w:tcPr>
            <w:tcW w:w="1140" w:type="dxa"/>
            <w:vAlign w:val="bottom"/>
          </w:tcPr>
          <w:p>
            <w:pPr>
              <w:ind w:left="60"/>
              <w:spacing w:after="0" w:line="159" w:lineRule="exact"/>
              <w:rPr>
                <w:sz w:val="20"/>
                <w:szCs w:val="20"/>
                <w:color w:val="auto"/>
              </w:rPr>
            </w:pPr>
            <w:r>
              <w:rPr>
                <w:rFonts w:ascii="Arial" w:cs="Arial" w:eastAsia="Arial" w:hAnsi="Arial"/>
                <w:sz w:val="16"/>
                <w:szCs w:val="16"/>
                <w:b w:val="1"/>
                <w:bCs w:val="1"/>
                <w:color w:val="auto"/>
              </w:rPr>
              <w:t>Fair</w:t>
            </w:r>
          </w:p>
        </w:tc>
      </w:tr>
      <w:tr>
        <w:trPr>
          <w:trHeight w:val="200"/>
        </w:trPr>
        <w:tc>
          <w:tcPr>
            <w:tcW w:w="806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40" w:type="dxa"/>
            <w:vAlign w:val="bottom"/>
          </w:tcPr>
          <w:p>
            <w:pPr>
              <w:ind w:left="60"/>
              <w:spacing w:after="0"/>
              <w:rPr>
                <w:sz w:val="20"/>
                <w:szCs w:val="20"/>
                <w:color w:val="auto"/>
              </w:rPr>
            </w:pPr>
            <w:r>
              <w:rPr>
                <w:rFonts w:ascii="Arial" w:cs="Arial" w:eastAsia="Arial" w:hAnsi="Arial"/>
                <w:sz w:val="16"/>
                <w:szCs w:val="16"/>
                <w:b w:val="1"/>
                <w:bCs w:val="1"/>
                <w:color w:val="auto"/>
              </w:rPr>
              <w:t>value</w:t>
            </w:r>
          </w:p>
        </w:tc>
      </w:tr>
      <w:tr>
        <w:trPr>
          <w:trHeight w:val="216"/>
        </w:trPr>
        <w:tc>
          <w:tcPr>
            <w:tcW w:w="8060" w:type="dxa"/>
            <w:vAlign w:val="bottom"/>
          </w:tcPr>
          <w:p>
            <w:pPr>
              <w:spacing w:after="0"/>
              <w:rPr>
                <w:sz w:val="18"/>
                <w:szCs w:val="18"/>
                <w:color w:val="auto"/>
              </w:rPr>
            </w:pP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r>
      <w:tr>
        <w:trPr>
          <w:trHeight w:val="310"/>
        </w:trPr>
        <w:tc>
          <w:tcPr>
            <w:tcW w:w="8060" w:type="dxa"/>
            <w:vAlign w:val="bottom"/>
          </w:tcPr>
          <w:p>
            <w:pPr>
              <w:ind w:left="300"/>
              <w:spacing w:after="0"/>
              <w:rPr>
                <w:sz w:val="20"/>
                <w:szCs w:val="20"/>
                <w:color w:val="auto"/>
              </w:rPr>
            </w:pPr>
            <w:r>
              <w:rPr>
                <w:rFonts w:ascii="Arial" w:cs="Arial" w:eastAsia="Arial" w:hAnsi="Arial"/>
                <w:sz w:val="16"/>
                <w:szCs w:val="16"/>
                <w:color w:val="auto"/>
              </w:rPr>
              <w:t>Peruvian Government Bonds (i)</w:t>
            </w:r>
          </w:p>
        </w:tc>
        <w:tc>
          <w:tcPr>
            <w:tcW w:w="1120" w:type="dxa"/>
            <w:vAlign w:val="bottom"/>
          </w:tcPr>
          <w:p>
            <w:pPr>
              <w:jc w:val="right"/>
              <w:spacing w:after="0"/>
              <w:rPr>
                <w:sz w:val="20"/>
                <w:szCs w:val="20"/>
                <w:color w:val="auto"/>
              </w:rPr>
            </w:pPr>
            <w:r>
              <w:rPr>
                <w:rFonts w:ascii="Arial" w:cs="Arial" w:eastAsia="Arial" w:hAnsi="Arial"/>
                <w:sz w:val="16"/>
                <w:szCs w:val="16"/>
                <w:color w:val="auto"/>
              </w:rPr>
              <w:t>9,573,026</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8,055,873</w:t>
            </w:r>
          </w:p>
        </w:tc>
      </w:tr>
      <w:tr>
        <w:trPr>
          <w:trHeight w:val="183"/>
        </w:trPr>
        <w:tc>
          <w:tcPr>
            <w:tcW w:w="8060" w:type="dxa"/>
            <w:vAlign w:val="bottom"/>
          </w:tcPr>
          <w:p>
            <w:pPr>
              <w:ind w:left="300"/>
              <w:spacing w:after="0"/>
              <w:rPr>
                <w:sz w:val="20"/>
                <w:szCs w:val="20"/>
                <w:color w:val="auto"/>
              </w:rPr>
            </w:pPr>
            <w:r>
              <w:rPr>
                <w:rFonts w:ascii="Arial" w:cs="Arial" w:eastAsia="Arial" w:hAnsi="Arial"/>
                <w:sz w:val="16"/>
                <w:szCs w:val="16"/>
                <w:color w:val="auto"/>
              </w:rPr>
              <w:t>Corporate bonds (i)</w:t>
            </w:r>
          </w:p>
        </w:tc>
        <w:tc>
          <w:tcPr>
            <w:tcW w:w="1120" w:type="dxa"/>
            <w:vAlign w:val="bottom"/>
          </w:tcPr>
          <w:p>
            <w:pPr>
              <w:jc w:val="right"/>
              <w:spacing w:after="0"/>
              <w:rPr>
                <w:sz w:val="20"/>
                <w:szCs w:val="20"/>
                <w:color w:val="auto"/>
              </w:rPr>
            </w:pPr>
            <w:r>
              <w:rPr>
                <w:rFonts w:ascii="Arial" w:cs="Arial" w:eastAsia="Arial" w:hAnsi="Arial"/>
                <w:sz w:val="16"/>
                <w:szCs w:val="16"/>
                <w:color w:val="auto"/>
              </w:rPr>
              <w:t>442,558</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445,684</w:t>
            </w:r>
          </w:p>
        </w:tc>
      </w:tr>
      <w:tr>
        <w:trPr>
          <w:trHeight w:val="183"/>
        </w:trPr>
        <w:tc>
          <w:tcPr>
            <w:tcW w:w="8060" w:type="dxa"/>
            <w:vAlign w:val="bottom"/>
          </w:tcPr>
          <w:p>
            <w:pPr>
              <w:ind w:left="300"/>
              <w:spacing w:after="0"/>
              <w:rPr>
                <w:sz w:val="20"/>
                <w:szCs w:val="20"/>
                <w:color w:val="auto"/>
              </w:rPr>
            </w:pPr>
            <w:r>
              <w:rPr>
                <w:rFonts w:ascii="Arial" w:cs="Arial" w:eastAsia="Arial" w:hAnsi="Arial"/>
                <w:sz w:val="16"/>
                <w:szCs w:val="16"/>
                <w:color w:val="auto"/>
              </w:rPr>
              <w:t>Other government bonds (i)</w:t>
            </w:r>
          </w:p>
        </w:tc>
        <w:tc>
          <w:tcPr>
            <w:tcW w:w="1120" w:type="dxa"/>
            <w:vAlign w:val="bottom"/>
          </w:tcPr>
          <w:p>
            <w:pPr>
              <w:jc w:val="right"/>
              <w:spacing w:after="0"/>
              <w:rPr>
                <w:sz w:val="20"/>
                <w:szCs w:val="20"/>
                <w:color w:val="auto"/>
              </w:rPr>
            </w:pPr>
            <w:r>
              <w:rPr>
                <w:rFonts w:ascii="Arial" w:cs="Arial" w:eastAsia="Arial" w:hAnsi="Arial"/>
                <w:sz w:val="16"/>
                <w:szCs w:val="16"/>
                <w:color w:val="auto"/>
              </w:rPr>
              <w:t>114,262</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113,759</w:t>
            </w:r>
          </w:p>
        </w:tc>
      </w:tr>
      <w:tr>
        <w:trPr>
          <w:trHeight w:val="183"/>
        </w:trPr>
        <w:tc>
          <w:tcPr>
            <w:tcW w:w="8060" w:type="dxa"/>
            <w:vAlign w:val="bottom"/>
          </w:tcPr>
          <w:p>
            <w:pPr>
              <w:ind w:left="300"/>
              <w:spacing w:after="0"/>
              <w:rPr>
                <w:sz w:val="20"/>
                <w:szCs w:val="20"/>
                <w:color w:val="auto"/>
              </w:rPr>
            </w:pPr>
            <w:r>
              <w:rPr>
                <w:rFonts w:ascii="Arial" w:cs="Arial" w:eastAsia="Arial" w:hAnsi="Arial"/>
                <w:sz w:val="16"/>
                <w:szCs w:val="16"/>
                <w:color w:val="auto"/>
              </w:rPr>
              <w:t>Subordinated bonds (i)</w:t>
            </w:r>
          </w:p>
        </w:tc>
        <w:tc>
          <w:tcPr>
            <w:tcW w:w="1120" w:type="dxa"/>
            <w:vAlign w:val="bottom"/>
          </w:tcPr>
          <w:p>
            <w:pPr>
              <w:jc w:val="right"/>
              <w:spacing w:after="0"/>
              <w:rPr>
                <w:sz w:val="20"/>
                <w:szCs w:val="20"/>
                <w:color w:val="auto"/>
              </w:rPr>
            </w:pPr>
            <w:r>
              <w:rPr>
                <w:rFonts w:ascii="Arial" w:cs="Arial" w:eastAsia="Arial" w:hAnsi="Arial"/>
                <w:sz w:val="16"/>
                <w:szCs w:val="16"/>
                <w:color w:val="auto"/>
              </w:rPr>
              <w:t>49,597</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49,830</w:t>
            </w:r>
          </w:p>
        </w:tc>
      </w:tr>
      <w:tr>
        <w:trPr>
          <w:trHeight w:val="200"/>
        </w:trPr>
        <w:tc>
          <w:tcPr>
            <w:tcW w:w="8060" w:type="dxa"/>
            <w:vAlign w:val="bottom"/>
          </w:tcPr>
          <w:p>
            <w:pPr>
              <w:ind w:left="300"/>
              <w:spacing w:after="0"/>
              <w:rPr>
                <w:sz w:val="20"/>
                <w:szCs w:val="20"/>
                <w:color w:val="auto"/>
              </w:rPr>
            </w:pPr>
            <w:r>
              <w:rPr>
                <w:rFonts w:ascii="Arial" w:cs="Arial" w:eastAsia="Arial" w:hAnsi="Arial"/>
                <w:sz w:val="16"/>
                <w:szCs w:val="16"/>
                <w:color w:val="auto"/>
              </w:rPr>
              <w:t>Certificates of payment on work progress (CRPAO) (ii)</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47,584</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46,786</w:t>
            </w:r>
          </w:p>
        </w:tc>
      </w:tr>
      <w:tr>
        <w:trPr>
          <w:trHeight w:val="159"/>
        </w:trPr>
        <w:tc>
          <w:tcPr>
            <w:tcW w:w="8060" w:type="dxa"/>
            <w:vAlign w:val="bottom"/>
          </w:tcPr>
          <w:p>
            <w:pPr>
              <w:spacing w:after="0"/>
              <w:rPr>
                <w:sz w:val="13"/>
                <w:szCs w:val="13"/>
                <w:color w:val="auto"/>
              </w:rPr>
            </w:pPr>
          </w:p>
        </w:tc>
        <w:tc>
          <w:tcPr>
            <w:tcW w:w="1120" w:type="dxa"/>
            <w:vAlign w:val="bottom"/>
          </w:tcPr>
          <w:p>
            <w:pPr>
              <w:jc w:val="right"/>
              <w:spacing w:after="0" w:line="159" w:lineRule="exact"/>
              <w:rPr>
                <w:sz w:val="20"/>
                <w:szCs w:val="20"/>
                <w:color w:val="auto"/>
              </w:rPr>
            </w:pPr>
            <w:r>
              <w:rPr>
                <w:rFonts w:ascii="Arial" w:cs="Arial" w:eastAsia="Arial" w:hAnsi="Arial"/>
                <w:sz w:val="16"/>
                <w:szCs w:val="16"/>
                <w:color w:val="auto"/>
              </w:rPr>
              <w:t>10,227,027</w:t>
            </w:r>
          </w:p>
        </w:tc>
        <w:tc>
          <w:tcPr>
            <w:tcW w:w="10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6"/>
                <w:szCs w:val="16"/>
                <w:color w:val="auto"/>
              </w:rPr>
              <w:t>8,711,932</w:t>
            </w:r>
          </w:p>
        </w:tc>
      </w:tr>
      <w:tr>
        <w:trPr>
          <w:trHeight w:val="200"/>
        </w:trPr>
        <w:tc>
          <w:tcPr>
            <w:tcW w:w="8060" w:type="dxa"/>
            <w:vAlign w:val="bottom"/>
          </w:tcPr>
          <w:p>
            <w:pPr>
              <w:ind w:left="300"/>
              <w:spacing w:after="0"/>
              <w:rPr>
                <w:sz w:val="20"/>
                <w:szCs w:val="20"/>
                <w:color w:val="auto"/>
              </w:rPr>
            </w:pPr>
            <w:r>
              <w:rPr>
                <w:rFonts w:ascii="Arial" w:cs="Arial" w:eastAsia="Arial" w:hAnsi="Arial"/>
                <w:sz w:val="16"/>
                <w:szCs w:val="16"/>
                <w:color w:val="auto"/>
              </w:rPr>
              <w:t>Accrued interest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218,702</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218,702</w:t>
            </w:r>
          </w:p>
        </w:tc>
      </w:tr>
      <w:tr>
        <w:trPr>
          <w:trHeight w:val="180"/>
        </w:trPr>
        <w:tc>
          <w:tcPr>
            <w:tcW w:w="8060" w:type="dxa"/>
            <w:vAlign w:val="bottom"/>
          </w:tcPr>
          <w:p>
            <w:pPr>
              <w:ind w:left="300"/>
              <w:spacing w:after="0" w:line="175" w:lineRule="exact"/>
              <w:rPr>
                <w:sz w:val="20"/>
                <w:szCs w:val="20"/>
                <w:color w:val="auto"/>
              </w:rPr>
            </w:pPr>
            <w:r>
              <w:rPr>
                <w:rFonts w:ascii="Arial" w:cs="Arial" w:eastAsia="Arial" w:hAnsi="Arial"/>
                <w:sz w:val="16"/>
                <w:szCs w:val="16"/>
                <w:b w:val="1"/>
                <w:bCs w:val="1"/>
                <w:color w:val="auto"/>
              </w:rPr>
              <w:t>Total investments at amortized cost, net</w:t>
            </w: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10,445,729</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8,930,634</w:t>
            </w:r>
          </w:p>
        </w:tc>
      </w:tr>
    </w:tbl>
    <w:p>
      <w:pPr>
        <w:spacing w:after="0" w:line="3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expected loss of investments at amortized cost as of December 31, 2023 and 2022 is S/2.3 million and S/3.9 million, respectively.</w:t>
      </w:r>
    </w:p>
    <w:p>
      <w:pPr>
        <w:spacing w:after="0" w:line="183" w:lineRule="exact"/>
        <w:rPr>
          <w:sz w:val="20"/>
          <w:szCs w:val="20"/>
          <w:color w:val="auto"/>
        </w:rPr>
      </w:pPr>
    </w:p>
    <w:p>
      <w:pPr>
        <w:ind w:left="600" w:hanging="303"/>
        <w:spacing w:after="0" w:line="247" w:lineRule="auto"/>
        <w:tabs>
          <w:tab w:leader="none" w:pos="6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As of December 31, 2023, said bonds have maturities between January 2024 and February 2042; accruing interest at an effective annual rate between 5.59 percent and 6.82 percent annually for bonds issued in soles, between 4.53 percent and 21.23 percent for bonds issued in US dollars, and between 8.67 percent and 11.53 percent annually for bonds issued in other currencies. As of December 31, 2022, they have maturities between January 2023 and February 2042; accruing interest at an effective annual rate between 6.65 percent and 8.13 percent annually for bonds issued in soles, between 2.59 percent and 16.30 percent for bonds issued in US dollars, and between 5.66 percent and 11.24 percent annually for bonds issued in other currencies.</w:t>
      </w:r>
    </w:p>
    <w:p>
      <w:pPr>
        <w:spacing w:after="0" w:line="146" w:lineRule="exact"/>
        <w:rPr>
          <w:rFonts w:ascii="Arial" w:cs="Arial" w:eastAsia="Arial" w:hAnsi="Arial"/>
          <w:sz w:val="16"/>
          <w:szCs w:val="16"/>
          <w:color w:val="auto"/>
        </w:rPr>
      </w:pPr>
    </w:p>
    <w:p>
      <w:pPr>
        <w:jc w:val="both"/>
        <w:ind w:left="600" w:right="380"/>
        <w:spacing w:after="0" w:line="280" w:lineRule="auto"/>
        <w:rPr>
          <w:rFonts w:ascii="Arial" w:cs="Arial" w:eastAsia="Arial" w:hAnsi="Arial"/>
          <w:sz w:val="16"/>
          <w:szCs w:val="16"/>
          <w:color w:val="auto"/>
        </w:rPr>
      </w:pPr>
      <w:r>
        <w:rPr>
          <w:rFonts w:ascii="Arial" w:cs="Arial" w:eastAsia="Arial" w:hAnsi="Arial"/>
          <w:sz w:val="16"/>
          <w:szCs w:val="16"/>
          <w:color w:val="auto"/>
        </w:rPr>
        <w:t>Credicorp Management has determined that, as of December 31, 2023, the difference between the amortized cost and the fair value of these investments is of a temporary nature and Credicorp has the intention and ability to hold each of these investments until maturity.</w:t>
      </w:r>
    </w:p>
    <w:p>
      <w:pPr>
        <w:spacing w:after="0" w:line="279"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41275</wp:posOffset>
            </wp:positionV>
            <wp:extent cx="714565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60"/>
          </w:cols>
          <w:pgMar w:left="900" w:top="306" w:right="339" w:bottom="1440" w:gutter="0" w:footer="0" w:header="0"/>
        </w:sectPr>
      </w:pPr>
    </w:p>
    <w:bookmarkStart w:id="75" w:name="page76"/>
    <w:bookmarkEnd w:id="75"/>
    <w:p>
      <w:pPr>
        <w:ind w:left="1180" w:right="60"/>
        <w:spacing w:after="0" w:line="252" w:lineRule="auto"/>
        <w:rPr>
          <w:sz w:val="20"/>
          <w:szCs w:val="20"/>
          <w:color w:val="auto"/>
        </w:rPr>
      </w:pPr>
      <w:r>
        <w:rPr>
          <w:rFonts w:ascii="Arial" w:cs="Arial" w:eastAsia="Arial" w:hAnsi="Arial"/>
          <w:sz w:val="16"/>
          <w:szCs w:val="16"/>
          <w:color w:val="auto"/>
        </w:rPr>
        <w:t>As of December 31, 2023, the Group has investment repurchase agreement operations at amortized cost for an estimated fair value of S/2,264.1 million. As of December 31, 2022, the amount amounted to S/3,540.5 million, the related liability of which is presented in the item “Accounts payable for repurchase agreements and securities lending” of the condensed interim consolidated statement of financial position, see note 5(c).</w:t>
      </w:r>
    </w:p>
    <w:p>
      <w:pPr>
        <w:spacing w:after="0" w:line="144" w:lineRule="exact"/>
        <w:rPr>
          <w:sz w:val="20"/>
          <w:szCs w:val="20"/>
          <w:color w:val="auto"/>
        </w:rPr>
      </w:pPr>
    </w:p>
    <w:p>
      <w:pPr>
        <w:ind w:left="1180" w:right="20" w:hanging="303"/>
        <w:spacing w:after="0" w:line="247" w:lineRule="auto"/>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As of December 31, 2023, there are 26 certificates of Annual Recognition of Work Progress Payment - CRPAO (57 CRPAO as of December 31, 2022), issued by the Peruvian State to finance projects and concessions. Said issuance is a mechanism established in the concession contract signed between the State and the concessionaire, which allows the latter to obtain financing to continue with the work undertaken. Said investment matures between January 2024 and April 2026, accruing interest at an effective annual rate between 7.12 percent and 7.75 percent (between January 2023 and April 2026, accruing interest at an effective annual rate between 6.20 percent and 7.59 percent as of December 31, 2022).</w:t>
      </w:r>
    </w:p>
    <w:p>
      <w:pPr>
        <w:spacing w:after="0" w:line="147" w:lineRule="exact"/>
        <w:rPr>
          <w:sz w:val="20"/>
          <w:szCs w:val="20"/>
          <w:color w:val="auto"/>
        </w:rPr>
      </w:pPr>
    </w:p>
    <w:p>
      <w:pPr>
        <w:ind w:left="880" w:right="140"/>
        <w:spacing w:after="0" w:line="280" w:lineRule="auto"/>
        <w:rPr>
          <w:sz w:val="20"/>
          <w:szCs w:val="20"/>
          <w:color w:val="auto"/>
        </w:rPr>
      </w:pPr>
      <w:r>
        <w:rPr>
          <w:rFonts w:ascii="Arial" w:cs="Arial" w:eastAsia="Arial" w:hAnsi="Arial"/>
          <w:sz w:val="16"/>
          <w:szCs w:val="16"/>
          <w:color w:val="auto"/>
        </w:rPr>
        <w:t>The increase in bonds at amortized cost is due to the fact that, in October 2022, Banco de Crédito del Perú reclassified its portfolio of bonds at fair value through other comprehensive income at amortized cost due to a change in its business model, see note 6(b).</w:t>
      </w:r>
    </w:p>
    <w:p>
      <w:pPr>
        <w:spacing w:after="0" w:line="120" w:lineRule="exact"/>
        <w:rPr>
          <w:sz w:val="20"/>
          <w:szCs w:val="20"/>
          <w:color w:val="auto"/>
        </w:rPr>
      </w:pPr>
    </w:p>
    <w:p>
      <w:pPr>
        <w:ind w:left="580"/>
        <w:spacing w:after="0"/>
        <w:tabs>
          <w:tab w:leader="none" w:pos="860" w:val="left"/>
        </w:tabs>
        <w:rPr>
          <w:sz w:val="20"/>
          <w:szCs w:val="20"/>
          <w:color w:val="auto"/>
        </w:rPr>
      </w:pPr>
      <w:r>
        <w:rPr>
          <w:rFonts w:ascii="Arial" w:cs="Arial" w:eastAsia="Arial" w:hAnsi="Arial"/>
          <w:sz w:val="16"/>
          <w:szCs w:val="16"/>
          <w:color w:val="auto"/>
        </w:rPr>
        <w:t>d)</w:t>
        <w:tab/>
        <w:t>The table below shows the balance of investments classified by maturity, without consider accrued interest or provision for credit loss: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60" w:type="dxa"/>
            <w:vAlign w:val="bottom"/>
          </w:tcPr>
          <w:p>
            <w:pPr>
              <w:spacing w:after="0"/>
              <w:rPr>
                <w:sz w:val="17"/>
                <w:szCs w:val="17"/>
                <w:color w:val="auto"/>
              </w:rPr>
            </w:pPr>
          </w:p>
        </w:tc>
        <w:tc>
          <w:tcPr>
            <w:tcW w:w="2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620" w:type="dxa"/>
            <w:vAlign w:val="bottom"/>
          </w:tcPr>
          <w:p>
            <w:pPr>
              <w:spacing w:after="0"/>
              <w:rPr>
                <w:sz w:val="17"/>
                <w:szCs w:val="17"/>
                <w:color w:val="auto"/>
              </w:rPr>
            </w:pPr>
          </w:p>
        </w:tc>
      </w:tr>
      <w:tr>
        <w:trPr>
          <w:trHeight w:val="159"/>
        </w:trPr>
        <w:tc>
          <w:tcPr>
            <w:tcW w:w="4460" w:type="dxa"/>
            <w:vAlign w:val="bottom"/>
          </w:tcPr>
          <w:p>
            <w:pPr>
              <w:spacing w:after="0"/>
              <w:rPr>
                <w:sz w:val="13"/>
                <w:szCs w:val="13"/>
                <w:color w:val="auto"/>
              </w:rPr>
            </w:pPr>
          </w:p>
        </w:tc>
        <w:tc>
          <w:tcPr>
            <w:tcW w:w="2360" w:type="dxa"/>
            <w:vAlign w:val="bottom"/>
            <w:gridSpan w:val="2"/>
          </w:tcPr>
          <w:p>
            <w:pPr>
              <w:ind w:left="60"/>
              <w:spacing w:after="0" w:line="159" w:lineRule="exact"/>
              <w:rPr>
                <w:sz w:val="20"/>
                <w:szCs w:val="20"/>
                <w:color w:val="auto"/>
              </w:rPr>
            </w:pPr>
            <w:r>
              <w:rPr>
                <w:rFonts w:ascii="Arial" w:cs="Arial" w:eastAsia="Arial" w:hAnsi="Arial"/>
                <w:sz w:val="16"/>
                <w:szCs w:val="16"/>
                <w:b w:val="1"/>
                <w:bCs w:val="1"/>
                <w:color w:val="auto"/>
              </w:rPr>
              <w:t>At fair value</w:t>
            </w:r>
          </w:p>
        </w:tc>
        <w:tc>
          <w:tcPr>
            <w:tcW w:w="1820" w:type="dxa"/>
            <w:vAlign w:val="bottom"/>
          </w:tcPr>
          <w:p>
            <w:pPr>
              <w:spacing w:after="0"/>
              <w:rPr>
                <w:sz w:val="13"/>
                <w:szCs w:val="13"/>
                <w:color w:val="auto"/>
              </w:rPr>
            </w:pPr>
          </w:p>
        </w:tc>
        <w:tc>
          <w:tcPr>
            <w:tcW w:w="2620" w:type="dxa"/>
            <w:vAlign w:val="bottom"/>
          </w:tcPr>
          <w:p>
            <w:pPr>
              <w:spacing w:after="0"/>
              <w:rPr>
                <w:sz w:val="13"/>
                <w:szCs w:val="13"/>
                <w:color w:val="auto"/>
              </w:rPr>
            </w:pPr>
          </w:p>
        </w:tc>
      </w:tr>
      <w:tr>
        <w:trPr>
          <w:trHeight w:val="183"/>
        </w:trPr>
        <w:tc>
          <w:tcPr>
            <w:tcW w:w="44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6"/>
                <w:szCs w:val="16"/>
                <w:b w:val="1"/>
                <w:bCs w:val="1"/>
                <w:color w:val="auto"/>
              </w:rPr>
              <w:t>through other</w:t>
            </w:r>
          </w:p>
        </w:tc>
        <w:tc>
          <w:tcPr>
            <w:tcW w:w="182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3"/>
        </w:trPr>
        <w:tc>
          <w:tcPr>
            <w:tcW w:w="44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comprehensive</w:t>
            </w:r>
          </w:p>
        </w:tc>
        <w:tc>
          <w:tcPr>
            <w:tcW w:w="1820" w:type="dxa"/>
            <w:vAlign w:val="bottom"/>
          </w:tcPr>
          <w:p>
            <w:pPr>
              <w:ind w:left="60"/>
              <w:spacing w:after="0"/>
              <w:rPr>
                <w:sz w:val="20"/>
                <w:szCs w:val="20"/>
                <w:color w:val="auto"/>
              </w:rPr>
            </w:pPr>
            <w:r>
              <w:rPr>
                <w:rFonts w:ascii="Arial" w:cs="Arial" w:eastAsia="Arial" w:hAnsi="Arial"/>
                <w:sz w:val="16"/>
                <w:szCs w:val="16"/>
                <w:b w:val="1"/>
                <w:bCs w:val="1"/>
                <w:color w:val="auto"/>
              </w:rPr>
              <w:t>Amortized</w:t>
            </w:r>
          </w:p>
        </w:tc>
        <w:tc>
          <w:tcPr>
            <w:tcW w:w="2620" w:type="dxa"/>
            <w:vAlign w:val="bottom"/>
          </w:tcPr>
          <w:p>
            <w:pPr>
              <w:spacing w:after="0"/>
              <w:rPr>
                <w:sz w:val="15"/>
                <w:szCs w:val="15"/>
                <w:color w:val="auto"/>
              </w:rPr>
            </w:pPr>
          </w:p>
        </w:tc>
      </w:tr>
      <w:tr>
        <w:trPr>
          <w:trHeight w:val="200"/>
        </w:trPr>
        <w:tc>
          <w:tcPr>
            <w:tcW w:w="4460" w:type="dxa"/>
            <w:vAlign w:val="bottom"/>
          </w:tcPr>
          <w:p>
            <w:pPr>
              <w:spacing w:after="0"/>
              <w:rPr>
                <w:sz w:val="17"/>
                <w:szCs w:val="17"/>
                <w:color w:val="auto"/>
              </w:rPr>
            </w:pPr>
          </w:p>
        </w:tc>
        <w:tc>
          <w:tcPr>
            <w:tcW w:w="2360" w:type="dxa"/>
            <w:vAlign w:val="bottom"/>
            <w:gridSpan w:val="2"/>
          </w:tcPr>
          <w:p>
            <w:pPr>
              <w:ind w:left="60"/>
              <w:spacing w:after="0"/>
              <w:rPr>
                <w:sz w:val="20"/>
                <w:szCs w:val="20"/>
                <w:color w:val="auto"/>
              </w:rPr>
            </w:pPr>
            <w:r>
              <w:rPr>
                <w:rFonts w:ascii="Arial" w:cs="Arial" w:eastAsia="Arial" w:hAnsi="Arial"/>
                <w:sz w:val="16"/>
                <w:szCs w:val="16"/>
                <w:b w:val="1"/>
                <w:bCs w:val="1"/>
                <w:color w:val="auto"/>
              </w:rPr>
              <w:t>income</w:t>
            </w:r>
          </w:p>
        </w:tc>
        <w:tc>
          <w:tcPr>
            <w:tcW w:w="1820" w:type="dxa"/>
            <w:vAlign w:val="bottom"/>
          </w:tcPr>
          <w:p>
            <w:pPr>
              <w:ind w:left="60"/>
              <w:spacing w:after="0"/>
              <w:rPr>
                <w:sz w:val="20"/>
                <w:szCs w:val="20"/>
                <w:color w:val="auto"/>
              </w:rPr>
            </w:pPr>
            <w:r>
              <w:rPr>
                <w:rFonts w:ascii="Arial" w:cs="Arial" w:eastAsia="Arial" w:hAnsi="Arial"/>
                <w:sz w:val="16"/>
                <w:szCs w:val="16"/>
                <w:b w:val="1"/>
                <w:bCs w:val="1"/>
                <w:color w:val="auto"/>
              </w:rPr>
              <w:t>cost</w:t>
            </w:r>
          </w:p>
        </w:tc>
        <w:tc>
          <w:tcPr>
            <w:tcW w:w="2620" w:type="dxa"/>
            <w:vAlign w:val="bottom"/>
          </w:tcPr>
          <w:p>
            <w:pPr>
              <w:spacing w:after="0"/>
              <w:rPr>
                <w:sz w:val="17"/>
                <w:szCs w:val="17"/>
                <w:color w:val="auto"/>
              </w:rPr>
            </w:pPr>
          </w:p>
        </w:tc>
      </w:tr>
      <w:tr>
        <w:trPr>
          <w:trHeight w:val="216"/>
        </w:trPr>
        <w:tc>
          <w:tcPr>
            <w:tcW w:w="4460" w:type="dxa"/>
            <w:vAlign w:val="bottom"/>
          </w:tcPr>
          <w:p>
            <w:pPr>
              <w:spacing w:after="0"/>
              <w:rPr>
                <w:sz w:val="18"/>
                <w:szCs w:val="18"/>
                <w:color w:val="auto"/>
              </w:rPr>
            </w:pPr>
          </w:p>
        </w:tc>
        <w:tc>
          <w:tcPr>
            <w:tcW w:w="20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340" w:type="dxa"/>
            <w:vAlign w:val="bottom"/>
          </w:tcPr>
          <w:p>
            <w:pPr>
              <w:spacing w:after="0"/>
              <w:rPr>
                <w:sz w:val="18"/>
                <w:szCs w:val="18"/>
                <w:color w:val="auto"/>
              </w:rPr>
            </w:pPr>
          </w:p>
        </w:tc>
        <w:tc>
          <w:tcPr>
            <w:tcW w:w="18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2620" w:type="dxa"/>
            <w:vAlign w:val="bottom"/>
          </w:tcPr>
          <w:p>
            <w:pPr>
              <w:spacing w:after="0"/>
              <w:rPr>
                <w:sz w:val="18"/>
                <w:szCs w:val="18"/>
                <w:color w:val="auto"/>
              </w:rPr>
            </w:pPr>
          </w:p>
        </w:tc>
      </w:tr>
      <w:tr>
        <w:trPr>
          <w:trHeight w:val="310"/>
        </w:trPr>
        <w:tc>
          <w:tcPr>
            <w:tcW w:w="4460" w:type="dxa"/>
            <w:vAlign w:val="bottom"/>
          </w:tcPr>
          <w:p>
            <w:pPr>
              <w:ind w:left="880"/>
              <w:spacing w:after="0"/>
              <w:rPr>
                <w:sz w:val="20"/>
                <w:szCs w:val="20"/>
                <w:color w:val="auto"/>
              </w:rPr>
            </w:pPr>
            <w:r>
              <w:rPr>
                <w:rFonts w:ascii="Arial" w:cs="Arial" w:eastAsia="Arial" w:hAnsi="Arial"/>
                <w:sz w:val="16"/>
                <w:szCs w:val="16"/>
                <w:color w:val="auto"/>
              </w:rPr>
              <w:t>Up to 3 months</w:t>
            </w:r>
          </w:p>
        </w:tc>
        <w:tc>
          <w:tcPr>
            <w:tcW w:w="2020" w:type="dxa"/>
            <w:vAlign w:val="bottom"/>
          </w:tcPr>
          <w:p>
            <w:pPr>
              <w:jc w:val="right"/>
              <w:spacing w:after="0"/>
              <w:rPr>
                <w:sz w:val="20"/>
                <w:szCs w:val="20"/>
                <w:color w:val="auto"/>
              </w:rPr>
            </w:pPr>
            <w:r>
              <w:rPr>
                <w:rFonts w:ascii="Arial" w:cs="Arial" w:eastAsia="Arial" w:hAnsi="Arial"/>
                <w:sz w:val="16"/>
                <w:szCs w:val="16"/>
                <w:color w:val="auto"/>
              </w:rPr>
              <w:t>5,297,064</w:t>
            </w:r>
          </w:p>
        </w:tc>
        <w:tc>
          <w:tcPr>
            <w:tcW w:w="3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102,203</w:t>
            </w:r>
          </w:p>
        </w:tc>
        <w:tc>
          <w:tcPr>
            <w:tcW w:w="2620" w:type="dxa"/>
            <w:vAlign w:val="bottom"/>
          </w:tcPr>
          <w:p>
            <w:pPr>
              <w:spacing w:after="0"/>
              <w:rPr>
                <w:sz w:val="24"/>
                <w:szCs w:val="24"/>
                <w:color w:val="auto"/>
              </w:rPr>
            </w:pPr>
          </w:p>
        </w:tc>
      </w:tr>
      <w:tr>
        <w:trPr>
          <w:trHeight w:val="183"/>
        </w:trPr>
        <w:tc>
          <w:tcPr>
            <w:tcW w:w="4460" w:type="dxa"/>
            <w:vAlign w:val="bottom"/>
          </w:tcPr>
          <w:p>
            <w:pPr>
              <w:ind w:left="880"/>
              <w:spacing w:after="0"/>
              <w:rPr>
                <w:sz w:val="20"/>
                <w:szCs w:val="20"/>
                <w:color w:val="auto"/>
              </w:rPr>
            </w:pPr>
            <w:r>
              <w:rPr>
                <w:rFonts w:ascii="Arial" w:cs="Arial" w:eastAsia="Arial" w:hAnsi="Arial"/>
                <w:sz w:val="16"/>
                <w:szCs w:val="16"/>
                <w:color w:val="auto"/>
              </w:rPr>
              <w:t>From 3 months to 1 year</w:t>
            </w:r>
          </w:p>
        </w:tc>
        <w:tc>
          <w:tcPr>
            <w:tcW w:w="2020" w:type="dxa"/>
            <w:vAlign w:val="bottom"/>
          </w:tcPr>
          <w:p>
            <w:pPr>
              <w:jc w:val="right"/>
              <w:spacing w:after="0"/>
              <w:rPr>
                <w:sz w:val="20"/>
                <w:szCs w:val="20"/>
                <w:color w:val="auto"/>
              </w:rPr>
            </w:pPr>
            <w:r>
              <w:rPr>
                <w:rFonts w:ascii="Arial" w:cs="Arial" w:eastAsia="Arial" w:hAnsi="Arial"/>
                <w:sz w:val="16"/>
                <w:szCs w:val="16"/>
                <w:color w:val="auto"/>
              </w:rPr>
              <w:t>7,778,579</w:t>
            </w:r>
          </w:p>
        </w:tc>
        <w:tc>
          <w:tcPr>
            <w:tcW w:w="3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1,309,800</w:t>
            </w:r>
          </w:p>
        </w:tc>
        <w:tc>
          <w:tcPr>
            <w:tcW w:w="2620" w:type="dxa"/>
            <w:vAlign w:val="bottom"/>
          </w:tcPr>
          <w:p>
            <w:pPr>
              <w:spacing w:after="0"/>
              <w:rPr>
                <w:sz w:val="15"/>
                <w:szCs w:val="15"/>
                <w:color w:val="auto"/>
              </w:rPr>
            </w:pPr>
          </w:p>
        </w:tc>
      </w:tr>
      <w:tr>
        <w:trPr>
          <w:trHeight w:val="183"/>
        </w:trPr>
        <w:tc>
          <w:tcPr>
            <w:tcW w:w="4460" w:type="dxa"/>
            <w:vAlign w:val="bottom"/>
          </w:tcPr>
          <w:p>
            <w:pPr>
              <w:ind w:left="880"/>
              <w:spacing w:after="0"/>
              <w:rPr>
                <w:sz w:val="20"/>
                <w:szCs w:val="20"/>
                <w:color w:val="auto"/>
              </w:rPr>
            </w:pPr>
            <w:r>
              <w:rPr>
                <w:rFonts w:ascii="Arial" w:cs="Arial" w:eastAsia="Arial" w:hAnsi="Arial"/>
                <w:sz w:val="16"/>
                <w:szCs w:val="16"/>
                <w:color w:val="auto"/>
              </w:rPr>
              <w:t>From 1 to 3 years</w:t>
            </w:r>
          </w:p>
        </w:tc>
        <w:tc>
          <w:tcPr>
            <w:tcW w:w="2020" w:type="dxa"/>
            <w:vAlign w:val="bottom"/>
          </w:tcPr>
          <w:p>
            <w:pPr>
              <w:jc w:val="right"/>
              <w:spacing w:after="0"/>
              <w:rPr>
                <w:sz w:val="20"/>
                <w:szCs w:val="20"/>
                <w:color w:val="auto"/>
              </w:rPr>
            </w:pPr>
            <w:r>
              <w:rPr>
                <w:rFonts w:ascii="Arial" w:cs="Arial" w:eastAsia="Arial" w:hAnsi="Arial"/>
                <w:sz w:val="16"/>
                <w:szCs w:val="16"/>
                <w:color w:val="auto"/>
              </w:rPr>
              <w:t>5,409,142</w:t>
            </w:r>
          </w:p>
        </w:tc>
        <w:tc>
          <w:tcPr>
            <w:tcW w:w="3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733,057</w:t>
            </w:r>
          </w:p>
        </w:tc>
        <w:tc>
          <w:tcPr>
            <w:tcW w:w="2620" w:type="dxa"/>
            <w:vAlign w:val="bottom"/>
          </w:tcPr>
          <w:p>
            <w:pPr>
              <w:spacing w:after="0"/>
              <w:rPr>
                <w:sz w:val="15"/>
                <w:szCs w:val="15"/>
                <w:color w:val="auto"/>
              </w:rPr>
            </w:pPr>
          </w:p>
        </w:tc>
      </w:tr>
      <w:tr>
        <w:trPr>
          <w:trHeight w:val="183"/>
        </w:trPr>
        <w:tc>
          <w:tcPr>
            <w:tcW w:w="4460" w:type="dxa"/>
            <w:vAlign w:val="bottom"/>
          </w:tcPr>
          <w:p>
            <w:pPr>
              <w:ind w:left="880"/>
              <w:spacing w:after="0"/>
              <w:rPr>
                <w:sz w:val="20"/>
                <w:szCs w:val="20"/>
                <w:color w:val="auto"/>
              </w:rPr>
            </w:pPr>
            <w:r>
              <w:rPr>
                <w:rFonts w:ascii="Arial" w:cs="Arial" w:eastAsia="Arial" w:hAnsi="Arial"/>
                <w:sz w:val="16"/>
                <w:szCs w:val="16"/>
                <w:color w:val="auto"/>
              </w:rPr>
              <w:t>From 3 to 5 years</w:t>
            </w:r>
          </w:p>
        </w:tc>
        <w:tc>
          <w:tcPr>
            <w:tcW w:w="2020" w:type="dxa"/>
            <w:vAlign w:val="bottom"/>
          </w:tcPr>
          <w:p>
            <w:pPr>
              <w:jc w:val="right"/>
              <w:spacing w:after="0"/>
              <w:rPr>
                <w:sz w:val="20"/>
                <w:szCs w:val="20"/>
                <w:color w:val="auto"/>
              </w:rPr>
            </w:pPr>
            <w:r>
              <w:rPr>
                <w:rFonts w:ascii="Arial" w:cs="Arial" w:eastAsia="Arial" w:hAnsi="Arial"/>
                <w:sz w:val="16"/>
                <w:szCs w:val="16"/>
                <w:color w:val="auto"/>
              </w:rPr>
              <w:t>5,378,056</w:t>
            </w:r>
          </w:p>
        </w:tc>
        <w:tc>
          <w:tcPr>
            <w:tcW w:w="3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1,193,767</w:t>
            </w:r>
          </w:p>
        </w:tc>
        <w:tc>
          <w:tcPr>
            <w:tcW w:w="2620" w:type="dxa"/>
            <w:vAlign w:val="bottom"/>
          </w:tcPr>
          <w:p>
            <w:pPr>
              <w:spacing w:after="0"/>
              <w:rPr>
                <w:sz w:val="15"/>
                <w:szCs w:val="15"/>
                <w:color w:val="auto"/>
              </w:rPr>
            </w:pPr>
          </w:p>
        </w:tc>
      </w:tr>
      <w:tr>
        <w:trPr>
          <w:trHeight w:val="183"/>
        </w:trPr>
        <w:tc>
          <w:tcPr>
            <w:tcW w:w="4460" w:type="dxa"/>
            <w:vAlign w:val="bottom"/>
          </w:tcPr>
          <w:p>
            <w:pPr>
              <w:ind w:left="880"/>
              <w:spacing w:after="0"/>
              <w:rPr>
                <w:sz w:val="20"/>
                <w:szCs w:val="20"/>
                <w:color w:val="auto"/>
              </w:rPr>
            </w:pPr>
            <w:r>
              <w:rPr>
                <w:rFonts w:ascii="Arial" w:cs="Arial" w:eastAsia="Arial" w:hAnsi="Arial"/>
                <w:sz w:val="16"/>
                <w:szCs w:val="16"/>
                <w:color w:val="auto"/>
              </w:rPr>
              <w:t>More than 5 years</w:t>
            </w:r>
          </w:p>
        </w:tc>
        <w:tc>
          <w:tcPr>
            <w:tcW w:w="2020" w:type="dxa"/>
            <w:vAlign w:val="bottom"/>
          </w:tcPr>
          <w:p>
            <w:pPr>
              <w:jc w:val="right"/>
              <w:spacing w:after="0"/>
              <w:rPr>
                <w:sz w:val="20"/>
                <w:szCs w:val="20"/>
                <w:color w:val="auto"/>
              </w:rPr>
            </w:pPr>
            <w:r>
              <w:rPr>
                <w:rFonts w:ascii="Arial" w:cs="Arial" w:eastAsia="Arial" w:hAnsi="Arial"/>
                <w:sz w:val="16"/>
                <w:szCs w:val="16"/>
                <w:color w:val="auto"/>
              </w:rPr>
              <w:t>12,372,792</w:t>
            </w:r>
          </w:p>
        </w:tc>
        <w:tc>
          <w:tcPr>
            <w:tcW w:w="3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6,629,573</w:t>
            </w:r>
          </w:p>
        </w:tc>
        <w:tc>
          <w:tcPr>
            <w:tcW w:w="2620" w:type="dxa"/>
            <w:vAlign w:val="bottom"/>
          </w:tcPr>
          <w:p>
            <w:pPr>
              <w:spacing w:after="0"/>
              <w:rPr>
                <w:sz w:val="15"/>
                <w:szCs w:val="15"/>
                <w:color w:val="auto"/>
              </w:rPr>
            </w:pPr>
          </w:p>
        </w:tc>
      </w:tr>
      <w:tr>
        <w:trPr>
          <w:trHeight w:val="200"/>
        </w:trPr>
        <w:tc>
          <w:tcPr>
            <w:tcW w:w="4460" w:type="dxa"/>
            <w:vAlign w:val="bottom"/>
          </w:tcPr>
          <w:p>
            <w:pPr>
              <w:ind w:left="880"/>
              <w:spacing w:after="0"/>
              <w:rPr>
                <w:sz w:val="20"/>
                <w:szCs w:val="20"/>
                <w:color w:val="auto"/>
              </w:rPr>
            </w:pPr>
            <w:r>
              <w:rPr>
                <w:rFonts w:ascii="Arial" w:cs="Arial" w:eastAsia="Arial" w:hAnsi="Arial"/>
                <w:sz w:val="16"/>
                <w:szCs w:val="16"/>
                <w:color w:val="auto"/>
              </w:rPr>
              <w:t>Without maturity</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334,803</w:t>
            </w:r>
          </w:p>
        </w:tc>
        <w:tc>
          <w:tcPr>
            <w:tcW w:w="340" w:type="dxa"/>
            <w:vAlign w:val="bottom"/>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20" w:type="dxa"/>
            <w:vAlign w:val="bottom"/>
          </w:tcPr>
          <w:p>
            <w:pPr>
              <w:spacing w:after="0"/>
              <w:rPr>
                <w:sz w:val="17"/>
                <w:szCs w:val="17"/>
                <w:color w:val="auto"/>
              </w:rPr>
            </w:pPr>
          </w:p>
        </w:tc>
      </w:tr>
      <w:tr>
        <w:trPr>
          <w:trHeight w:val="180"/>
        </w:trPr>
        <w:tc>
          <w:tcPr>
            <w:tcW w:w="446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Total</w:t>
            </w:r>
          </w:p>
        </w:tc>
        <w:tc>
          <w:tcPr>
            <w:tcW w:w="20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36,570,436</w:t>
            </w:r>
          </w:p>
        </w:tc>
        <w:tc>
          <w:tcPr>
            <w:tcW w:w="340" w:type="dxa"/>
            <w:vAlign w:val="bottom"/>
          </w:tcPr>
          <w:p>
            <w:pPr>
              <w:spacing w:after="0"/>
              <w:rPr>
                <w:sz w:val="15"/>
                <w:szCs w:val="15"/>
                <w:color w:val="auto"/>
              </w:rPr>
            </w:pPr>
          </w:p>
        </w:tc>
        <w:tc>
          <w:tcPr>
            <w:tcW w:w="18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9,968,400</w:t>
            </w:r>
          </w:p>
        </w:tc>
        <w:tc>
          <w:tcPr>
            <w:tcW w:w="2620" w:type="dxa"/>
            <w:vAlign w:val="bottom"/>
          </w:tcPr>
          <w:p>
            <w:pPr>
              <w:spacing w:after="0"/>
              <w:rPr>
                <w:sz w:val="15"/>
                <w:szCs w:val="15"/>
                <w:color w:val="auto"/>
              </w:rPr>
            </w:pPr>
          </w:p>
        </w:tc>
      </w:tr>
      <w:tr>
        <w:trPr>
          <w:trHeight w:val="367"/>
        </w:trPr>
        <w:tc>
          <w:tcPr>
            <w:tcW w:w="4460" w:type="dxa"/>
            <w:vAlign w:val="bottom"/>
          </w:tcPr>
          <w:p>
            <w:pPr>
              <w:spacing w:after="0"/>
              <w:rPr>
                <w:sz w:val="24"/>
                <w:szCs w:val="24"/>
                <w:color w:val="auto"/>
              </w:rPr>
            </w:pPr>
          </w:p>
        </w:tc>
        <w:tc>
          <w:tcPr>
            <w:tcW w:w="2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620" w:type="dxa"/>
            <w:vAlign w:val="bottom"/>
          </w:tcPr>
          <w:p>
            <w:pPr>
              <w:spacing w:after="0"/>
              <w:rPr>
                <w:sz w:val="24"/>
                <w:szCs w:val="24"/>
                <w:color w:val="auto"/>
              </w:rPr>
            </w:pPr>
          </w:p>
        </w:tc>
      </w:tr>
      <w:tr>
        <w:trPr>
          <w:trHeight w:val="159"/>
        </w:trPr>
        <w:tc>
          <w:tcPr>
            <w:tcW w:w="4460" w:type="dxa"/>
            <w:vAlign w:val="bottom"/>
          </w:tcPr>
          <w:p>
            <w:pPr>
              <w:spacing w:after="0"/>
              <w:rPr>
                <w:sz w:val="13"/>
                <w:szCs w:val="13"/>
                <w:color w:val="auto"/>
              </w:rPr>
            </w:pPr>
          </w:p>
        </w:tc>
        <w:tc>
          <w:tcPr>
            <w:tcW w:w="2360" w:type="dxa"/>
            <w:vAlign w:val="bottom"/>
            <w:gridSpan w:val="2"/>
          </w:tcPr>
          <w:p>
            <w:pPr>
              <w:ind w:left="60"/>
              <w:spacing w:after="0" w:line="159" w:lineRule="exact"/>
              <w:rPr>
                <w:sz w:val="20"/>
                <w:szCs w:val="20"/>
                <w:color w:val="auto"/>
              </w:rPr>
            </w:pPr>
            <w:r>
              <w:rPr>
                <w:rFonts w:ascii="Arial" w:cs="Arial" w:eastAsia="Arial" w:hAnsi="Arial"/>
                <w:sz w:val="16"/>
                <w:szCs w:val="16"/>
                <w:b w:val="1"/>
                <w:bCs w:val="1"/>
                <w:color w:val="auto"/>
              </w:rPr>
              <w:t>At fair value</w:t>
            </w:r>
          </w:p>
        </w:tc>
        <w:tc>
          <w:tcPr>
            <w:tcW w:w="1820" w:type="dxa"/>
            <w:vAlign w:val="bottom"/>
          </w:tcPr>
          <w:p>
            <w:pPr>
              <w:spacing w:after="0"/>
              <w:rPr>
                <w:sz w:val="13"/>
                <w:szCs w:val="13"/>
                <w:color w:val="auto"/>
              </w:rPr>
            </w:pPr>
          </w:p>
        </w:tc>
        <w:tc>
          <w:tcPr>
            <w:tcW w:w="2620" w:type="dxa"/>
            <w:vAlign w:val="bottom"/>
          </w:tcPr>
          <w:p>
            <w:pPr>
              <w:spacing w:after="0"/>
              <w:rPr>
                <w:sz w:val="13"/>
                <w:szCs w:val="13"/>
                <w:color w:val="auto"/>
              </w:rPr>
            </w:pPr>
          </w:p>
        </w:tc>
      </w:tr>
      <w:tr>
        <w:trPr>
          <w:trHeight w:val="183"/>
        </w:trPr>
        <w:tc>
          <w:tcPr>
            <w:tcW w:w="44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6"/>
                <w:szCs w:val="16"/>
                <w:b w:val="1"/>
                <w:bCs w:val="1"/>
                <w:color w:val="auto"/>
              </w:rPr>
              <w:t>through other</w:t>
            </w:r>
          </w:p>
        </w:tc>
        <w:tc>
          <w:tcPr>
            <w:tcW w:w="182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3"/>
        </w:trPr>
        <w:tc>
          <w:tcPr>
            <w:tcW w:w="4460" w:type="dxa"/>
            <w:vAlign w:val="bottom"/>
          </w:tcPr>
          <w:p>
            <w:pPr>
              <w:spacing w:after="0"/>
              <w:rPr>
                <w:sz w:val="15"/>
                <w:szCs w:val="15"/>
                <w:color w:val="auto"/>
              </w:rPr>
            </w:pPr>
          </w:p>
        </w:tc>
        <w:tc>
          <w:tcPr>
            <w:tcW w:w="23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comprehensive</w:t>
            </w:r>
          </w:p>
        </w:tc>
        <w:tc>
          <w:tcPr>
            <w:tcW w:w="1820" w:type="dxa"/>
            <w:vAlign w:val="bottom"/>
          </w:tcPr>
          <w:p>
            <w:pPr>
              <w:ind w:left="60"/>
              <w:spacing w:after="0"/>
              <w:rPr>
                <w:sz w:val="20"/>
                <w:szCs w:val="20"/>
                <w:color w:val="auto"/>
              </w:rPr>
            </w:pPr>
            <w:r>
              <w:rPr>
                <w:rFonts w:ascii="Arial" w:cs="Arial" w:eastAsia="Arial" w:hAnsi="Arial"/>
                <w:sz w:val="16"/>
                <w:szCs w:val="16"/>
                <w:b w:val="1"/>
                <w:bCs w:val="1"/>
                <w:color w:val="auto"/>
              </w:rPr>
              <w:t>Amortized</w:t>
            </w:r>
          </w:p>
        </w:tc>
        <w:tc>
          <w:tcPr>
            <w:tcW w:w="2620" w:type="dxa"/>
            <w:vAlign w:val="bottom"/>
          </w:tcPr>
          <w:p>
            <w:pPr>
              <w:spacing w:after="0"/>
              <w:rPr>
                <w:sz w:val="15"/>
                <w:szCs w:val="15"/>
                <w:color w:val="auto"/>
              </w:rPr>
            </w:pPr>
          </w:p>
        </w:tc>
      </w:tr>
      <w:tr>
        <w:trPr>
          <w:trHeight w:val="200"/>
        </w:trPr>
        <w:tc>
          <w:tcPr>
            <w:tcW w:w="4460" w:type="dxa"/>
            <w:vAlign w:val="bottom"/>
          </w:tcPr>
          <w:p>
            <w:pPr>
              <w:spacing w:after="0"/>
              <w:rPr>
                <w:sz w:val="17"/>
                <w:szCs w:val="17"/>
                <w:color w:val="auto"/>
              </w:rPr>
            </w:pPr>
          </w:p>
        </w:tc>
        <w:tc>
          <w:tcPr>
            <w:tcW w:w="2360" w:type="dxa"/>
            <w:vAlign w:val="bottom"/>
            <w:gridSpan w:val="2"/>
          </w:tcPr>
          <w:p>
            <w:pPr>
              <w:ind w:left="60"/>
              <w:spacing w:after="0"/>
              <w:rPr>
                <w:sz w:val="20"/>
                <w:szCs w:val="20"/>
                <w:color w:val="auto"/>
              </w:rPr>
            </w:pPr>
            <w:r>
              <w:rPr>
                <w:rFonts w:ascii="Arial" w:cs="Arial" w:eastAsia="Arial" w:hAnsi="Arial"/>
                <w:sz w:val="16"/>
                <w:szCs w:val="16"/>
                <w:b w:val="1"/>
                <w:bCs w:val="1"/>
                <w:color w:val="auto"/>
              </w:rPr>
              <w:t>income</w:t>
            </w:r>
          </w:p>
        </w:tc>
        <w:tc>
          <w:tcPr>
            <w:tcW w:w="1820" w:type="dxa"/>
            <w:vAlign w:val="bottom"/>
          </w:tcPr>
          <w:p>
            <w:pPr>
              <w:ind w:left="60"/>
              <w:spacing w:after="0"/>
              <w:rPr>
                <w:sz w:val="20"/>
                <w:szCs w:val="20"/>
                <w:color w:val="auto"/>
              </w:rPr>
            </w:pPr>
            <w:r>
              <w:rPr>
                <w:rFonts w:ascii="Arial" w:cs="Arial" w:eastAsia="Arial" w:hAnsi="Arial"/>
                <w:sz w:val="16"/>
                <w:szCs w:val="16"/>
                <w:b w:val="1"/>
                <w:bCs w:val="1"/>
                <w:color w:val="auto"/>
              </w:rPr>
              <w:t>cost</w:t>
            </w:r>
          </w:p>
        </w:tc>
        <w:tc>
          <w:tcPr>
            <w:tcW w:w="2620" w:type="dxa"/>
            <w:vAlign w:val="bottom"/>
          </w:tcPr>
          <w:p>
            <w:pPr>
              <w:spacing w:after="0"/>
              <w:rPr>
                <w:sz w:val="17"/>
                <w:szCs w:val="17"/>
                <w:color w:val="auto"/>
              </w:rPr>
            </w:pPr>
          </w:p>
        </w:tc>
      </w:tr>
      <w:tr>
        <w:trPr>
          <w:trHeight w:val="216"/>
        </w:trPr>
        <w:tc>
          <w:tcPr>
            <w:tcW w:w="4460" w:type="dxa"/>
            <w:vAlign w:val="bottom"/>
          </w:tcPr>
          <w:p>
            <w:pPr>
              <w:spacing w:after="0"/>
              <w:rPr>
                <w:sz w:val="18"/>
                <w:szCs w:val="18"/>
                <w:color w:val="auto"/>
              </w:rPr>
            </w:pPr>
          </w:p>
        </w:tc>
        <w:tc>
          <w:tcPr>
            <w:tcW w:w="20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340" w:type="dxa"/>
            <w:vAlign w:val="bottom"/>
          </w:tcPr>
          <w:p>
            <w:pPr>
              <w:spacing w:after="0"/>
              <w:rPr>
                <w:sz w:val="18"/>
                <w:szCs w:val="18"/>
                <w:color w:val="auto"/>
              </w:rPr>
            </w:pPr>
          </w:p>
        </w:tc>
        <w:tc>
          <w:tcPr>
            <w:tcW w:w="18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2620" w:type="dxa"/>
            <w:vAlign w:val="bottom"/>
          </w:tcPr>
          <w:p>
            <w:pPr>
              <w:spacing w:after="0"/>
              <w:rPr>
                <w:sz w:val="18"/>
                <w:szCs w:val="18"/>
                <w:color w:val="auto"/>
              </w:rPr>
            </w:pPr>
          </w:p>
        </w:tc>
      </w:tr>
      <w:tr>
        <w:trPr>
          <w:trHeight w:val="310"/>
        </w:trPr>
        <w:tc>
          <w:tcPr>
            <w:tcW w:w="4460" w:type="dxa"/>
            <w:vAlign w:val="bottom"/>
          </w:tcPr>
          <w:p>
            <w:pPr>
              <w:ind w:left="880"/>
              <w:spacing w:after="0"/>
              <w:rPr>
                <w:sz w:val="20"/>
                <w:szCs w:val="20"/>
                <w:color w:val="auto"/>
              </w:rPr>
            </w:pPr>
            <w:r>
              <w:rPr>
                <w:rFonts w:ascii="Arial" w:cs="Arial" w:eastAsia="Arial" w:hAnsi="Arial"/>
                <w:sz w:val="16"/>
                <w:szCs w:val="16"/>
                <w:color w:val="auto"/>
              </w:rPr>
              <w:t>Up to 3 months</w:t>
            </w:r>
          </w:p>
        </w:tc>
        <w:tc>
          <w:tcPr>
            <w:tcW w:w="2020" w:type="dxa"/>
            <w:vAlign w:val="bottom"/>
          </w:tcPr>
          <w:p>
            <w:pPr>
              <w:jc w:val="right"/>
              <w:spacing w:after="0"/>
              <w:rPr>
                <w:sz w:val="20"/>
                <w:szCs w:val="20"/>
                <w:color w:val="auto"/>
              </w:rPr>
            </w:pPr>
            <w:r>
              <w:rPr>
                <w:rFonts w:ascii="Arial" w:cs="Arial" w:eastAsia="Arial" w:hAnsi="Arial"/>
                <w:sz w:val="16"/>
                <w:szCs w:val="16"/>
                <w:color w:val="auto"/>
              </w:rPr>
              <w:t>8,246,819</w:t>
            </w:r>
          </w:p>
        </w:tc>
        <w:tc>
          <w:tcPr>
            <w:tcW w:w="3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191,098</w:t>
            </w:r>
          </w:p>
        </w:tc>
        <w:tc>
          <w:tcPr>
            <w:tcW w:w="2620" w:type="dxa"/>
            <w:vAlign w:val="bottom"/>
          </w:tcPr>
          <w:p>
            <w:pPr>
              <w:spacing w:after="0"/>
              <w:rPr>
                <w:sz w:val="24"/>
                <w:szCs w:val="24"/>
                <w:color w:val="auto"/>
              </w:rPr>
            </w:pPr>
          </w:p>
        </w:tc>
      </w:tr>
      <w:tr>
        <w:trPr>
          <w:trHeight w:val="183"/>
        </w:trPr>
        <w:tc>
          <w:tcPr>
            <w:tcW w:w="4460" w:type="dxa"/>
            <w:vAlign w:val="bottom"/>
          </w:tcPr>
          <w:p>
            <w:pPr>
              <w:ind w:left="880"/>
              <w:spacing w:after="0"/>
              <w:rPr>
                <w:sz w:val="20"/>
                <w:szCs w:val="20"/>
                <w:color w:val="auto"/>
              </w:rPr>
            </w:pPr>
            <w:r>
              <w:rPr>
                <w:rFonts w:ascii="Arial" w:cs="Arial" w:eastAsia="Arial" w:hAnsi="Arial"/>
                <w:sz w:val="16"/>
                <w:szCs w:val="16"/>
                <w:color w:val="auto"/>
              </w:rPr>
              <w:t>From 3 months to 1 year</w:t>
            </w:r>
          </w:p>
        </w:tc>
        <w:tc>
          <w:tcPr>
            <w:tcW w:w="2020" w:type="dxa"/>
            <w:vAlign w:val="bottom"/>
          </w:tcPr>
          <w:p>
            <w:pPr>
              <w:jc w:val="right"/>
              <w:spacing w:after="0"/>
              <w:rPr>
                <w:sz w:val="20"/>
                <w:szCs w:val="20"/>
                <w:color w:val="auto"/>
              </w:rPr>
            </w:pPr>
            <w:r>
              <w:rPr>
                <w:rFonts w:ascii="Arial" w:cs="Arial" w:eastAsia="Arial" w:hAnsi="Arial"/>
                <w:sz w:val="16"/>
                <w:szCs w:val="16"/>
                <w:color w:val="auto"/>
              </w:rPr>
              <w:t>2,599,972</w:t>
            </w:r>
          </w:p>
        </w:tc>
        <w:tc>
          <w:tcPr>
            <w:tcW w:w="3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343,670</w:t>
            </w:r>
          </w:p>
        </w:tc>
        <w:tc>
          <w:tcPr>
            <w:tcW w:w="2620" w:type="dxa"/>
            <w:vAlign w:val="bottom"/>
          </w:tcPr>
          <w:p>
            <w:pPr>
              <w:spacing w:after="0"/>
              <w:rPr>
                <w:sz w:val="15"/>
                <w:szCs w:val="15"/>
                <w:color w:val="auto"/>
              </w:rPr>
            </w:pPr>
          </w:p>
        </w:tc>
      </w:tr>
      <w:tr>
        <w:trPr>
          <w:trHeight w:val="183"/>
        </w:trPr>
        <w:tc>
          <w:tcPr>
            <w:tcW w:w="4460" w:type="dxa"/>
            <w:vAlign w:val="bottom"/>
          </w:tcPr>
          <w:p>
            <w:pPr>
              <w:ind w:left="880"/>
              <w:spacing w:after="0"/>
              <w:rPr>
                <w:sz w:val="20"/>
                <w:szCs w:val="20"/>
                <w:color w:val="auto"/>
              </w:rPr>
            </w:pPr>
            <w:r>
              <w:rPr>
                <w:rFonts w:ascii="Arial" w:cs="Arial" w:eastAsia="Arial" w:hAnsi="Arial"/>
                <w:sz w:val="16"/>
                <w:szCs w:val="16"/>
                <w:color w:val="auto"/>
              </w:rPr>
              <w:t>From 1 to 3 years</w:t>
            </w:r>
          </w:p>
        </w:tc>
        <w:tc>
          <w:tcPr>
            <w:tcW w:w="2020" w:type="dxa"/>
            <w:vAlign w:val="bottom"/>
          </w:tcPr>
          <w:p>
            <w:pPr>
              <w:jc w:val="right"/>
              <w:spacing w:after="0"/>
              <w:rPr>
                <w:sz w:val="20"/>
                <w:szCs w:val="20"/>
                <w:color w:val="auto"/>
              </w:rPr>
            </w:pPr>
            <w:r>
              <w:rPr>
                <w:rFonts w:ascii="Arial" w:cs="Arial" w:eastAsia="Arial" w:hAnsi="Arial"/>
                <w:sz w:val="16"/>
                <w:szCs w:val="16"/>
                <w:color w:val="auto"/>
              </w:rPr>
              <w:t>4,088,478</w:t>
            </w:r>
          </w:p>
        </w:tc>
        <w:tc>
          <w:tcPr>
            <w:tcW w:w="3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1,456,530</w:t>
            </w:r>
          </w:p>
        </w:tc>
        <w:tc>
          <w:tcPr>
            <w:tcW w:w="2620" w:type="dxa"/>
            <w:vAlign w:val="bottom"/>
          </w:tcPr>
          <w:p>
            <w:pPr>
              <w:spacing w:after="0"/>
              <w:rPr>
                <w:sz w:val="15"/>
                <w:szCs w:val="15"/>
                <w:color w:val="auto"/>
              </w:rPr>
            </w:pPr>
          </w:p>
        </w:tc>
      </w:tr>
      <w:tr>
        <w:trPr>
          <w:trHeight w:val="183"/>
        </w:trPr>
        <w:tc>
          <w:tcPr>
            <w:tcW w:w="4460" w:type="dxa"/>
            <w:vAlign w:val="bottom"/>
          </w:tcPr>
          <w:p>
            <w:pPr>
              <w:ind w:left="880"/>
              <w:spacing w:after="0"/>
              <w:rPr>
                <w:sz w:val="20"/>
                <w:szCs w:val="20"/>
                <w:color w:val="auto"/>
              </w:rPr>
            </w:pPr>
            <w:r>
              <w:rPr>
                <w:rFonts w:ascii="Arial" w:cs="Arial" w:eastAsia="Arial" w:hAnsi="Arial"/>
                <w:sz w:val="16"/>
                <w:szCs w:val="16"/>
                <w:color w:val="auto"/>
              </w:rPr>
              <w:t>From 3 to 5 years</w:t>
            </w:r>
          </w:p>
        </w:tc>
        <w:tc>
          <w:tcPr>
            <w:tcW w:w="2020" w:type="dxa"/>
            <w:vAlign w:val="bottom"/>
          </w:tcPr>
          <w:p>
            <w:pPr>
              <w:jc w:val="right"/>
              <w:spacing w:after="0"/>
              <w:rPr>
                <w:sz w:val="20"/>
                <w:szCs w:val="20"/>
                <w:color w:val="auto"/>
              </w:rPr>
            </w:pPr>
            <w:r>
              <w:rPr>
                <w:rFonts w:ascii="Arial" w:cs="Arial" w:eastAsia="Arial" w:hAnsi="Arial"/>
                <w:sz w:val="16"/>
                <w:szCs w:val="16"/>
                <w:color w:val="auto"/>
              </w:rPr>
              <w:t>4,374,806</w:t>
            </w:r>
          </w:p>
        </w:tc>
        <w:tc>
          <w:tcPr>
            <w:tcW w:w="3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459,604</w:t>
            </w:r>
          </w:p>
        </w:tc>
        <w:tc>
          <w:tcPr>
            <w:tcW w:w="2620" w:type="dxa"/>
            <w:vAlign w:val="bottom"/>
          </w:tcPr>
          <w:p>
            <w:pPr>
              <w:spacing w:after="0"/>
              <w:rPr>
                <w:sz w:val="15"/>
                <w:szCs w:val="15"/>
                <w:color w:val="auto"/>
              </w:rPr>
            </w:pPr>
          </w:p>
        </w:tc>
      </w:tr>
      <w:tr>
        <w:trPr>
          <w:trHeight w:val="183"/>
        </w:trPr>
        <w:tc>
          <w:tcPr>
            <w:tcW w:w="4460" w:type="dxa"/>
            <w:vAlign w:val="bottom"/>
          </w:tcPr>
          <w:p>
            <w:pPr>
              <w:ind w:left="880"/>
              <w:spacing w:after="0"/>
              <w:rPr>
                <w:sz w:val="20"/>
                <w:szCs w:val="20"/>
                <w:color w:val="auto"/>
              </w:rPr>
            </w:pPr>
            <w:r>
              <w:rPr>
                <w:rFonts w:ascii="Arial" w:cs="Arial" w:eastAsia="Arial" w:hAnsi="Arial"/>
                <w:sz w:val="16"/>
                <w:szCs w:val="16"/>
                <w:color w:val="auto"/>
              </w:rPr>
              <w:t>More than 5 years</w:t>
            </w:r>
          </w:p>
        </w:tc>
        <w:tc>
          <w:tcPr>
            <w:tcW w:w="2020" w:type="dxa"/>
            <w:vAlign w:val="bottom"/>
          </w:tcPr>
          <w:p>
            <w:pPr>
              <w:jc w:val="right"/>
              <w:spacing w:after="0"/>
              <w:rPr>
                <w:sz w:val="20"/>
                <w:szCs w:val="20"/>
                <w:color w:val="auto"/>
              </w:rPr>
            </w:pPr>
            <w:r>
              <w:rPr>
                <w:rFonts w:ascii="Arial" w:cs="Arial" w:eastAsia="Arial" w:hAnsi="Arial"/>
                <w:sz w:val="16"/>
                <w:szCs w:val="16"/>
                <w:color w:val="auto"/>
              </w:rPr>
              <w:t>10,742,851</w:t>
            </w:r>
          </w:p>
        </w:tc>
        <w:tc>
          <w:tcPr>
            <w:tcW w:w="3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7,776,125</w:t>
            </w:r>
          </w:p>
        </w:tc>
        <w:tc>
          <w:tcPr>
            <w:tcW w:w="2620" w:type="dxa"/>
            <w:vAlign w:val="bottom"/>
          </w:tcPr>
          <w:p>
            <w:pPr>
              <w:spacing w:after="0"/>
              <w:rPr>
                <w:sz w:val="15"/>
                <w:szCs w:val="15"/>
                <w:color w:val="auto"/>
              </w:rPr>
            </w:pPr>
          </w:p>
        </w:tc>
      </w:tr>
      <w:tr>
        <w:trPr>
          <w:trHeight w:val="200"/>
        </w:trPr>
        <w:tc>
          <w:tcPr>
            <w:tcW w:w="4460" w:type="dxa"/>
            <w:vAlign w:val="bottom"/>
          </w:tcPr>
          <w:p>
            <w:pPr>
              <w:ind w:left="880"/>
              <w:spacing w:after="0"/>
              <w:rPr>
                <w:sz w:val="20"/>
                <w:szCs w:val="20"/>
                <w:color w:val="auto"/>
              </w:rPr>
            </w:pPr>
            <w:r>
              <w:rPr>
                <w:rFonts w:ascii="Arial" w:cs="Arial" w:eastAsia="Arial" w:hAnsi="Arial"/>
                <w:sz w:val="16"/>
                <w:szCs w:val="16"/>
                <w:color w:val="auto"/>
              </w:rPr>
              <w:t>Without maturity</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336,355</w:t>
            </w:r>
          </w:p>
        </w:tc>
        <w:tc>
          <w:tcPr>
            <w:tcW w:w="340" w:type="dxa"/>
            <w:vAlign w:val="bottom"/>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20" w:type="dxa"/>
            <w:vAlign w:val="bottom"/>
          </w:tcPr>
          <w:p>
            <w:pPr>
              <w:spacing w:after="0"/>
              <w:rPr>
                <w:sz w:val="17"/>
                <w:szCs w:val="17"/>
                <w:color w:val="auto"/>
              </w:rPr>
            </w:pPr>
          </w:p>
        </w:tc>
      </w:tr>
      <w:tr>
        <w:trPr>
          <w:trHeight w:val="180"/>
        </w:trPr>
        <w:tc>
          <w:tcPr>
            <w:tcW w:w="446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Total</w:t>
            </w:r>
          </w:p>
        </w:tc>
        <w:tc>
          <w:tcPr>
            <w:tcW w:w="20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30,389,281</w:t>
            </w:r>
          </w:p>
        </w:tc>
        <w:tc>
          <w:tcPr>
            <w:tcW w:w="340" w:type="dxa"/>
            <w:vAlign w:val="bottom"/>
          </w:tcPr>
          <w:p>
            <w:pPr>
              <w:spacing w:after="0"/>
              <w:rPr>
                <w:sz w:val="15"/>
                <w:szCs w:val="15"/>
                <w:color w:val="auto"/>
              </w:rPr>
            </w:pPr>
          </w:p>
        </w:tc>
        <w:tc>
          <w:tcPr>
            <w:tcW w:w="18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10,227,027</w:t>
            </w:r>
          </w:p>
        </w:tc>
        <w:tc>
          <w:tcPr>
            <w:tcW w:w="2620" w:type="dxa"/>
            <w:vAlign w:val="bottom"/>
          </w:tcPr>
          <w:p>
            <w:pPr>
              <w:spacing w:after="0"/>
              <w:rPr>
                <w:sz w:val="15"/>
                <w:szCs w:val="15"/>
                <w:color w:val="auto"/>
              </w:rPr>
            </w:pPr>
          </w:p>
        </w:tc>
      </w:tr>
      <w:tr>
        <w:trPr>
          <w:trHeight w:val="541"/>
        </w:trPr>
        <w:tc>
          <w:tcPr>
            <w:tcW w:w="4460" w:type="dxa"/>
            <w:vAlign w:val="bottom"/>
          </w:tcPr>
          <w:p>
            <w:pPr>
              <w:spacing w:after="0"/>
              <w:rPr>
                <w:sz w:val="24"/>
                <w:szCs w:val="24"/>
                <w:color w:val="auto"/>
              </w:rPr>
            </w:pPr>
          </w:p>
        </w:tc>
        <w:tc>
          <w:tcPr>
            <w:tcW w:w="2020" w:type="dxa"/>
            <w:vAlign w:val="bottom"/>
          </w:tcPr>
          <w:p>
            <w:pPr>
              <w:jc w:val="right"/>
              <w:ind w:right="699"/>
              <w:spacing w:after="0"/>
              <w:rPr>
                <w:sz w:val="20"/>
                <w:szCs w:val="20"/>
                <w:color w:val="auto"/>
              </w:rPr>
            </w:pPr>
            <w:r>
              <w:rPr>
                <w:rFonts w:ascii="Arial" w:cs="Arial" w:eastAsia="Arial" w:hAnsi="Arial"/>
                <w:sz w:val="16"/>
                <w:szCs w:val="16"/>
                <w:color w:val="auto"/>
              </w:rPr>
              <w:t>73</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8"/>
        </w:trPr>
        <w:tc>
          <w:tcPr>
            <w:tcW w:w="44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jc w:val="right"/>
              <w:ind w:right="184"/>
              <w:spacing w:after="0"/>
              <w:rPr>
                <w:sz w:val="20"/>
                <w:szCs w:val="20"/>
                <w:color w:val="auto"/>
              </w:rPr>
            </w:pPr>
            <w:r>
              <w:rPr>
                <w:rFonts w:ascii="Arial" w:cs="Arial" w:eastAsia="Arial" w:hAnsi="Arial"/>
                <w:sz w:val="15"/>
                <w:szCs w:val="15"/>
                <w:b w:val="1"/>
                <w:bCs w:val="1"/>
                <w:color w:val="auto"/>
                <w:w w:val="71"/>
              </w:rPr>
              <w:t>7</w:t>
            </w:r>
          </w:p>
        </w:tc>
        <w:tc>
          <w:tcPr>
            <w:tcW w:w="7620" w:type="dxa"/>
            <w:vAlign w:val="bottom"/>
          </w:tcPr>
          <w:p>
            <w:pPr>
              <w:ind w:left="240"/>
              <w:spacing w:after="0"/>
              <w:rPr>
                <w:sz w:val="20"/>
                <w:szCs w:val="20"/>
                <w:color w:val="auto"/>
              </w:rPr>
            </w:pPr>
            <w:r>
              <w:rPr>
                <w:rFonts w:ascii="Arial" w:cs="Arial" w:eastAsia="Arial" w:hAnsi="Arial"/>
                <w:sz w:val="16"/>
                <w:szCs w:val="16"/>
                <w:b w:val="1"/>
                <w:bCs w:val="1"/>
                <w:color w:val="auto"/>
              </w:rPr>
              <w:t>LOANS, NET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340" w:type="dxa"/>
            <w:vAlign w:val="bottom"/>
          </w:tcPr>
          <w:p>
            <w:pPr>
              <w:spacing w:after="0"/>
              <w:rPr>
                <w:sz w:val="24"/>
                <w:szCs w:val="24"/>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(a) This item consists of the following:</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620" w:type="dxa"/>
            <w:vAlign w:val="bottom"/>
          </w:tcPr>
          <w:p>
            <w:pPr>
              <w:ind w:left="540"/>
              <w:spacing w:after="0"/>
              <w:rPr>
                <w:sz w:val="20"/>
                <w:szCs w:val="20"/>
                <w:color w:val="auto"/>
              </w:rPr>
            </w:pPr>
            <w:r>
              <w:rPr>
                <w:rFonts w:ascii="Arial" w:cs="Arial" w:eastAsia="Arial" w:hAnsi="Arial"/>
                <w:sz w:val="16"/>
                <w:szCs w:val="16"/>
                <w:b w:val="1"/>
                <w:bCs w:val="1"/>
                <w:color w:val="auto"/>
              </w:rPr>
              <w:t>Direct loans -</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620" w:type="dxa"/>
            <w:vAlign w:val="bottom"/>
          </w:tcPr>
          <w:p>
            <w:pPr>
              <w:ind w:left="540"/>
              <w:spacing w:after="0"/>
              <w:rPr>
                <w:sz w:val="20"/>
                <w:szCs w:val="20"/>
                <w:color w:val="auto"/>
              </w:rPr>
            </w:pPr>
            <w:r>
              <w:rPr>
                <w:rFonts w:ascii="Arial" w:cs="Arial" w:eastAsia="Arial" w:hAnsi="Arial"/>
                <w:sz w:val="16"/>
                <w:szCs w:val="16"/>
                <w:color w:val="auto"/>
              </w:rPr>
              <w:t>Loans</w:t>
            </w:r>
          </w:p>
        </w:tc>
        <w:tc>
          <w:tcPr>
            <w:tcW w:w="1180" w:type="dxa"/>
            <w:vAlign w:val="bottom"/>
          </w:tcPr>
          <w:p>
            <w:pPr>
              <w:jc w:val="right"/>
              <w:spacing w:after="0"/>
              <w:rPr>
                <w:sz w:val="20"/>
                <w:szCs w:val="20"/>
                <w:color w:val="auto"/>
              </w:rPr>
            </w:pPr>
            <w:r>
              <w:rPr>
                <w:rFonts w:ascii="Arial" w:cs="Arial" w:eastAsia="Arial" w:hAnsi="Arial"/>
                <w:sz w:val="16"/>
                <w:szCs w:val="16"/>
                <w:color w:val="auto"/>
              </w:rPr>
              <w:t>115,170,158</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119,602,591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620" w:type="dxa"/>
            <w:vAlign w:val="bottom"/>
          </w:tcPr>
          <w:p>
            <w:pPr>
              <w:ind w:left="540"/>
              <w:spacing w:after="0"/>
              <w:rPr>
                <w:sz w:val="20"/>
                <w:szCs w:val="20"/>
                <w:color w:val="auto"/>
              </w:rPr>
            </w:pPr>
            <w:r>
              <w:rPr>
                <w:rFonts w:ascii="Arial" w:cs="Arial" w:eastAsia="Arial" w:hAnsi="Arial"/>
                <w:sz w:val="16"/>
                <w:szCs w:val="16"/>
                <w:color w:val="auto"/>
              </w:rPr>
              <w:t>Credit cards</w:t>
            </w:r>
          </w:p>
        </w:tc>
        <w:tc>
          <w:tcPr>
            <w:tcW w:w="1180" w:type="dxa"/>
            <w:vAlign w:val="bottom"/>
          </w:tcPr>
          <w:p>
            <w:pPr>
              <w:jc w:val="right"/>
              <w:spacing w:after="0"/>
              <w:rPr>
                <w:sz w:val="20"/>
                <w:szCs w:val="20"/>
                <w:color w:val="auto"/>
              </w:rPr>
            </w:pPr>
            <w:r>
              <w:rPr>
                <w:rFonts w:ascii="Arial" w:cs="Arial" w:eastAsia="Arial" w:hAnsi="Arial"/>
                <w:sz w:val="16"/>
                <w:szCs w:val="16"/>
                <w:color w:val="auto"/>
              </w:rPr>
              <w:t>7,112,268</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6,187,910</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620" w:type="dxa"/>
            <w:vAlign w:val="bottom"/>
          </w:tcPr>
          <w:p>
            <w:pPr>
              <w:ind w:left="540"/>
              <w:spacing w:after="0"/>
              <w:rPr>
                <w:sz w:val="20"/>
                <w:szCs w:val="20"/>
                <w:color w:val="auto"/>
              </w:rPr>
            </w:pPr>
            <w:r>
              <w:rPr>
                <w:rFonts w:ascii="Arial" w:cs="Arial" w:eastAsia="Arial" w:hAnsi="Arial"/>
                <w:sz w:val="16"/>
                <w:szCs w:val="16"/>
                <w:color w:val="auto"/>
              </w:rPr>
              <w:t>Leasing receivables</w:t>
            </w:r>
          </w:p>
        </w:tc>
        <w:tc>
          <w:tcPr>
            <w:tcW w:w="1180" w:type="dxa"/>
            <w:vAlign w:val="bottom"/>
          </w:tcPr>
          <w:p>
            <w:pPr>
              <w:jc w:val="right"/>
              <w:spacing w:after="0"/>
              <w:rPr>
                <w:sz w:val="20"/>
                <w:szCs w:val="20"/>
                <w:color w:val="auto"/>
              </w:rPr>
            </w:pPr>
            <w:r>
              <w:rPr>
                <w:rFonts w:ascii="Arial" w:cs="Arial" w:eastAsia="Arial" w:hAnsi="Arial"/>
                <w:sz w:val="16"/>
                <w:szCs w:val="16"/>
                <w:color w:val="auto"/>
              </w:rPr>
              <w:t>5,735,973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6,174,850</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620" w:type="dxa"/>
            <w:vAlign w:val="bottom"/>
          </w:tcPr>
          <w:p>
            <w:pPr>
              <w:ind w:left="540"/>
              <w:spacing w:after="0"/>
              <w:rPr>
                <w:sz w:val="20"/>
                <w:szCs w:val="20"/>
                <w:color w:val="auto"/>
              </w:rPr>
            </w:pPr>
            <w:r>
              <w:rPr>
                <w:rFonts w:ascii="Arial" w:cs="Arial" w:eastAsia="Arial" w:hAnsi="Arial"/>
                <w:sz w:val="16"/>
                <w:szCs w:val="16"/>
                <w:color w:val="auto"/>
              </w:rPr>
              <w:t>Factoring receivables</w:t>
            </w:r>
          </w:p>
        </w:tc>
        <w:tc>
          <w:tcPr>
            <w:tcW w:w="1180" w:type="dxa"/>
            <w:vAlign w:val="bottom"/>
          </w:tcPr>
          <w:p>
            <w:pPr>
              <w:jc w:val="right"/>
              <w:spacing w:after="0"/>
              <w:rPr>
                <w:sz w:val="20"/>
                <w:szCs w:val="20"/>
                <w:color w:val="auto"/>
              </w:rPr>
            </w:pPr>
            <w:r>
              <w:rPr>
                <w:rFonts w:ascii="Arial" w:cs="Arial" w:eastAsia="Arial" w:hAnsi="Arial"/>
                <w:sz w:val="16"/>
                <w:szCs w:val="16"/>
                <w:color w:val="auto"/>
              </w:rPr>
              <w:t>3,431,323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3,976,898</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620" w:type="dxa"/>
            <w:vAlign w:val="bottom"/>
          </w:tcPr>
          <w:p>
            <w:pPr>
              <w:ind w:left="540"/>
              <w:spacing w:after="0"/>
              <w:rPr>
                <w:sz w:val="20"/>
                <w:szCs w:val="20"/>
                <w:color w:val="auto"/>
              </w:rPr>
            </w:pPr>
            <w:r>
              <w:rPr>
                <w:rFonts w:ascii="Arial" w:cs="Arial" w:eastAsia="Arial" w:hAnsi="Arial"/>
                <w:sz w:val="16"/>
                <w:szCs w:val="16"/>
                <w:color w:val="auto"/>
              </w:rPr>
              <w:t>Discounted notes</w:t>
            </w:r>
          </w:p>
        </w:tc>
        <w:tc>
          <w:tcPr>
            <w:tcW w:w="1180" w:type="dxa"/>
            <w:vAlign w:val="bottom"/>
          </w:tcPr>
          <w:p>
            <w:pPr>
              <w:jc w:val="right"/>
              <w:spacing w:after="0"/>
              <w:rPr>
                <w:sz w:val="20"/>
                <w:szCs w:val="20"/>
                <w:color w:val="auto"/>
              </w:rPr>
            </w:pPr>
            <w:r>
              <w:rPr>
                <w:rFonts w:ascii="Arial" w:cs="Arial" w:eastAsia="Arial" w:hAnsi="Arial"/>
                <w:sz w:val="16"/>
                <w:szCs w:val="16"/>
                <w:color w:val="auto"/>
              </w:rPr>
              <w:t>3,170,887</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2,982,291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620" w:type="dxa"/>
            <w:vAlign w:val="bottom"/>
          </w:tcPr>
          <w:p>
            <w:pPr>
              <w:ind w:left="540"/>
              <w:spacing w:after="0"/>
              <w:rPr>
                <w:sz w:val="20"/>
                <w:szCs w:val="20"/>
                <w:color w:val="auto"/>
              </w:rPr>
            </w:pPr>
            <w:r>
              <w:rPr>
                <w:rFonts w:ascii="Arial" w:cs="Arial" w:eastAsia="Arial" w:hAnsi="Arial"/>
                <w:sz w:val="16"/>
                <w:szCs w:val="16"/>
                <w:color w:val="auto"/>
              </w:rPr>
              <w:t>Advances and overdrafts in current account</w:t>
            </w:r>
          </w:p>
        </w:tc>
        <w:tc>
          <w:tcPr>
            <w:tcW w:w="1180" w:type="dxa"/>
            <w:vAlign w:val="bottom"/>
          </w:tcPr>
          <w:p>
            <w:pPr>
              <w:jc w:val="right"/>
              <w:spacing w:after="0"/>
              <w:rPr>
                <w:sz w:val="20"/>
                <w:szCs w:val="20"/>
                <w:color w:val="auto"/>
              </w:rPr>
            </w:pPr>
            <w:r>
              <w:rPr>
                <w:rFonts w:ascii="Arial" w:cs="Arial" w:eastAsia="Arial" w:hAnsi="Arial"/>
                <w:sz w:val="16"/>
                <w:szCs w:val="16"/>
                <w:color w:val="auto"/>
              </w:rPr>
              <w:t>321,962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219,932</w:t>
            </w: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7620" w:type="dxa"/>
            <w:vAlign w:val="bottom"/>
          </w:tcPr>
          <w:p>
            <w:pPr>
              <w:ind w:left="540"/>
              <w:spacing w:after="0"/>
              <w:rPr>
                <w:sz w:val="20"/>
                <w:szCs w:val="20"/>
                <w:color w:val="auto"/>
              </w:rPr>
            </w:pPr>
            <w:r>
              <w:rPr>
                <w:rFonts w:ascii="Arial" w:cs="Arial" w:eastAsia="Arial" w:hAnsi="Arial"/>
                <w:sz w:val="16"/>
                <w:szCs w:val="16"/>
                <w:color w:val="auto"/>
              </w:rPr>
              <w:t>Refinanced loans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2,407,516</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2,100,018</w:t>
            </w: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7620" w:type="dxa"/>
            <w:vAlign w:val="bottom"/>
          </w:tcPr>
          <w:p>
            <w:pPr>
              <w:ind w:left="540"/>
              <w:spacing w:after="0"/>
              <w:rPr>
                <w:sz w:val="20"/>
                <w:szCs w:val="20"/>
                <w:color w:val="auto"/>
              </w:rPr>
            </w:pPr>
            <w:r>
              <w:rPr>
                <w:rFonts w:ascii="Arial" w:cs="Arial" w:eastAsia="Arial" w:hAnsi="Arial"/>
                <w:sz w:val="16"/>
                <w:szCs w:val="16"/>
                <w:color w:val="auto"/>
              </w:rPr>
              <w:t>Total direct loans</w:t>
            </w:r>
          </w:p>
        </w:tc>
        <w:tc>
          <w:tcPr>
            <w:tcW w:w="1180" w:type="dxa"/>
            <w:vAlign w:val="bottom"/>
          </w:tcPr>
          <w:p>
            <w:pPr>
              <w:jc w:val="right"/>
              <w:spacing w:after="0"/>
              <w:rPr>
                <w:sz w:val="20"/>
                <w:szCs w:val="20"/>
                <w:color w:val="auto"/>
              </w:rPr>
            </w:pPr>
            <w:r>
              <w:rPr>
                <w:rFonts w:ascii="Arial" w:cs="Arial" w:eastAsia="Arial" w:hAnsi="Arial"/>
                <w:sz w:val="16"/>
                <w:szCs w:val="16"/>
                <w:color w:val="auto"/>
              </w:rPr>
              <w:t>137,350,087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141,244,490</w:t>
            </w:r>
          </w:p>
        </w:tc>
        <w:tc>
          <w:tcPr>
            <w:tcW w:w="0" w:type="dxa"/>
            <w:vAlign w:val="bottom"/>
          </w:tcPr>
          <w:p>
            <w:pPr>
              <w:spacing w:after="0"/>
              <w:rPr>
                <w:sz w:val="1"/>
                <w:szCs w:val="1"/>
                <w:color w:val="auto"/>
              </w:rPr>
            </w:pPr>
          </w:p>
        </w:tc>
      </w:tr>
      <w:tr>
        <w:trPr>
          <w:trHeight w:val="334"/>
        </w:trPr>
        <w:tc>
          <w:tcPr>
            <w:tcW w:w="340" w:type="dxa"/>
            <w:vAlign w:val="bottom"/>
          </w:tcPr>
          <w:p>
            <w:pPr>
              <w:spacing w:after="0"/>
              <w:rPr>
                <w:sz w:val="24"/>
                <w:szCs w:val="24"/>
                <w:color w:val="auto"/>
              </w:rPr>
            </w:pPr>
          </w:p>
        </w:tc>
        <w:tc>
          <w:tcPr>
            <w:tcW w:w="7620" w:type="dxa"/>
            <w:vAlign w:val="bottom"/>
          </w:tcPr>
          <w:p>
            <w:pPr>
              <w:ind w:left="540"/>
              <w:spacing w:after="0"/>
              <w:rPr>
                <w:sz w:val="20"/>
                <w:szCs w:val="20"/>
                <w:color w:val="auto"/>
              </w:rPr>
            </w:pPr>
            <w:r>
              <w:rPr>
                <w:rFonts w:ascii="Arial" w:cs="Arial" w:eastAsia="Arial" w:hAnsi="Arial"/>
                <w:sz w:val="16"/>
                <w:szCs w:val="16"/>
                <w:color w:val="auto"/>
              </w:rPr>
              <w:t>Internal overdue loans and under legal collection loans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6,133,167</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5,945,779</w:t>
            </w: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7620" w:type="dxa"/>
            <w:vAlign w:val="bottom"/>
            <w:vMerge w:val="restart"/>
          </w:tcPr>
          <w:p>
            <w:pPr>
              <w:ind w:left="540"/>
              <w:spacing w:after="0"/>
              <w:rPr>
                <w:sz w:val="20"/>
                <w:szCs w:val="20"/>
                <w:color w:val="auto"/>
              </w:rPr>
            </w:pPr>
            <w:r>
              <w:rPr>
                <w:rFonts w:ascii="Arial" w:cs="Arial" w:eastAsia="Arial" w:hAnsi="Arial"/>
                <w:sz w:val="16"/>
                <w:szCs w:val="16"/>
                <w:color w:val="auto"/>
              </w:rPr>
              <w:t>Add (less) -</w:t>
            </w:r>
          </w:p>
        </w:tc>
        <w:tc>
          <w:tcPr>
            <w:tcW w:w="1180" w:type="dxa"/>
            <w:vAlign w:val="bottom"/>
          </w:tcPr>
          <w:p>
            <w:pPr>
              <w:jc w:val="right"/>
              <w:spacing w:after="0"/>
              <w:rPr>
                <w:sz w:val="20"/>
                <w:szCs w:val="20"/>
                <w:color w:val="auto"/>
              </w:rPr>
            </w:pPr>
            <w:r>
              <w:rPr>
                <w:rFonts w:ascii="Arial" w:cs="Arial" w:eastAsia="Arial" w:hAnsi="Arial"/>
                <w:sz w:val="16"/>
                <w:szCs w:val="16"/>
                <w:color w:val="auto"/>
              </w:rPr>
              <w:t>143,483,254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147,190,269</w:t>
            </w: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762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7620" w:type="dxa"/>
            <w:vAlign w:val="bottom"/>
          </w:tcPr>
          <w:p>
            <w:pPr>
              <w:ind w:left="540"/>
              <w:spacing w:after="0"/>
              <w:rPr>
                <w:sz w:val="20"/>
                <w:szCs w:val="20"/>
                <w:color w:val="auto"/>
              </w:rPr>
            </w:pPr>
            <w:r>
              <w:rPr>
                <w:rFonts w:ascii="Arial" w:cs="Arial" w:eastAsia="Arial" w:hAnsi="Arial"/>
                <w:sz w:val="16"/>
                <w:szCs w:val="16"/>
                <w:color w:val="auto"/>
              </w:rPr>
              <w:t>Accrued interest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1,492,797</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1,436,105</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7620" w:type="dxa"/>
            <w:vAlign w:val="bottom"/>
          </w:tcPr>
          <w:p>
            <w:pPr>
              <w:ind w:left="540"/>
              <w:spacing w:after="0" w:line="175" w:lineRule="exact"/>
              <w:rPr>
                <w:sz w:val="20"/>
                <w:szCs w:val="20"/>
                <w:color w:val="auto"/>
              </w:rPr>
            </w:pPr>
            <w:r>
              <w:rPr>
                <w:rFonts w:ascii="Arial" w:cs="Arial" w:eastAsia="Arial" w:hAnsi="Arial"/>
                <w:sz w:val="16"/>
                <w:szCs w:val="16"/>
                <w:b w:val="1"/>
                <w:bCs w:val="1"/>
                <w:color w:val="auto"/>
              </w:rPr>
              <w:t>Total direct loans</w:t>
            </w:r>
          </w:p>
        </w:tc>
        <w:tc>
          <w:tcPr>
            <w:tcW w:w="11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144,976,051</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148,626,374</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7620" w:type="dxa"/>
            <w:vAlign w:val="bottom"/>
          </w:tcPr>
          <w:p>
            <w:pPr>
              <w:ind w:left="540"/>
              <w:spacing w:after="0" w:line="175" w:lineRule="exact"/>
              <w:rPr>
                <w:sz w:val="20"/>
                <w:szCs w:val="20"/>
                <w:color w:val="auto"/>
              </w:rPr>
            </w:pPr>
            <w:r>
              <w:rPr>
                <w:rFonts w:ascii="Arial" w:cs="Arial" w:eastAsia="Arial" w:hAnsi="Arial"/>
                <w:sz w:val="16"/>
                <w:szCs w:val="16"/>
                <w:color w:val="auto"/>
              </w:rPr>
              <w:t>Allowance for loan losses (c)</w:t>
            </w:r>
          </w:p>
        </w:tc>
        <w:tc>
          <w:tcPr>
            <w:tcW w:w="11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(8,277,916)</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(7,872,402)</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7620" w:type="dxa"/>
            <w:vAlign w:val="bottom"/>
          </w:tcPr>
          <w:p>
            <w:pPr>
              <w:ind w:left="540"/>
              <w:spacing w:after="0" w:line="175" w:lineRule="exact"/>
              <w:rPr>
                <w:sz w:val="20"/>
                <w:szCs w:val="20"/>
                <w:color w:val="auto"/>
              </w:rPr>
            </w:pPr>
            <w:r>
              <w:rPr>
                <w:rFonts w:ascii="Arial" w:cs="Arial" w:eastAsia="Arial" w:hAnsi="Arial"/>
                <w:sz w:val="16"/>
                <w:szCs w:val="16"/>
                <w:b w:val="1"/>
                <w:bCs w:val="1"/>
                <w:color w:val="auto"/>
              </w:rPr>
              <w:t>Total direct loans, net</w:t>
            </w:r>
          </w:p>
        </w:tc>
        <w:tc>
          <w:tcPr>
            <w:tcW w:w="11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136,698,135</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140,753,972</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880"/>
        <w:spacing w:after="0" w:line="252" w:lineRule="auto"/>
        <w:rPr>
          <w:sz w:val="20"/>
          <w:szCs w:val="20"/>
          <w:color w:val="auto"/>
        </w:rPr>
      </w:pPr>
      <w:r>
        <w:rPr>
          <w:rFonts w:ascii="Arial" w:cs="Arial" w:eastAsia="Arial" w:hAnsi="Arial"/>
          <w:sz w:val="16"/>
          <w:szCs w:val="16"/>
          <w:color w:val="auto"/>
        </w:rPr>
        <w:t>The loan portfolio is partially backed by guarantees received from clients, consisting mostly of mortgages, bonds, securities, industrial pledges and commercial pledges. Additionally, the Bank has participated in the Reactiva Perú I and II Program (liquidity program launched by the Peruvian Government in 2020, aimed at providing a quick and effective response to the liquidity needs that companies faced due to the impact of COVID-19). 19, ensure continuity in the payment chain).</w:t>
      </w:r>
    </w:p>
    <w:p>
      <w:pPr>
        <w:spacing w:after="0" w:line="144" w:lineRule="exact"/>
        <w:rPr>
          <w:sz w:val="20"/>
          <w:szCs w:val="20"/>
          <w:color w:val="auto"/>
        </w:rPr>
      </w:pPr>
    </w:p>
    <w:p>
      <w:pPr>
        <w:jc w:val="both"/>
        <w:ind w:left="880"/>
        <w:spacing w:after="0" w:line="252" w:lineRule="auto"/>
        <w:rPr>
          <w:sz w:val="20"/>
          <w:szCs w:val="20"/>
          <w:color w:val="auto"/>
        </w:rPr>
      </w:pPr>
      <w:r>
        <w:rPr>
          <w:rFonts w:ascii="Arial" w:cs="Arial" w:eastAsia="Arial" w:hAnsi="Arial"/>
          <w:sz w:val="16"/>
          <w:szCs w:val="16"/>
          <w:color w:val="auto"/>
        </w:rPr>
        <w:t>As of December 31, 2023, the direct credits of the Reactiva Perú program amount to S/2,877.2 million and the credits of the FAE-MYPE program amount to S/3.6 million and S/10.1 million for FAE-MYPE 1 and FAE-MYPE 2, respectively. As of December 31, 2022, the direct credits of the Reactiva Perú program amounted to S/8,877.2 million and the credits of the FAE-MYPE program to S/3.9 million and S/83.6 million for FAE-MYPE 1 and FAE-MYPE 2, respectively.</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77" w:name="page78"/>
    <w:bookmarkEnd w:id="77"/>
    <w:p>
      <w:pPr>
        <w:ind w:left="580"/>
        <w:spacing w:after="0"/>
        <w:rPr>
          <w:sz w:val="20"/>
          <w:szCs w:val="20"/>
          <w:color w:val="auto"/>
        </w:rPr>
      </w:pPr>
      <w:r>
        <w:rPr>
          <w:rFonts w:ascii="Arial" w:cs="Arial" w:eastAsia="Arial" w:hAnsi="Arial"/>
          <w:sz w:val="16"/>
          <w:szCs w:val="16"/>
          <w:color w:val="auto"/>
        </w:rPr>
        <w:t>(b) As of December 31, 2023, and 2022, the composition of the gross credit balance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60" w:type="dxa"/>
            <w:vAlign w:val="bottom"/>
          </w:tcPr>
          <w:p>
            <w:pPr>
              <w:spacing w:after="0"/>
              <w:rPr>
                <w:sz w:val="17"/>
                <w:szCs w:val="17"/>
                <w:color w:val="auto"/>
              </w:rPr>
            </w:pPr>
          </w:p>
        </w:tc>
        <w:tc>
          <w:tcPr>
            <w:tcW w:w="4920" w:type="dxa"/>
            <w:vAlign w:val="bottom"/>
            <w:gridSpan w:val="2"/>
          </w:tcPr>
          <w:p>
            <w:pPr>
              <w:ind w:left="388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120" w:type="dxa"/>
            <w:vAlign w:val="bottom"/>
          </w:tcPr>
          <w:p>
            <w:pPr>
              <w:ind w:left="60"/>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7"/>
                <w:szCs w:val="17"/>
                <w:color w:val="auto"/>
              </w:rPr>
            </w:pPr>
          </w:p>
        </w:tc>
      </w:tr>
      <w:tr>
        <w:trPr>
          <w:trHeight w:val="216"/>
        </w:trPr>
        <w:tc>
          <w:tcPr>
            <w:tcW w:w="48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1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260" w:type="dxa"/>
            <w:vAlign w:val="bottom"/>
          </w:tcPr>
          <w:p>
            <w:pPr>
              <w:spacing w:after="0"/>
              <w:rPr>
                <w:sz w:val="18"/>
                <w:szCs w:val="18"/>
                <w:color w:val="auto"/>
              </w:rPr>
            </w:pPr>
          </w:p>
        </w:tc>
      </w:tr>
      <w:tr>
        <w:trPr>
          <w:trHeight w:val="310"/>
        </w:trPr>
        <w:tc>
          <w:tcPr>
            <w:tcW w:w="4860" w:type="dxa"/>
            <w:vAlign w:val="bottom"/>
          </w:tcPr>
          <w:p>
            <w:pPr>
              <w:ind w:left="880"/>
              <w:spacing w:after="0"/>
              <w:rPr>
                <w:sz w:val="20"/>
                <w:szCs w:val="20"/>
                <w:color w:val="auto"/>
              </w:rPr>
            </w:pPr>
            <w:r>
              <w:rPr>
                <w:rFonts w:ascii="Arial" w:cs="Arial" w:eastAsia="Arial" w:hAnsi="Arial"/>
                <w:sz w:val="16"/>
                <w:szCs w:val="16"/>
                <w:color w:val="auto"/>
              </w:rPr>
              <w:t>Direct loans, Note7(a)</w:t>
            </w:r>
          </w:p>
        </w:tc>
        <w:tc>
          <w:tcPr>
            <w:tcW w:w="4920" w:type="dxa"/>
            <w:vAlign w:val="bottom"/>
            <w:gridSpan w:val="2"/>
          </w:tcPr>
          <w:p>
            <w:pPr>
              <w:jc w:val="right"/>
              <w:spacing w:after="0"/>
              <w:rPr>
                <w:sz w:val="20"/>
                <w:szCs w:val="20"/>
                <w:color w:val="auto"/>
              </w:rPr>
            </w:pPr>
            <w:r>
              <w:rPr>
                <w:rFonts w:ascii="Arial" w:cs="Arial" w:eastAsia="Arial" w:hAnsi="Arial"/>
                <w:sz w:val="16"/>
                <w:szCs w:val="16"/>
                <w:color w:val="auto"/>
              </w:rPr>
              <w:t>143,483,254</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147,190,269</w:t>
            </w:r>
          </w:p>
        </w:tc>
        <w:tc>
          <w:tcPr>
            <w:tcW w:w="260" w:type="dxa"/>
            <w:vAlign w:val="bottom"/>
          </w:tcPr>
          <w:p>
            <w:pPr>
              <w:spacing w:after="0"/>
              <w:rPr>
                <w:sz w:val="24"/>
                <w:szCs w:val="24"/>
                <w:color w:val="auto"/>
              </w:rPr>
            </w:pPr>
          </w:p>
        </w:tc>
      </w:tr>
      <w:tr>
        <w:trPr>
          <w:trHeight w:val="183"/>
        </w:trPr>
        <w:tc>
          <w:tcPr>
            <w:tcW w:w="4860" w:type="dxa"/>
            <w:vAlign w:val="bottom"/>
          </w:tcPr>
          <w:p>
            <w:pPr>
              <w:ind w:left="880"/>
              <w:spacing w:after="0"/>
              <w:rPr>
                <w:sz w:val="20"/>
                <w:szCs w:val="20"/>
                <w:color w:val="auto"/>
              </w:rPr>
            </w:pPr>
            <w:r>
              <w:rPr>
                <w:rFonts w:ascii="Arial" w:cs="Arial" w:eastAsia="Arial" w:hAnsi="Arial"/>
                <w:sz w:val="16"/>
                <w:szCs w:val="16"/>
                <w:color w:val="auto"/>
              </w:rPr>
              <w:t>Indirect loans, Note 18(a)</w:t>
            </w:r>
          </w:p>
        </w:tc>
        <w:tc>
          <w:tcPr>
            <w:tcW w:w="4920" w:type="dxa"/>
            <w:vAlign w:val="bottom"/>
            <w:gridSpan w:val="2"/>
          </w:tcPr>
          <w:p>
            <w:pPr>
              <w:jc w:val="right"/>
              <w:spacing w:after="0"/>
              <w:rPr>
                <w:sz w:val="20"/>
                <w:szCs w:val="20"/>
                <w:color w:val="auto"/>
              </w:rPr>
            </w:pPr>
            <w:r>
              <w:rPr>
                <w:rFonts w:ascii="Arial" w:cs="Arial" w:eastAsia="Arial" w:hAnsi="Arial"/>
                <w:sz w:val="16"/>
                <w:szCs w:val="16"/>
                <w:color w:val="auto"/>
              </w:rPr>
              <w:t>20,051,615</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20,928,055</w:t>
            </w:r>
          </w:p>
        </w:tc>
        <w:tc>
          <w:tcPr>
            <w:tcW w:w="260" w:type="dxa"/>
            <w:vAlign w:val="bottom"/>
          </w:tcPr>
          <w:p>
            <w:pPr>
              <w:spacing w:after="0"/>
              <w:rPr>
                <w:sz w:val="15"/>
                <w:szCs w:val="15"/>
                <w:color w:val="auto"/>
              </w:rPr>
            </w:pPr>
          </w:p>
        </w:tc>
      </w:tr>
      <w:tr>
        <w:trPr>
          <w:trHeight w:val="200"/>
        </w:trPr>
        <w:tc>
          <w:tcPr>
            <w:tcW w:w="4860" w:type="dxa"/>
            <w:vAlign w:val="bottom"/>
          </w:tcPr>
          <w:p>
            <w:pPr>
              <w:ind w:left="880"/>
              <w:spacing w:after="0"/>
              <w:rPr>
                <w:sz w:val="20"/>
                <w:szCs w:val="20"/>
                <w:color w:val="auto"/>
              </w:rPr>
            </w:pPr>
            <w:r>
              <w:rPr>
                <w:rFonts w:ascii="Arial" w:cs="Arial" w:eastAsia="Arial" w:hAnsi="Arial"/>
                <w:sz w:val="16"/>
                <w:szCs w:val="16"/>
                <w:color w:val="auto"/>
              </w:rPr>
              <w:t>Due from customers on banker’s acceptances</w:t>
            </w:r>
          </w:p>
        </w:tc>
        <w:tc>
          <w:tcPr>
            <w:tcW w:w="4920" w:type="dxa"/>
            <w:vAlign w:val="bottom"/>
            <w:gridSpan w:val="2"/>
          </w:tcPr>
          <w:p>
            <w:pPr>
              <w:jc w:val="right"/>
              <w:spacing w:after="0"/>
              <w:rPr>
                <w:sz w:val="20"/>
                <w:szCs w:val="20"/>
                <w:color w:val="auto"/>
              </w:rPr>
            </w:pPr>
            <w:r>
              <w:rPr>
                <w:rFonts w:ascii="Arial" w:cs="Arial" w:eastAsia="Arial" w:hAnsi="Arial"/>
                <w:sz w:val="16"/>
                <w:szCs w:val="16"/>
                <w:color w:val="auto"/>
              </w:rPr>
              <w:t>412,401</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699,678</w:t>
            </w:r>
          </w:p>
        </w:tc>
        <w:tc>
          <w:tcPr>
            <w:tcW w:w="260" w:type="dxa"/>
            <w:vAlign w:val="bottom"/>
          </w:tcPr>
          <w:p>
            <w:pPr>
              <w:spacing w:after="0"/>
              <w:rPr>
                <w:sz w:val="17"/>
                <w:szCs w:val="17"/>
                <w:color w:val="auto"/>
              </w:rPr>
            </w:pPr>
          </w:p>
        </w:tc>
      </w:tr>
      <w:tr>
        <w:trPr>
          <w:trHeight w:val="180"/>
        </w:trPr>
        <w:tc>
          <w:tcPr>
            <w:tcW w:w="486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Total</w:t>
            </w:r>
          </w:p>
        </w:tc>
        <w:tc>
          <w:tcPr>
            <w:tcW w:w="382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163,947,270</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168,818,002</w:t>
            </w:r>
          </w:p>
        </w:tc>
        <w:tc>
          <w:tcPr>
            <w:tcW w:w="260" w:type="dxa"/>
            <w:vAlign w:val="bottom"/>
          </w:tcPr>
          <w:p>
            <w:pPr>
              <w:spacing w:after="0"/>
              <w:rPr>
                <w:sz w:val="15"/>
                <w:szCs w:val="15"/>
                <w:color w:val="auto"/>
              </w:rPr>
            </w:pPr>
          </w:p>
        </w:tc>
      </w:tr>
      <w:tr>
        <w:trPr>
          <w:trHeight w:val="541"/>
        </w:trPr>
        <w:tc>
          <w:tcPr>
            <w:tcW w:w="4860" w:type="dxa"/>
            <w:vAlign w:val="bottom"/>
          </w:tcPr>
          <w:p>
            <w:pPr>
              <w:spacing w:after="0"/>
              <w:rPr>
                <w:sz w:val="24"/>
                <w:szCs w:val="24"/>
                <w:color w:val="auto"/>
              </w:rPr>
            </w:pPr>
          </w:p>
        </w:tc>
        <w:tc>
          <w:tcPr>
            <w:tcW w:w="3820" w:type="dxa"/>
            <w:vAlign w:val="bottom"/>
          </w:tcPr>
          <w:p>
            <w:pPr>
              <w:jc w:val="right"/>
              <w:ind w:right="2899"/>
              <w:spacing w:after="0"/>
              <w:rPr>
                <w:sz w:val="20"/>
                <w:szCs w:val="20"/>
                <w:color w:val="auto"/>
              </w:rPr>
            </w:pPr>
            <w:r>
              <w:rPr>
                <w:rFonts w:ascii="Arial" w:cs="Arial" w:eastAsia="Arial" w:hAnsi="Arial"/>
                <w:sz w:val="16"/>
                <w:szCs w:val="16"/>
                <w:color w:val="auto"/>
              </w:rPr>
              <w:t>75</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8"/>
        </w:trPr>
        <w:tc>
          <w:tcPr>
            <w:tcW w:w="486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Below is the movement of the gross balance of the loan portfolio, direct, indirect and banker’s acceptances by phase for the periods 2023 and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1</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9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Transfers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Balance as of</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between</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Sale of</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Exchange</w:t>
            </w:r>
          </w:p>
        </w:tc>
        <w:tc>
          <w:tcPr>
            <w:tcW w:w="96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as of</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December 31,</w:t>
            </w:r>
          </w:p>
        </w:tc>
        <w:tc>
          <w:tcPr>
            <w:tcW w:w="9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 to</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 write-</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classes of</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loan</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differences</w:t>
            </w:r>
          </w:p>
        </w:tc>
        <w:tc>
          <w:tcPr>
            <w:tcW w:w="96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2</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3</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2</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3</w:t>
            </w: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offs, net</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portafolio</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others</w:t>
            </w:r>
          </w:p>
        </w:tc>
        <w:tc>
          <w:tcPr>
            <w:tcW w:w="960" w:type="dxa"/>
            <w:vAlign w:val="bottom"/>
          </w:tcPr>
          <w:p>
            <w:pPr>
              <w:ind w:left="4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31"/>
        </w:trPr>
        <w:tc>
          <w:tcPr>
            <w:tcW w:w="1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9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10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86,190,457</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(7,735,234)</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(390,080)</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6,837,244</w:t>
            </w:r>
          </w:p>
        </w:tc>
        <w:tc>
          <w:tcPr>
            <w:tcW w:w="8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113,232</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865,954</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(957,315)</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(995,471)</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83,928,787</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10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18,640,432</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(3,890,376)</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(87,230)</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2,834,608</w:t>
            </w:r>
          </w:p>
        </w:tc>
        <w:tc>
          <w:tcPr>
            <w:tcW w:w="8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68,812</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1,680,893</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(97,070)</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19,150,069</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10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13,425,653</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(10,427,681)</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(193,852)</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4,537,627</w:t>
            </w:r>
          </w:p>
        </w:tc>
        <w:tc>
          <w:tcPr>
            <w:tcW w:w="8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15,883</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(865,954)</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9,439,846</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134,324</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16,065,846</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color w:val="auto"/>
              </w:rPr>
              <w:t>Consumer loans</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15,386,935</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(6,597,935)</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(466,950)</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3,352,518</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68,103</w:t>
            </w: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3,555,141</w:t>
            </w:r>
          </w:p>
        </w:tc>
        <w:tc>
          <w:tcPr>
            <w:tcW w:w="1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(63,752)</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15,234,060</w:t>
            </w:r>
          </w:p>
        </w:tc>
        <w:tc>
          <w:tcPr>
            <w:tcW w:w="0" w:type="dxa"/>
            <w:vAlign w:val="bottom"/>
          </w:tcPr>
          <w:p>
            <w:pPr>
              <w:spacing w:after="0"/>
              <w:rPr>
                <w:sz w:val="1"/>
                <w:szCs w:val="1"/>
                <w:color w:val="auto"/>
              </w:rPr>
            </w:pPr>
          </w:p>
        </w:tc>
      </w:tr>
      <w:tr>
        <w:trPr>
          <w:trHeight w:val="143"/>
        </w:trPr>
        <w:tc>
          <w:tcPr>
            <w:tcW w:w="16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133,643,477</w:t>
            </w: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(28,651,226)</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(1,138,112)</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17,561,997</w:t>
            </w:r>
          </w:p>
        </w:tc>
        <w:tc>
          <w:tcPr>
            <w:tcW w:w="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266,030</w:t>
            </w: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13,718,565</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(1,021,969)</w:t>
            </w:r>
          </w:p>
        </w:tc>
        <w:tc>
          <w:tcPr>
            <w:tcW w:w="1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134,378,762</w:t>
            </w:r>
          </w:p>
        </w:tc>
        <w:tc>
          <w:tcPr>
            <w:tcW w:w="0" w:type="dxa"/>
            <w:vAlign w:val="bottom"/>
          </w:tcPr>
          <w:p>
            <w:pPr>
              <w:spacing w:after="0"/>
              <w:rPr>
                <w:sz w:val="1"/>
                <w:szCs w:val="1"/>
                <w:color w:val="auto"/>
              </w:rPr>
            </w:pPr>
          </w:p>
        </w:tc>
      </w:tr>
      <w:tr>
        <w:trPr>
          <w:trHeight w:val="293"/>
        </w:trPr>
        <w:tc>
          <w:tcPr>
            <w:tcW w:w="1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2</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9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Transfers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Balance as of</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between</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Sale of</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Exchange</w:t>
            </w:r>
          </w:p>
        </w:tc>
        <w:tc>
          <w:tcPr>
            <w:tcW w:w="96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as of</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December 31,</w:t>
            </w:r>
          </w:p>
        </w:tc>
        <w:tc>
          <w:tcPr>
            <w:tcW w:w="9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 to</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 write-</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classes of</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loan</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differences</w:t>
            </w:r>
          </w:p>
        </w:tc>
        <w:tc>
          <w:tcPr>
            <w:tcW w:w="96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1</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3</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1</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3</w:t>
            </w: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offs, net</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portfolio</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others</w:t>
            </w:r>
          </w:p>
        </w:tc>
        <w:tc>
          <w:tcPr>
            <w:tcW w:w="960" w:type="dxa"/>
            <w:vAlign w:val="bottom"/>
          </w:tcPr>
          <w:p>
            <w:pPr>
              <w:ind w:left="4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31"/>
        </w:trPr>
        <w:tc>
          <w:tcPr>
            <w:tcW w:w="1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9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10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8,850,173</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(6,837,244)</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(1,901,832)</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7,735,234</w:t>
            </w:r>
          </w:p>
        </w:tc>
        <w:tc>
          <w:tcPr>
            <w:tcW w:w="8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149,554</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505,667</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(2,566,703)</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2,348</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5,937,197</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10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3,207,081</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(2,834,608)</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(498,299)</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3,890,376</w:t>
            </w:r>
          </w:p>
        </w:tc>
        <w:tc>
          <w:tcPr>
            <w:tcW w:w="8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109,625</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(301,840)</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(14,233)</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3,558,102</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10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7,266,464</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(4,537,627)</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(2,151,478)</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10,427,681</w:t>
            </w:r>
          </w:p>
        </w:tc>
        <w:tc>
          <w:tcPr>
            <w:tcW w:w="8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104,183</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(505,667)</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(6,021,879)</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48,637</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4,630,314</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color w:val="auto"/>
              </w:rPr>
              <w:t>Consumer loans</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3,471,604</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(3,352,518)</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(1,888,270)</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6,597,935</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66,491</w:t>
            </w: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(1,552,101)</w:t>
            </w:r>
          </w:p>
        </w:tc>
        <w:tc>
          <w:tcPr>
            <w:tcW w:w="1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(25,687)</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3,317,454</w:t>
            </w:r>
          </w:p>
        </w:tc>
        <w:tc>
          <w:tcPr>
            <w:tcW w:w="0" w:type="dxa"/>
            <w:vAlign w:val="bottom"/>
          </w:tcPr>
          <w:p>
            <w:pPr>
              <w:spacing w:after="0"/>
              <w:rPr>
                <w:sz w:val="1"/>
                <w:szCs w:val="1"/>
                <w:color w:val="auto"/>
              </w:rPr>
            </w:pPr>
          </w:p>
        </w:tc>
      </w:tr>
      <w:tr>
        <w:trPr>
          <w:trHeight w:val="143"/>
        </w:trPr>
        <w:tc>
          <w:tcPr>
            <w:tcW w:w="16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22,795,322</w:t>
            </w: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(17,561,997)</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(6,439,879)</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28,651,226</w:t>
            </w:r>
          </w:p>
        </w:tc>
        <w:tc>
          <w:tcPr>
            <w:tcW w:w="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429,853</w:t>
            </w: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(10,442,523)</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11,065</w:t>
            </w:r>
          </w:p>
        </w:tc>
        <w:tc>
          <w:tcPr>
            <w:tcW w:w="1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17,443,067</w:t>
            </w:r>
          </w:p>
        </w:tc>
        <w:tc>
          <w:tcPr>
            <w:tcW w:w="0" w:type="dxa"/>
            <w:vAlign w:val="bottom"/>
          </w:tcPr>
          <w:p>
            <w:pPr>
              <w:spacing w:after="0"/>
              <w:rPr>
                <w:sz w:val="1"/>
                <w:szCs w:val="1"/>
                <w:color w:val="auto"/>
              </w:rPr>
            </w:pPr>
          </w:p>
        </w:tc>
      </w:tr>
      <w:tr>
        <w:trPr>
          <w:trHeight w:val="293"/>
        </w:trPr>
        <w:tc>
          <w:tcPr>
            <w:tcW w:w="1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3</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9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Transfers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Balance as of</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between</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Sale of</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Exchange</w:t>
            </w:r>
          </w:p>
        </w:tc>
        <w:tc>
          <w:tcPr>
            <w:tcW w:w="96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as of</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December 31,</w:t>
            </w:r>
          </w:p>
        </w:tc>
        <w:tc>
          <w:tcPr>
            <w:tcW w:w="9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 to</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 write-</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classes of</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loan</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differences</w:t>
            </w:r>
          </w:p>
        </w:tc>
        <w:tc>
          <w:tcPr>
            <w:tcW w:w="96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1</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2</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1</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2</w:t>
            </w: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offs, net</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portfolio</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others</w:t>
            </w:r>
          </w:p>
        </w:tc>
        <w:tc>
          <w:tcPr>
            <w:tcW w:w="960" w:type="dxa"/>
            <w:vAlign w:val="bottom"/>
          </w:tcPr>
          <w:p>
            <w:pPr>
              <w:ind w:left="4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31"/>
        </w:trPr>
        <w:tc>
          <w:tcPr>
            <w:tcW w:w="1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que</w:t>
            </w:r>
          </w:p>
        </w:tc>
        <w:tc>
          <w:tcPr>
            <w:tcW w:w="100" w:type="dxa"/>
            <w:vAlign w:val="bottom"/>
          </w:tcPr>
          <w:p>
            <w:pPr>
              <w:spacing w:after="0"/>
              <w:rPr>
                <w:sz w:val="11"/>
                <w:szCs w:val="11"/>
                <w:color w:val="auto"/>
              </w:rPr>
            </w:pPr>
          </w:p>
        </w:tc>
        <w:tc>
          <w:tcPr>
            <w:tcW w:w="7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9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10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8,150,200</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(113,232)</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(149,554)</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390,080</w:t>
            </w:r>
          </w:p>
        </w:tc>
        <w:tc>
          <w:tcPr>
            <w:tcW w:w="8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1,901,832</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(86,176)</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(2,325,958)</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(377,652)</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(82,364)</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7,307,176</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10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1,388,061</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(68,812)</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(109,625)</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87,230</w:t>
            </w:r>
          </w:p>
        </w:tc>
        <w:tc>
          <w:tcPr>
            <w:tcW w:w="8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498,299</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(248,110)</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(69,258)</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(9,037)</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1,468,748</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10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1,741,559</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(15,883)</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(104,183)</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193,852</w:t>
            </w:r>
          </w:p>
        </w:tc>
        <w:tc>
          <w:tcPr>
            <w:tcW w:w="8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2,151,478</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86,176</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(2,231,402)</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(21,388)</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2,621</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1,802,830</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color w:val="auto"/>
              </w:rPr>
              <w:t>Consumer loans</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1,099,383</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(68,103)</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(66,491)</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466,950</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1,888,270</w:t>
            </w: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(1,763,126)</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(21,689)</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11,493</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1,546,687</w:t>
            </w:r>
          </w:p>
        </w:tc>
        <w:tc>
          <w:tcPr>
            <w:tcW w:w="0" w:type="dxa"/>
            <w:vAlign w:val="bottom"/>
          </w:tcPr>
          <w:p>
            <w:pPr>
              <w:spacing w:after="0"/>
              <w:rPr>
                <w:sz w:val="1"/>
                <w:szCs w:val="1"/>
                <w:color w:val="auto"/>
              </w:rPr>
            </w:pPr>
          </w:p>
        </w:tc>
      </w:tr>
      <w:tr>
        <w:trPr>
          <w:trHeight w:val="143"/>
        </w:trPr>
        <w:tc>
          <w:tcPr>
            <w:tcW w:w="16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12,379,203</w:t>
            </w: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(266,030)</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(429,853)</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1,138,112</w:t>
            </w:r>
          </w:p>
        </w:tc>
        <w:tc>
          <w:tcPr>
            <w:tcW w:w="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6,439,879</w:t>
            </w: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(6,568,596)</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(489,987)</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(77,287)</w:t>
            </w:r>
          </w:p>
        </w:tc>
        <w:tc>
          <w:tcPr>
            <w:tcW w:w="1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12,125,441</w:t>
            </w:r>
          </w:p>
        </w:tc>
        <w:tc>
          <w:tcPr>
            <w:tcW w:w="0" w:type="dxa"/>
            <w:vAlign w:val="bottom"/>
          </w:tcPr>
          <w:p>
            <w:pPr>
              <w:spacing w:after="0"/>
              <w:rPr>
                <w:sz w:val="1"/>
                <w:szCs w:val="1"/>
                <w:color w:val="auto"/>
              </w:rPr>
            </w:pPr>
          </w:p>
        </w:tc>
      </w:tr>
      <w:tr>
        <w:trPr>
          <w:trHeight w:val="293"/>
        </w:trPr>
        <w:tc>
          <w:tcPr>
            <w:tcW w:w="1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Consolidated 3 Stages</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Balance as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9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Transfers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of</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Written off</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between</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Sale of</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Exchange</w:t>
            </w:r>
          </w:p>
        </w:tc>
        <w:tc>
          <w:tcPr>
            <w:tcW w:w="96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as of</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classes of</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loan</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differences</w:t>
            </w:r>
          </w:p>
        </w:tc>
        <w:tc>
          <w:tcPr>
            <w:tcW w:w="96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rPr>
              <w:t>31, 2022</w:t>
            </w:r>
          </w:p>
        </w:tc>
        <w:tc>
          <w:tcPr>
            <w:tcW w:w="8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forgivens</w:t>
            </w: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net</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loans</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portfolio</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others</w:t>
            </w:r>
          </w:p>
        </w:tc>
        <w:tc>
          <w:tcPr>
            <w:tcW w:w="960" w:type="dxa"/>
            <w:vAlign w:val="bottom"/>
          </w:tcPr>
          <w:p>
            <w:pPr>
              <w:ind w:left="4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31"/>
        </w:trPr>
        <w:tc>
          <w:tcPr>
            <w:tcW w:w="1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9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103,190,830</w:t>
            </w:r>
          </w:p>
        </w:tc>
        <w:tc>
          <w:tcPr>
            <w:tcW w:w="8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(369,307)</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1,285,445</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(5,480,669)</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(377,652)</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(1,075,487)</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97,173,160</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23,235,574</w:t>
            </w:r>
          </w:p>
        </w:tc>
        <w:tc>
          <w:tcPr>
            <w:tcW w:w="8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(25,205)</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1,156,148</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(69,258)</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(120,340)</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24,176,919</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22,433,676</w:t>
            </w:r>
          </w:p>
        </w:tc>
        <w:tc>
          <w:tcPr>
            <w:tcW w:w="8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(1,519,522)</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(1,285,445)</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2,706,087</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(21,388)</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185,582</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22,498,990</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color w:val="auto"/>
              </w:rPr>
              <w:t>Consumer loans</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19,957,922</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(1,410,633)</w:t>
            </w: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1,650,547</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(21,689)</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(77,946)</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20,098,201</w:t>
            </w:r>
          </w:p>
        </w:tc>
        <w:tc>
          <w:tcPr>
            <w:tcW w:w="0" w:type="dxa"/>
            <w:vAlign w:val="bottom"/>
          </w:tcPr>
          <w:p>
            <w:pPr>
              <w:spacing w:after="0"/>
              <w:rPr>
                <w:sz w:val="1"/>
                <w:szCs w:val="1"/>
                <w:color w:val="auto"/>
              </w:rPr>
            </w:pPr>
          </w:p>
        </w:tc>
      </w:tr>
      <w:tr>
        <w:trPr>
          <w:trHeight w:val="143"/>
        </w:trPr>
        <w:tc>
          <w:tcPr>
            <w:tcW w:w="16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168,818,002</w:t>
            </w:r>
          </w:p>
        </w:tc>
        <w:tc>
          <w:tcPr>
            <w:tcW w:w="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(3,324,667)</w:t>
            </w: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32,113</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(489,987)</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(1,088,191)</w:t>
            </w:r>
          </w:p>
        </w:tc>
        <w:tc>
          <w:tcPr>
            <w:tcW w:w="1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163,947,270</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06"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54"/>
        </w:trPr>
        <w:tc>
          <w:tcPr>
            <w:tcW w:w="1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1</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Transfers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Balance as of</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between</w:t>
            </w:r>
          </w:p>
        </w:tc>
        <w:tc>
          <w:tcPr>
            <w:tcW w:w="8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Sale of</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Exchange</w:t>
            </w:r>
          </w:p>
        </w:tc>
        <w:tc>
          <w:tcPr>
            <w:tcW w:w="100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as of</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 to</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 from</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 write-</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classes of</w:t>
            </w:r>
          </w:p>
        </w:tc>
        <w:tc>
          <w:tcPr>
            <w:tcW w:w="8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loan</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differences</w:t>
            </w:r>
          </w:p>
        </w:tc>
        <w:tc>
          <w:tcPr>
            <w:tcW w:w="100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2</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to Stage 3</w:t>
            </w: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2</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3</w:t>
            </w: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offs, net</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loans</w:t>
            </w: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portfolio</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others</w:t>
            </w:r>
          </w:p>
        </w:tc>
        <w:tc>
          <w:tcPr>
            <w:tcW w:w="1000" w:type="dxa"/>
            <w:vAlign w:val="bottom"/>
          </w:tcPr>
          <w:p>
            <w:pPr>
              <w:ind w:left="4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31"/>
        </w:trPr>
        <w:tc>
          <w:tcPr>
            <w:tcW w:w="1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9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7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9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7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10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90,281,463</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(10,689,388)</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(782,333)</w:t>
            </w:r>
          </w:p>
        </w:tc>
        <w:tc>
          <w:tcPr>
            <w:tcW w:w="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7,640,908</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356,896</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(21,784)</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1,067,360</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(1,662,665)</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86,190,457</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10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18,702,189</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(4,019,065)</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(84,000)</w:t>
            </w:r>
          </w:p>
        </w:tc>
        <w:tc>
          <w:tcPr>
            <w:tcW w:w="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1,995,000</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27,176</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7,496</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2,247,060</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(235,424)</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18,640,432</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10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10,803,696</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(11,398,414)</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(235,229)</w:t>
            </w:r>
          </w:p>
        </w:tc>
        <w:tc>
          <w:tcPr>
            <w:tcW w:w="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4,142,176</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95,327</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(739,253)</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10,960,618</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(203,268)</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13,425,653</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color w:val="auto"/>
              </w:rPr>
              <w:t>Consumer loans</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11,993,823</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(6,578,251)</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(300,120)</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3,313,501</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58,137</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753,541</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6,176,605</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(30,301)</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15,386,935</w:t>
            </w:r>
          </w:p>
        </w:tc>
        <w:tc>
          <w:tcPr>
            <w:tcW w:w="0" w:type="dxa"/>
            <w:vAlign w:val="bottom"/>
          </w:tcPr>
          <w:p>
            <w:pPr>
              <w:spacing w:after="0"/>
              <w:rPr>
                <w:sz w:val="1"/>
                <w:szCs w:val="1"/>
                <w:color w:val="auto"/>
              </w:rPr>
            </w:pPr>
          </w:p>
        </w:tc>
      </w:tr>
      <w:tr>
        <w:trPr>
          <w:trHeight w:val="143"/>
        </w:trPr>
        <w:tc>
          <w:tcPr>
            <w:tcW w:w="16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131,781,171</w:t>
            </w: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(32,685,118)</w:t>
            </w: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(1,401,682)</w:t>
            </w:r>
          </w:p>
        </w:tc>
        <w:tc>
          <w:tcPr>
            <w:tcW w:w="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17,091,585</w:t>
            </w: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537,536</w:t>
            </w: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20,451,643</w:t>
            </w:r>
          </w:p>
        </w:tc>
        <w:tc>
          <w:tcPr>
            <w:tcW w:w="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(2,131,658)</w:t>
            </w:r>
          </w:p>
        </w:tc>
        <w:tc>
          <w:tcPr>
            <w:tcW w:w="1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133,643,477</w:t>
            </w:r>
          </w:p>
        </w:tc>
        <w:tc>
          <w:tcPr>
            <w:tcW w:w="0" w:type="dxa"/>
            <w:vAlign w:val="bottom"/>
          </w:tcPr>
          <w:p>
            <w:pPr>
              <w:spacing w:after="0"/>
              <w:rPr>
                <w:sz w:val="1"/>
                <w:szCs w:val="1"/>
                <w:color w:val="auto"/>
              </w:rPr>
            </w:pPr>
          </w:p>
        </w:tc>
      </w:tr>
      <w:tr>
        <w:trPr>
          <w:trHeight w:val="293"/>
        </w:trPr>
        <w:tc>
          <w:tcPr>
            <w:tcW w:w="1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2</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Transfers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Balance as of</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between</w:t>
            </w:r>
          </w:p>
        </w:tc>
        <w:tc>
          <w:tcPr>
            <w:tcW w:w="8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Sale of</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Exchange</w:t>
            </w:r>
          </w:p>
        </w:tc>
        <w:tc>
          <w:tcPr>
            <w:tcW w:w="100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as of</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 to</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 from</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 write-</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classes of</w:t>
            </w:r>
          </w:p>
        </w:tc>
        <w:tc>
          <w:tcPr>
            <w:tcW w:w="8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loan</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differences</w:t>
            </w:r>
          </w:p>
        </w:tc>
        <w:tc>
          <w:tcPr>
            <w:tcW w:w="100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1</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to Stage 3</w:t>
            </w: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1</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3</w:t>
            </w: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offs, net</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loans</w:t>
            </w: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portfolio</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others</w:t>
            </w:r>
          </w:p>
        </w:tc>
        <w:tc>
          <w:tcPr>
            <w:tcW w:w="1000" w:type="dxa"/>
            <w:vAlign w:val="bottom"/>
          </w:tcPr>
          <w:p>
            <w:pPr>
              <w:ind w:left="4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31"/>
        </w:trPr>
        <w:tc>
          <w:tcPr>
            <w:tcW w:w="1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9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7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9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7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10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11,342,409</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(7,640,908)</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(2,586,811)</w:t>
            </w:r>
          </w:p>
        </w:tc>
        <w:tc>
          <w:tcPr>
            <w:tcW w:w="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10,689,388</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434,550</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614,296</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(3,906,923)</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(95,828)</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8,850,173</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10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1,758,125</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(1,995,000)</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(292,259)</w:t>
            </w:r>
          </w:p>
        </w:tc>
        <w:tc>
          <w:tcPr>
            <w:tcW w:w="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4,019,065</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23,225</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427</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(286,590)</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(19,912)</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3,207,081</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10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8,927,358</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(4,142,176)</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(1,627,919)</w:t>
            </w:r>
          </w:p>
        </w:tc>
        <w:tc>
          <w:tcPr>
            <w:tcW w:w="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11,398,414</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93,396</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(599,450)</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(6,722,150)</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(61,009)</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7,266,464</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color w:val="auto"/>
              </w:rPr>
              <w:t>Consumer loans</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2,921,075</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(3,313,501)</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(1,025,878)</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6,578,251</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71,775</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(15,273)</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(1,741,617)</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(3,228)</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3,471,604</w:t>
            </w:r>
          </w:p>
        </w:tc>
        <w:tc>
          <w:tcPr>
            <w:tcW w:w="0" w:type="dxa"/>
            <w:vAlign w:val="bottom"/>
          </w:tcPr>
          <w:p>
            <w:pPr>
              <w:spacing w:after="0"/>
              <w:rPr>
                <w:sz w:val="1"/>
                <w:szCs w:val="1"/>
                <w:color w:val="auto"/>
              </w:rPr>
            </w:pPr>
          </w:p>
        </w:tc>
      </w:tr>
      <w:tr>
        <w:trPr>
          <w:trHeight w:val="143"/>
        </w:trPr>
        <w:tc>
          <w:tcPr>
            <w:tcW w:w="16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24,948,967</w:t>
            </w: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(17,091,585)</w:t>
            </w: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(5,532,867)</w:t>
            </w:r>
          </w:p>
        </w:tc>
        <w:tc>
          <w:tcPr>
            <w:tcW w:w="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32,685,118</w:t>
            </w: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622,946</w:t>
            </w: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(12,657,280)</w:t>
            </w:r>
          </w:p>
        </w:tc>
        <w:tc>
          <w:tcPr>
            <w:tcW w:w="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(179,977)</w:t>
            </w:r>
          </w:p>
        </w:tc>
        <w:tc>
          <w:tcPr>
            <w:tcW w:w="1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22,795,322</w:t>
            </w:r>
          </w:p>
        </w:tc>
        <w:tc>
          <w:tcPr>
            <w:tcW w:w="0" w:type="dxa"/>
            <w:vAlign w:val="bottom"/>
          </w:tcPr>
          <w:p>
            <w:pPr>
              <w:spacing w:after="0"/>
              <w:rPr>
                <w:sz w:val="1"/>
                <w:szCs w:val="1"/>
                <w:color w:val="auto"/>
              </w:rPr>
            </w:pPr>
          </w:p>
        </w:tc>
      </w:tr>
      <w:tr>
        <w:trPr>
          <w:trHeight w:val="293"/>
        </w:trPr>
        <w:tc>
          <w:tcPr>
            <w:tcW w:w="1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3</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Transfers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Balance as of</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between</w:t>
            </w:r>
          </w:p>
        </w:tc>
        <w:tc>
          <w:tcPr>
            <w:tcW w:w="8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Sale of</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Exchange</w:t>
            </w:r>
          </w:p>
        </w:tc>
        <w:tc>
          <w:tcPr>
            <w:tcW w:w="100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as of</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 to</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 from</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 write-</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classes of</w:t>
            </w:r>
          </w:p>
        </w:tc>
        <w:tc>
          <w:tcPr>
            <w:tcW w:w="8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loan</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differences</w:t>
            </w:r>
          </w:p>
        </w:tc>
        <w:tc>
          <w:tcPr>
            <w:tcW w:w="100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1</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to Stage 2</w:t>
            </w: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1</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2</w:t>
            </w: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offs, net</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loans</w:t>
            </w: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portfolio</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others</w:t>
            </w:r>
          </w:p>
        </w:tc>
        <w:tc>
          <w:tcPr>
            <w:tcW w:w="1000" w:type="dxa"/>
            <w:vAlign w:val="bottom"/>
          </w:tcPr>
          <w:p>
            <w:pPr>
              <w:ind w:left="4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31"/>
        </w:trPr>
        <w:tc>
          <w:tcPr>
            <w:tcW w:w="1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9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7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9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7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10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8,756,743</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(356,896)</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(434,550)</w:t>
            </w:r>
          </w:p>
        </w:tc>
        <w:tc>
          <w:tcPr>
            <w:tcW w:w="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782,333</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2,586,811</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(95,866)</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(2,934,746)</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(7,803)</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(145,826)</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8,150,200</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10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1,371,146</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(27,176)</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(23,225)</w:t>
            </w:r>
          </w:p>
        </w:tc>
        <w:tc>
          <w:tcPr>
            <w:tcW w:w="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84,000</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292,259</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(283,888)</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(2,442)</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(22,613)</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1,388,061</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10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1,906,210</w:t>
            </w:r>
          </w:p>
        </w:tc>
        <w:tc>
          <w:tcPr>
            <w:tcW w:w="8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(95,327)</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(93,396)</w:t>
            </w:r>
          </w:p>
        </w:tc>
        <w:tc>
          <w:tcPr>
            <w:tcW w:w="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235,229</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1,627,919</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85,153</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(1,905,488)</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(909)</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(17,832)</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1,741,559</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color w:val="auto"/>
              </w:rPr>
              <w:t>Consumer loans</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1,099,329</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(58,137)</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(71,775)</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300,120</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1,025,878</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10,713</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(1,205,204)</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(1,237)</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1,099,383</w:t>
            </w:r>
          </w:p>
        </w:tc>
        <w:tc>
          <w:tcPr>
            <w:tcW w:w="0" w:type="dxa"/>
            <w:vAlign w:val="bottom"/>
          </w:tcPr>
          <w:p>
            <w:pPr>
              <w:spacing w:after="0"/>
              <w:rPr>
                <w:sz w:val="1"/>
                <w:szCs w:val="1"/>
                <w:color w:val="auto"/>
              </w:rPr>
            </w:pPr>
          </w:p>
        </w:tc>
      </w:tr>
      <w:tr>
        <w:trPr>
          <w:trHeight w:val="143"/>
        </w:trPr>
        <w:tc>
          <w:tcPr>
            <w:tcW w:w="16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13,133,428</w:t>
            </w: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(537,536)</w:t>
            </w: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(622,946)</w:t>
            </w:r>
          </w:p>
        </w:tc>
        <w:tc>
          <w:tcPr>
            <w:tcW w:w="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1,401,682</w:t>
            </w: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5,532,867</w:t>
            </w: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(6,329,326)</w:t>
            </w:r>
          </w:p>
        </w:tc>
        <w:tc>
          <w:tcPr>
            <w:tcW w:w="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(11,458)</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(187,508)</w:t>
            </w:r>
          </w:p>
        </w:tc>
        <w:tc>
          <w:tcPr>
            <w:tcW w:w="1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12,379,203</w:t>
            </w:r>
          </w:p>
        </w:tc>
        <w:tc>
          <w:tcPr>
            <w:tcW w:w="0" w:type="dxa"/>
            <w:vAlign w:val="bottom"/>
          </w:tcPr>
          <w:p>
            <w:pPr>
              <w:spacing w:after="0"/>
              <w:rPr>
                <w:sz w:val="1"/>
                <w:szCs w:val="1"/>
                <w:color w:val="auto"/>
              </w:rPr>
            </w:pPr>
          </w:p>
        </w:tc>
      </w:tr>
      <w:tr>
        <w:trPr>
          <w:trHeight w:val="293"/>
        </w:trPr>
        <w:tc>
          <w:tcPr>
            <w:tcW w:w="1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Consolidated 3 Stages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Transfers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Balance as of</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Written off</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between</w:t>
            </w:r>
          </w:p>
        </w:tc>
        <w:tc>
          <w:tcPr>
            <w:tcW w:w="8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Sale of</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Exchange</w:t>
            </w:r>
          </w:p>
        </w:tc>
        <w:tc>
          <w:tcPr>
            <w:tcW w:w="100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as of</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and</w:t>
            </w:r>
          </w:p>
        </w:tc>
        <w:tc>
          <w:tcPr>
            <w:tcW w:w="10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classes of</w:t>
            </w:r>
          </w:p>
        </w:tc>
        <w:tc>
          <w:tcPr>
            <w:tcW w:w="8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loan</w:t>
            </w:r>
          </w:p>
        </w:tc>
        <w:tc>
          <w:tcPr>
            <w:tcW w:w="9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differences</w:t>
            </w:r>
          </w:p>
        </w:tc>
        <w:tc>
          <w:tcPr>
            <w:tcW w:w="100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forgivens</w:t>
            </w: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net</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loans</w:t>
            </w: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portfolio</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others</w:t>
            </w:r>
          </w:p>
        </w:tc>
        <w:tc>
          <w:tcPr>
            <w:tcW w:w="1000" w:type="dxa"/>
            <w:vAlign w:val="bottom"/>
          </w:tcPr>
          <w:p>
            <w:pPr>
              <w:ind w:left="4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31"/>
        </w:trPr>
        <w:tc>
          <w:tcPr>
            <w:tcW w:w="1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7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9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1"/>
                <w:szCs w:val="11"/>
                <w:color w:val="auto"/>
              </w:rPr>
            </w:pPr>
          </w:p>
        </w:tc>
        <w:tc>
          <w:tcPr>
            <w:tcW w:w="7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00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110,380,615</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(421,522)</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496,646</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(5,352,787)</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(7,803)</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(1,904,319)</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103,190,830</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21,831,460</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(33,940)</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7,923</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1,710,522</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(2,442)</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(277,949)</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23,235,574</w:t>
            </w:r>
          </w:p>
        </w:tc>
        <w:tc>
          <w:tcPr>
            <w:tcW w:w="0" w:type="dxa"/>
            <w:vAlign w:val="bottom"/>
          </w:tcPr>
          <w:p>
            <w:pPr>
              <w:spacing w:after="0"/>
              <w:rPr>
                <w:sz w:val="1"/>
                <w:szCs w:val="1"/>
                <w:color w:val="auto"/>
              </w:rPr>
            </w:pPr>
          </w:p>
        </w:tc>
      </w:tr>
      <w:tr>
        <w:trPr>
          <w:trHeight w:val="147"/>
        </w:trPr>
        <w:tc>
          <w:tcPr>
            <w:tcW w:w="16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21,637,264</w:t>
            </w: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(1,164,440)</w:t>
            </w:r>
          </w:p>
        </w:tc>
        <w:tc>
          <w:tcPr>
            <w:tcW w:w="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(1,253,550)</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3,497,420</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(909)</w:t>
            </w: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(282,109)</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22,433,676</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Arial" w:cs="Arial" w:eastAsia="Arial" w:hAnsi="Arial"/>
                <w:sz w:val="13"/>
                <w:szCs w:val="13"/>
                <w:color w:val="auto"/>
              </w:rPr>
              <w:t>Consumer loans</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16,014,227</w:t>
            </w:r>
          </w:p>
        </w:tc>
        <w:tc>
          <w:tcPr>
            <w:tcW w:w="8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(955,356)</w:t>
            </w: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748,981</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4,185,140</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(34,766)</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19,957,922</w:t>
            </w:r>
          </w:p>
        </w:tc>
        <w:tc>
          <w:tcPr>
            <w:tcW w:w="0" w:type="dxa"/>
            <w:vAlign w:val="bottom"/>
          </w:tcPr>
          <w:p>
            <w:pPr>
              <w:spacing w:after="0"/>
              <w:rPr>
                <w:sz w:val="1"/>
                <w:szCs w:val="1"/>
                <w:color w:val="auto"/>
              </w:rPr>
            </w:pPr>
          </w:p>
        </w:tc>
      </w:tr>
      <w:tr>
        <w:trPr>
          <w:trHeight w:val="143"/>
        </w:trPr>
        <w:tc>
          <w:tcPr>
            <w:tcW w:w="16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169,863,566</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(2,575,258)</w:t>
            </w:r>
          </w:p>
        </w:tc>
        <w:tc>
          <w:tcPr>
            <w:tcW w:w="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4,040,295</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(11,458)</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(2,499,143)</w:t>
            </w: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168,818,002</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462" w:right="319" w:bottom="1440" w:gutter="0" w:footer="0" w:header="0"/>
        </w:sectPr>
      </w:pPr>
    </w:p>
    <w:bookmarkStart w:id="80" w:name="page81"/>
    <w:bookmarkEnd w:id="80"/>
    <w:p>
      <w:pPr>
        <w:jc w:val="both"/>
        <w:ind w:left="342" w:right="20" w:hanging="342"/>
        <w:spacing w:after="0" w:line="259" w:lineRule="auto"/>
        <w:tabs>
          <w:tab w:leader="none" w:pos="342" w:val="left"/>
        </w:tabs>
        <w:numPr>
          <w:ilvl w:val="0"/>
          <w:numId w:val="98"/>
        </w:numPr>
        <w:rPr>
          <w:rFonts w:ascii="Arial" w:cs="Arial" w:eastAsia="Arial" w:hAnsi="Arial"/>
          <w:sz w:val="16"/>
          <w:szCs w:val="16"/>
          <w:color w:val="auto"/>
        </w:rPr>
      </w:pPr>
      <w:r>
        <w:rPr>
          <w:rFonts w:ascii="Arial" w:cs="Arial" w:eastAsia="Arial" w:hAnsi="Arial"/>
          <w:sz w:val="16"/>
          <w:szCs w:val="16"/>
          <w:color w:val="auto"/>
        </w:rPr>
        <w:t>As of December 31, 2023, and 2022, the allowance for loan losses for direct loans, indirect loans and due from customers on banker’s acceptances, was determined under the expected credit loss model as established in IFRS 9. The movement in the allowance for loan losses is shown below for direct loans and indirect loans and due from customers on banker’s acceptances:</w:t>
      </w:r>
    </w:p>
    <w:p>
      <w:pPr>
        <w:spacing w:after="0" w:line="110" w:lineRule="exact"/>
        <w:rPr>
          <w:sz w:val="20"/>
          <w:szCs w:val="20"/>
          <w:color w:val="auto"/>
        </w:rPr>
      </w:pPr>
    </w:p>
    <w:tbl>
      <w:tblPr>
        <w:tblLayout w:type="fixed"/>
        <w:tblInd w:w="2" w:type="dxa"/>
        <w:tblCellMar>
          <w:top w:w="0" w:type="dxa"/>
          <w:left w:w="0" w:type="dxa"/>
          <w:bottom w:w="0" w:type="dxa"/>
          <w:right w:w="0" w:type="dxa"/>
        </w:tblCellMar>
      </w:tblPr>
      <w:tr>
        <w:trPr>
          <w:trHeight w:val="154"/>
        </w:trPr>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1</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10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Transfers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between</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Sale of</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Exchange</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9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 to</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 write-</w:t>
            </w: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classes of</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loan</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differences</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31, 2022</w:t>
            </w:r>
          </w:p>
        </w:tc>
        <w:tc>
          <w:tcPr>
            <w:tcW w:w="10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2</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to Stage 3</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2</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3</w:t>
            </w: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auto"/>
              </w:rPr>
              <w:t>offs, net</w:t>
            </w: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loans</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portfolio</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and others</w:t>
            </w: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rPr>
              <w:t>31, 2023</w:t>
            </w:r>
          </w:p>
        </w:tc>
        <w:tc>
          <w:tcPr>
            <w:tcW w:w="0" w:type="dxa"/>
            <w:vAlign w:val="bottom"/>
          </w:tcPr>
          <w:p>
            <w:pPr>
              <w:spacing w:after="0"/>
              <w:rPr>
                <w:sz w:val="1"/>
                <w:szCs w:val="1"/>
                <w:color w:val="auto"/>
              </w:rPr>
            </w:pPr>
          </w:p>
        </w:tc>
      </w:tr>
      <w:tr>
        <w:trPr>
          <w:trHeight w:val="131"/>
        </w:trPr>
        <w:tc>
          <w:tcPr>
            <w:tcW w:w="1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86,190,457</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(7,735,234)</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(390,080)</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6,837,244</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113,232</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865,954</w:t>
            </w: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Arial" w:cs="Arial" w:eastAsia="Arial" w:hAnsi="Arial"/>
                <w:sz w:val="13"/>
                <w:szCs w:val="13"/>
                <w:color w:val="auto"/>
              </w:rPr>
              <w:t>(957,315)</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(995,471)</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83,928,787</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18,640,432</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(3,890,376)</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(87,230)</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2,834,608</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68,812</w:t>
            </w:r>
          </w:p>
        </w:tc>
        <w:tc>
          <w:tcPr>
            <w:tcW w:w="100" w:type="dxa"/>
            <w:vAlign w:val="bottom"/>
          </w:tcPr>
          <w:p>
            <w:pPr>
              <w:spacing w:after="0"/>
              <w:rPr>
                <w:sz w:val="12"/>
                <w:szCs w:val="12"/>
                <w:color w:val="auto"/>
              </w:rPr>
            </w:pPr>
          </w:p>
        </w:tc>
        <w:tc>
          <w:tcPr>
            <w:tcW w:w="10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7" w:lineRule="exact"/>
              <w:rPr>
                <w:sz w:val="20"/>
                <w:szCs w:val="20"/>
                <w:color w:val="auto"/>
              </w:rPr>
            </w:pPr>
            <w:r>
              <w:rPr>
                <w:rFonts w:ascii="Arial" w:cs="Arial" w:eastAsia="Arial" w:hAnsi="Arial"/>
                <w:sz w:val="13"/>
                <w:szCs w:val="13"/>
                <w:color w:val="auto"/>
              </w:rPr>
              <w:t>1,680,893</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(97,070)</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19,150,069</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13,425,653</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(10,427,681)</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(193,852)</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4,537,627</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15,883</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(865,954)</w:t>
            </w: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Arial" w:cs="Arial" w:eastAsia="Arial" w:hAnsi="Arial"/>
                <w:sz w:val="13"/>
                <w:szCs w:val="13"/>
                <w:color w:val="auto"/>
              </w:rPr>
              <w:t>9,439,846</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134,324</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16,065,846</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color w:val="auto"/>
              </w:rPr>
              <w:t>Consumer loans</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15,386,935</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(6,597,935)</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(466,950)</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3,352,518</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68,103</w:t>
            </w:r>
          </w:p>
        </w:tc>
        <w:tc>
          <w:tcPr>
            <w:tcW w:w="1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3,555,141</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(63,752)</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15,234,060</w:t>
            </w:r>
          </w:p>
        </w:tc>
        <w:tc>
          <w:tcPr>
            <w:tcW w:w="0" w:type="dxa"/>
            <w:vAlign w:val="bottom"/>
          </w:tcPr>
          <w:p>
            <w:pPr>
              <w:spacing w:after="0"/>
              <w:rPr>
                <w:sz w:val="1"/>
                <w:szCs w:val="1"/>
                <w:color w:val="auto"/>
              </w:rPr>
            </w:pPr>
          </w:p>
        </w:tc>
      </w:tr>
      <w:tr>
        <w:trPr>
          <w:trHeight w:val="143"/>
        </w:trPr>
        <w:tc>
          <w:tcPr>
            <w:tcW w:w="18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133,643,477</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(28,651,226)</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(1,138,112)</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17,561,997</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266,030</w:t>
            </w:r>
          </w:p>
        </w:tc>
        <w:tc>
          <w:tcPr>
            <w:tcW w:w="1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13,718,565</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(1,021,969)</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134,378,762</w:t>
            </w:r>
          </w:p>
        </w:tc>
        <w:tc>
          <w:tcPr>
            <w:tcW w:w="0" w:type="dxa"/>
            <w:vAlign w:val="bottom"/>
          </w:tcPr>
          <w:p>
            <w:pPr>
              <w:spacing w:after="0"/>
              <w:rPr>
                <w:sz w:val="1"/>
                <w:szCs w:val="1"/>
                <w:color w:val="auto"/>
              </w:rPr>
            </w:pPr>
          </w:p>
        </w:tc>
      </w:tr>
      <w:tr>
        <w:trPr>
          <w:trHeight w:val="293"/>
        </w:trPr>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10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Transfers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between</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Sale of</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Exchange</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9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 to</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 write-</w:t>
            </w: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classes of</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loan</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differences</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31, 2022</w:t>
            </w:r>
          </w:p>
        </w:tc>
        <w:tc>
          <w:tcPr>
            <w:tcW w:w="10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1</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to Stage 3</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1</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3</w:t>
            </w: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auto"/>
              </w:rPr>
              <w:t>offs, net</w:t>
            </w: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loans</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portfolio</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and others</w:t>
            </w: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rPr>
              <w:t>31, 2023</w:t>
            </w:r>
          </w:p>
        </w:tc>
        <w:tc>
          <w:tcPr>
            <w:tcW w:w="0" w:type="dxa"/>
            <w:vAlign w:val="bottom"/>
          </w:tcPr>
          <w:p>
            <w:pPr>
              <w:spacing w:after="0"/>
              <w:rPr>
                <w:sz w:val="1"/>
                <w:szCs w:val="1"/>
                <w:color w:val="auto"/>
              </w:rPr>
            </w:pPr>
          </w:p>
        </w:tc>
      </w:tr>
      <w:tr>
        <w:trPr>
          <w:trHeight w:val="131"/>
        </w:trPr>
        <w:tc>
          <w:tcPr>
            <w:tcW w:w="1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8,850,173</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(6,837,244)</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(1,901,832)</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7,735,234</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149,554</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505,667</w:t>
            </w: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Arial" w:cs="Arial" w:eastAsia="Arial" w:hAnsi="Arial"/>
                <w:sz w:val="13"/>
                <w:szCs w:val="13"/>
                <w:color w:val="auto"/>
              </w:rPr>
              <w:t>(2,566,703)</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2,348</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5,937,197</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3,207,081</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(2,834,608)</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(498,299)</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3,890,376</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109,625</w:t>
            </w:r>
          </w:p>
        </w:tc>
        <w:tc>
          <w:tcPr>
            <w:tcW w:w="100" w:type="dxa"/>
            <w:vAlign w:val="bottom"/>
          </w:tcPr>
          <w:p>
            <w:pPr>
              <w:spacing w:after="0"/>
              <w:rPr>
                <w:sz w:val="12"/>
                <w:szCs w:val="12"/>
                <w:color w:val="auto"/>
              </w:rPr>
            </w:pPr>
          </w:p>
        </w:tc>
        <w:tc>
          <w:tcPr>
            <w:tcW w:w="10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7" w:lineRule="exact"/>
              <w:rPr>
                <w:sz w:val="20"/>
                <w:szCs w:val="20"/>
                <w:color w:val="auto"/>
              </w:rPr>
            </w:pPr>
            <w:r>
              <w:rPr>
                <w:rFonts w:ascii="Arial" w:cs="Arial" w:eastAsia="Arial" w:hAnsi="Arial"/>
                <w:sz w:val="13"/>
                <w:szCs w:val="13"/>
                <w:color w:val="auto"/>
              </w:rPr>
              <w:t>(301,840)</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(14,233)</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3,558,102</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7,266,464</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(4,537,627)</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(2,151,478)</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10,427,681</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104,183</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(505,667)</w:t>
            </w: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Arial" w:cs="Arial" w:eastAsia="Arial" w:hAnsi="Arial"/>
                <w:sz w:val="13"/>
                <w:szCs w:val="13"/>
                <w:color w:val="auto"/>
              </w:rPr>
              <w:t>(6,021,879)</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48,637</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4,630,314</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color w:val="auto"/>
              </w:rPr>
              <w:t>Consumer loans</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3,471,604</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(3,352,518)</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(1,888,270)</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6,597,935</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66,491</w:t>
            </w:r>
          </w:p>
        </w:tc>
        <w:tc>
          <w:tcPr>
            <w:tcW w:w="1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(1,552,101)</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(25,687)</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3,317,454</w:t>
            </w:r>
          </w:p>
        </w:tc>
        <w:tc>
          <w:tcPr>
            <w:tcW w:w="0" w:type="dxa"/>
            <w:vAlign w:val="bottom"/>
          </w:tcPr>
          <w:p>
            <w:pPr>
              <w:spacing w:after="0"/>
              <w:rPr>
                <w:sz w:val="1"/>
                <w:szCs w:val="1"/>
                <w:color w:val="auto"/>
              </w:rPr>
            </w:pPr>
          </w:p>
        </w:tc>
      </w:tr>
      <w:tr>
        <w:trPr>
          <w:trHeight w:val="143"/>
        </w:trPr>
        <w:tc>
          <w:tcPr>
            <w:tcW w:w="18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22,795,322</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(17,561,997)</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(6,439,879)</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28,651,226</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429,853</w:t>
            </w:r>
          </w:p>
        </w:tc>
        <w:tc>
          <w:tcPr>
            <w:tcW w:w="1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(10,442,523)</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11,065</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17,443,067</w:t>
            </w:r>
          </w:p>
        </w:tc>
        <w:tc>
          <w:tcPr>
            <w:tcW w:w="0" w:type="dxa"/>
            <w:vAlign w:val="bottom"/>
          </w:tcPr>
          <w:p>
            <w:pPr>
              <w:spacing w:after="0"/>
              <w:rPr>
                <w:sz w:val="1"/>
                <w:szCs w:val="1"/>
                <w:color w:val="auto"/>
              </w:rPr>
            </w:pPr>
          </w:p>
        </w:tc>
      </w:tr>
      <w:tr>
        <w:trPr>
          <w:trHeight w:val="293"/>
        </w:trPr>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10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Transfers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between</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Sale of</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Exchange</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9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 to</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 write-</w:t>
            </w: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classes of</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loan</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differences</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31, 2022</w:t>
            </w:r>
          </w:p>
        </w:tc>
        <w:tc>
          <w:tcPr>
            <w:tcW w:w="10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1</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to Stage 2</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1</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2</w:t>
            </w: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auto"/>
              </w:rPr>
              <w:t>offs, net</w:t>
            </w: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loans</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portfolio</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and others</w:t>
            </w: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rPr>
              <w:t>31, 2023</w:t>
            </w:r>
          </w:p>
        </w:tc>
        <w:tc>
          <w:tcPr>
            <w:tcW w:w="0" w:type="dxa"/>
            <w:vAlign w:val="bottom"/>
          </w:tcPr>
          <w:p>
            <w:pPr>
              <w:spacing w:after="0"/>
              <w:rPr>
                <w:sz w:val="1"/>
                <w:szCs w:val="1"/>
                <w:color w:val="auto"/>
              </w:rPr>
            </w:pPr>
          </w:p>
        </w:tc>
      </w:tr>
      <w:tr>
        <w:trPr>
          <w:trHeight w:val="131"/>
        </w:trPr>
        <w:tc>
          <w:tcPr>
            <w:tcW w:w="1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que</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8,150,200</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(113,232)</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(149,554)</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390,080</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1,901,832</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(86,176)</w:t>
            </w: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Arial" w:cs="Arial" w:eastAsia="Arial" w:hAnsi="Arial"/>
                <w:sz w:val="13"/>
                <w:szCs w:val="13"/>
                <w:color w:val="auto"/>
              </w:rPr>
              <w:t>(2,325,958)</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(377,652)</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(82,364)</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7,307,176</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1,388,061</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(68,812)</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(109,625)</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87,230</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498,299</w:t>
            </w:r>
          </w:p>
        </w:tc>
        <w:tc>
          <w:tcPr>
            <w:tcW w:w="100" w:type="dxa"/>
            <w:vAlign w:val="bottom"/>
          </w:tcPr>
          <w:p>
            <w:pPr>
              <w:spacing w:after="0"/>
              <w:rPr>
                <w:sz w:val="12"/>
                <w:szCs w:val="12"/>
                <w:color w:val="auto"/>
              </w:rPr>
            </w:pPr>
          </w:p>
        </w:tc>
        <w:tc>
          <w:tcPr>
            <w:tcW w:w="10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7" w:lineRule="exact"/>
              <w:rPr>
                <w:sz w:val="20"/>
                <w:szCs w:val="20"/>
                <w:color w:val="auto"/>
              </w:rPr>
            </w:pPr>
            <w:r>
              <w:rPr>
                <w:rFonts w:ascii="Arial" w:cs="Arial" w:eastAsia="Arial" w:hAnsi="Arial"/>
                <w:sz w:val="13"/>
                <w:szCs w:val="13"/>
                <w:color w:val="auto"/>
              </w:rPr>
              <w:t>(248,110)</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(69,258)</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(9,037)</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1,468,748</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1,741,559</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(15,883)</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(104,183)</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193,852</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2,151,478</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86,176</w:t>
            </w: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Arial" w:cs="Arial" w:eastAsia="Arial" w:hAnsi="Arial"/>
                <w:sz w:val="13"/>
                <w:szCs w:val="13"/>
                <w:color w:val="auto"/>
              </w:rPr>
              <w:t>(2,231,402)</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(21,388)</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2,621</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1,802,830</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color w:val="auto"/>
              </w:rPr>
              <w:t>Consumer loans</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1,099,383</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(68,103)</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(66,491)</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466,950</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1,888,270</w:t>
            </w:r>
          </w:p>
        </w:tc>
        <w:tc>
          <w:tcPr>
            <w:tcW w:w="1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(1,763,126)</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(21,689)</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11,493</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1,546,687</w:t>
            </w:r>
          </w:p>
        </w:tc>
        <w:tc>
          <w:tcPr>
            <w:tcW w:w="0" w:type="dxa"/>
            <w:vAlign w:val="bottom"/>
          </w:tcPr>
          <w:p>
            <w:pPr>
              <w:spacing w:after="0"/>
              <w:rPr>
                <w:sz w:val="1"/>
                <w:szCs w:val="1"/>
                <w:color w:val="auto"/>
              </w:rPr>
            </w:pPr>
          </w:p>
        </w:tc>
      </w:tr>
      <w:tr>
        <w:trPr>
          <w:trHeight w:val="143"/>
        </w:trPr>
        <w:tc>
          <w:tcPr>
            <w:tcW w:w="18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12,379,203</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(266,030)</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(429,853)</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1,138,112</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6,439,879</w:t>
            </w:r>
          </w:p>
        </w:tc>
        <w:tc>
          <w:tcPr>
            <w:tcW w:w="1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(6,568,596)</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(489,987)</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(77,287)</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12,125,441</w:t>
            </w:r>
          </w:p>
        </w:tc>
        <w:tc>
          <w:tcPr>
            <w:tcW w:w="0" w:type="dxa"/>
            <w:vAlign w:val="bottom"/>
          </w:tcPr>
          <w:p>
            <w:pPr>
              <w:spacing w:after="0"/>
              <w:rPr>
                <w:sz w:val="1"/>
                <w:szCs w:val="1"/>
                <w:color w:val="auto"/>
              </w:rPr>
            </w:pPr>
          </w:p>
        </w:tc>
      </w:tr>
      <w:tr>
        <w:trPr>
          <w:trHeight w:val="293"/>
        </w:trPr>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Consolidated 3 Stages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10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Transfers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Written off</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w:t>
            </w: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between</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Sale of</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Exchange</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classes of</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loan</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differences</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3"/>
                <w:szCs w:val="13"/>
                <w:b w:val="1"/>
                <w:bCs w:val="1"/>
                <w:color w:val="auto"/>
              </w:rPr>
              <w:t>31, 2022</w:t>
            </w:r>
          </w:p>
        </w:tc>
        <w:tc>
          <w:tcPr>
            <w:tcW w:w="10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forgivens</w:t>
            </w: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auto"/>
              </w:rPr>
              <w:t>net</w:t>
            </w: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loans</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portfolio</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and others</w:t>
            </w: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rPr>
              <w:t>31, 2023</w:t>
            </w:r>
          </w:p>
        </w:tc>
        <w:tc>
          <w:tcPr>
            <w:tcW w:w="0" w:type="dxa"/>
            <w:vAlign w:val="bottom"/>
          </w:tcPr>
          <w:p>
            <w:pPr>
              <w:spacing w:after="0"/>
              <w:rPr>
                <w:sz w:val="1"/>
                <w:szCs w:val="1"/>
                <w:color w:val="auto"/>
              </w:rPr>
            </w:pPr>
          </w:p>
        </w:tc>
      </w:tr>
      <w:tr>
        <w:trPr>
          <w:trHeight w:val="131"/>
        </w:trPr>
        <w:tc>
          <w:tcPr>
            <w:tcW w:w="1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6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103,190,830</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(369,307)</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1,285,445</w:t>
            </w: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Arial" w:cs="Arial" w:eastAsia="Arial" w:hAnsi="Arial"/>
                <w:sz w:val="13"/>
                <w:szCs w:val="13"/>
                <w:color w:val="auto"/>
              </w:rPr>
              <w:t>(5,480,669)</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(377,652)</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(1,075,487)</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97,173,160</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23,235,574</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(25,205)</w:t>
            </w:r>
          </w:p>
        </w:tc>
        <w:tc>
          <w:tcPr>
            <w:tcW w:w="100" w:type="dxa"/>
            <w:vAlign w:val="bottom"/>
          </w:tcPr>
          <w:p>
            <w:pPr>
              <w:spacing w:after="0"/>
              <w:rPr>
                <w:sz w:val="12"/>
                <w:szCs w:val="12"/>
                <w:color w:val="auto"/>
              </w:rPr>
            </w:pPr>
          </w:p>
        </w:tc>
        <w:tc>
          <w:tcPr>
            <w:tcW w:w="10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7" w:lineRule="exact"/>
              <w:rPr>
                <w:sz w:val="20"/>
                <w:szCs w:val="20"/>
                <w:color w:val="auto"/>
              </w:rPr>
            </w:pPr>
            <w:r>
              <w:rPr>
                <w:rFonts w:ascii="Arial" w:cs="Arial" w:eastAsia="Arial" w:hAnsi="Arial"/>
                <w:sz w:val="13"/>
                <w:szCs w:val="13"/>
                <w:color w:val="auto"/>
              </w:rPr>
              <w:t>1,156,148</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(69,258)</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(120,340)</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24,176,919</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22,433,676</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(1,519,522)</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(1,285,445)</w:t>
            </w:r>
          </w:p>
        </w:tc>
        <w:tc>
          <w:tcPr>
            <w:tcW w:w="1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Arial" w:cs="Arial" w:eastAsia="Arial" w:hAnsi="Arial"/>
                <w:sz w:val="13"/>
                <w:szCs w:val="13"/>
                <w:color w:val="auto"/>
              </w:rPr>
              <w:t>2,706,087</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(21,388)</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185,582</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22,498,990</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color w:val="auto"/>
              </w:rPr>
              <w:t>Consumer loans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19,957,922</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(1,410,633)</w:t>
            </w:r>
          </w:p>
        </w:tc>
        <w:tc>
          <w:tcPr>
            <w:tcW w:w="1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1,650,547</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(21,689)</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(77,946)</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20,098,201</w:t>
            </w:r>
          </w:p>
        </w:tc>
        <w:tc>
          <w:tcPr>
            <w:tcW w:w="0" w:type="dxa"/>
            <w:vAlign w:val="bottom"/>
          </w:tcPr>
          <w:p>
            <w:pPr>
              <w:spacing w:after="0"/>
              <w:rPr>
                <w:sz w:val="1"/>
                <w:szCs w:val="1"/>
                <w:color w:val="auto"/>
              </w:rPr>
            </w:pPr>
          </w:p>
        </w:tc>
      </w:tr>
      <w:tr>
        <w:trPr>
          <w:trHeight w:val="143"/>
        </w:trPr>
        <w:tc>
          <w:tcPr>
            <w:tcW w:w="18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168,818,002</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(3,324,667)</w:t>
            </w:r>
          </w:p>
        </w:tc>
        <w:tc>
          <w:tcPr>
            <w:tcW w:w="1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32,113</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(489,987)</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(1,088,191)</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163,947,270</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2"/>
          </w:cols>
          <w:pgMar w:left="318" w:top="306"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54"/>
        </w:trPr>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1</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Transfers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9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between</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Sale of</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Exchange</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9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 to</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 write-</w:t>
            </w:r>
          </w:p>
        </w:tc>
        <w:tc>
          <w:tcPr>
            <w:tcW w:w="9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classes of</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loan</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differences</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31, 2021</w:t>
            </w:r>
          </w:p>
        </w:tc>
        <w:tc>
          <w:tcPr>
            <w:tcW w:w="10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2</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to Stage 3</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2</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3</w:t>
            </w: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offs, net</w:t>
            </w: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loans</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portfolio</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and others</w:t>
            </w: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rPr>
              <w:t>31, 2022</w:t>
            </w:r>
          </w:p>
        </w:tc>
        <w:tc>
          <w:tcPr>
            <w:tcW w:w="0" w:type="dxa"/>
            <w:vAlign w:val="bottom"/>
          </w:tcPr>
          <w:p>
            <w:pPr>
              <w:spacing w:after="0"/>
              <w:rPr>
                <w:sz w:val="1"/>
                <w:szCs w:val="1"/>
                <w:color w:val="auto"/>
              </w:rPr>
            </w:pPr>
          </w:p>
        </w:tc>
      </w:tr>
      <w:tr>
        <w:trPr>
          <w:trHeight w:val="131"/>
        </w:trPr>
        <w:tc>
          <w:tcPr>
            <w:tcW w:w="1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90,281,463</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(10,689,388)</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(782,333)</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7,640,908</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356,896</w:t>
            </w:r>
          </w:p>
        </w:tc>
        <w:tc>
          <w:tcPr>
            <w:tcW w:w="1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(21,784)</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1,067,360</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(1,662,665)</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86,190,457</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18,702,189</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(4,019,065)</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(84,000)</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1,995,000</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27,176</w:t>
            </w:r>
          </w:p>
        </w:tc>
        <w:tc>
          <w:tcPr>
            <w:tcW w:w="1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7,496</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2,247,060</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(235,424)</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18,640,432</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10,803,696</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(11,398,414)</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(235,229)</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4,142,176</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95,327</w:t>
            </w:r>
          </w:p>
        </w:tc>
        <w:tc>
          <w:tcPr>
            <w:tcW w:w="1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(739,253)</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10,960,618</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(203,268)</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13,425,653</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color w:val="auto"/>
              </w:rPr>
              <w:t>Consumer loans</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11,993,823</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(6,578,251)</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(300,120)</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3,313,501</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58,137</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753,541</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6,176,605</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(30,301)</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15,386,935</w:t>
            </w:r>
          </w:p>
        </w:tc>
        <w:tc>
          <w:tcPr>
            <w:tcW w:w="0" w:type="dxa"/>
            <w:vAlign w:val="bottom"/>
          </w:tcPr>
          <w:p>
            <w:pPr>
              <w:spacing w:after="0"/>
              <w:rPr>
                <w:sz w:val="1"/>
                <w:szCs w:val="1"/>
                <w:color w:val="auto"/>
              </w:rPr>
            </w:pPr>
          </w:p>
        </w:tc>
      </w:tr>
      <w:tr>
        <w:trPr>
          <w:trHeight w:val="143"/>
        </w:trPr>
        <w:tc>
          <w:tcPr>
            <w:tcW w:w="18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131,781,171</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(32,685,118)</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(1,401,682)</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17,091,585</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537,536</w:t>
            </w:r>
          </w:p>
        </w:tc>
        <w:tc>
          <w:tcPr>
            <w:tcW w:w="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20,451,643</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(2,131,658)</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133,643,477</w:t>
            </w:r>
          </w:p>
        </w:tc>
        <w:tc>
          <w:tcPr>
            <w:tcW w:w="0" w:type="dxa"/>
            <w:vAlign w:val="bottom"/>
          </w:tcPr>
          <w:p>
            <w:pPr>
              <w:spacing w:after="0"/>
              <w:rPr>
                <w:sz w:val="1"/>
                <w:szCs w:val="1"/>
                <w:color w:val="auto"/>
              </w:rPr>
            </w:pPr>
          </w:p>
        </w:tc>
      </w:tr>
      <w:tr>
        <w:trPr>
          <w:trHeight w:val="293"/>
        </w:trPr>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Transfers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9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between</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Sale of</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Exchange</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9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 to</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 write-</w:t>
            </w:r>
          </w:p>
        </w:tc>
        <w:tc>
          <w:tcPr>
            <w:tcW w:w="9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classes of</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loan</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differences</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31, 2021</w:t>
            </w:r>
          </w:p>
        </w:tc>
        <w:tc>
          <w:tcPr>
            <w:tcW w:w="10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1</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to Stage 3</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1</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3</w:t>
            </w: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offs, net</w:t>
            </w: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loans</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portfolio</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and others</w:t>
            </w: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rPr>
              <w:t>31, 2022</w:t>
            </w:r>
          </w:p>
        </w:tc>
        <w:tc>
          <w:tcPr>
            <w:tcW w:w="0" w:type="dxa"/>
            <w:vAlign w:val="bottom"/>
          </w:tcPr>
          <w:p>
            <w:pPr>
              <w:spacing w:after="0"/>
              <w:rPr>
                <w:sz w:val="1"/>
                <w:szCs w:val="1"/>
                <w:color w:val="auto"/>
              </w:rPr>
            </w:pPr>
          </w:p>
        </w:tc>
      </w:tr>
      <w:tr>
        <w:trPr>
          <w:trHeight w:val="131"/>
        </w:trPr>
        <w:tc>
          <w:tcPr>
            <w:tcW w:w="1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11,342,409</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(7,640,908)</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(2,586,811)</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10,689,388</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434,550</w:t>
            </w:r>
          </w:p>
        </w:tc>
        <w:tc>
          <w:tcPr>
            <w:tcW w:w="1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614,296</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(3,906,923)</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(95,828)</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8,850,173</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1,758,125</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(1,995,000)</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(292,259)</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4,019,065</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23,225</w:t>
            </w:r>
          </w:p>
        </w:tc>
        <w:tc>
          <w:tcPr>
            <w:tcW w:w="1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427</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(286,590)</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(19,912)</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3,207,081</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8,927,358</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(4,142,176)</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(1,627,919)</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11,398,414</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93,396</w:t>
            </w:r>
          </w:p>
        </w:tc>
        <w:tc>
          <w:tcPr>
            <w:tcW w:w="1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(599,450)</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(6,722,150)</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(61,009)</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7,266,464</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color w:val="auto"/>
              </w:rPr>
              <w:t>Consumer loans</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2,921,075</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(3,313,501)</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(1,025,878)</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6,578,251</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71,775</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(15,273)</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(1,741,617)</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(3,228)</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3,471,604</w:t>
            </w:r>
          </w:p>
        </w:tc>
        <w:tc>
          <w:tcPr>
            <w:tcW w:w="0" w:type="dxa"/>
            <w:vAlign w:val="bottom"/>
          </w:tcPr>
          <w:p>
            <w:pPr>
              <w:spacing w:after="0"/>
              <w:rPr>
                <w:sz w:val="1"/>
                <w:szCs w:val="1"/>
                <w:color w:val="auto"/>
              </w:rPr>
            </w:pPr>
          </w:p>
        </w:tc>
      </w:tr>
      <w:tr>
        <w:trPr>
          <w:trHeight w:val="143"/>
        </w:trPr>
        <w:tc>
          <w:tcPr>
            <w:tcW w:w="18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24,948,967</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(17,091,585)</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(5,532,867)</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32,685,118</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622,946</w:t>
            </w:r>
          </w:p>
        </w:tc>
        <w:tc>
          <w:tcPr>
            <w:tcW w:w="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(12,657,280)</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(179,977)</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22,795,322</w:t>
            </w:r>
          </w:p>
        </w:tc>
        <w:tc>
          <w:tcPr>
            <w:tcW w:w="0" w:type="dxa"/>
            <w:vAlign w:val="bottom"/>
          </w:tcPr>
          <w:p>
            <w:pPr>
              <w:spacing w:after="0"/>
              <w:rPr>
                <w:sz w:val="1"/>
                <w:szCs w:val="1"/>
                <w:color w:val="auto"/>
              </w:rPr>
            </w:pPr>
          </w:p>
        </w:tc>
      </w:tr>
      <w:tr>
        <w:trPr>
          <w:trHeight w:val="293"/>
        </w:trPr>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Stage 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Transfers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Transfer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9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between</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Sale of</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Exchange</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9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 to</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Transfer</w:t>
            </w: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from</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 write-</w:t>
            </w:r>
          </w:p>
        </w:tc>
        <w:tc>
          <w:tcPr>
            <w:tcW w:w="9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classes of</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loan</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differences</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31, 2021</w:t>
            </w:r>
          </w:p>
        </w:tc>
        <w:tc>
          <w:tcPr>
            <w:tcW w:w="10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1</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to Stage 2</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Stage 1</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Stage 2</w:t>
            </w: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offs, net</w:t>
            </w: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loans</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portfolio</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and others</w:t>
            </w: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rPr>
              <w:t>31, 2022</w:t>
            </w:r>
          </w:p>
        </w:tc>
        <w:tc>
          <w:tcPr>
            <w:tcW w:w="0" w:type="dxa"/>
            <w:vAlign w:val="bottom"/>
          </w:tcPr>
          <w:p>
            <w:pPr>
              <w:spacing w:after="0"/>
              <w:rPr>
                <w:sz w:val="1"/>
                <w:szCs w:val="1"/>
                <w:color w:val="auto"/>
              </w:rPr>
            </w:pPr>
          </w:p>
        </w:tc>
      </w:tr>
      <w:tr>
        <w:trPr>
          <w:trHeight w:val="131"/>
        </w:trPr>
        <w:tc>
          <w:tcPr>
            <w:tcW w:w="1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8,756,743</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(356,896)</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(434,550)</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782,333</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2,586,811</w:t>
            </w:r>
          </w:p>
        </w:tc>
        <w:tc>
          <w:tcPr>
            <w:tcW w:w="1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(95,866)</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(2,934,746)</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(7,803)</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(145,826)</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8,150,200</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1,371,146</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(27,176)</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(23,225)</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84,000</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292,259</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(283,888)</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(2,442)</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(22,613)</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1,388,061</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9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1,906,210</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(95,327)</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(93,396)</w:t>
            </w: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235,229</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1,627,919</w:t>
            </w:r>
          </w:p>
        </w:tc>
        <w:tc>
          <w:tcPr>
            <w:tcW w:w="1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85,153</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(1,905,488)</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(909)</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(17,832)</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1,741,559</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color w:val="auto"/>
              </w:rPr>
              <w:t>Consumer loans</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1,099,329</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(58,137)</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(71,775)</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300,120</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1,025,878</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10,713</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(1,205,204)</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(1,237)</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1,099,383</w:t>
            </w:r>
          </w:p>
        </w:tc>
        <w:tc>
          <w:tcPr>
            <w:tcW w:w="0" w:type="dxa"/>
            <w:vAlign w:val="bottom"/>
          </w:tcPr>
          <w:p>
            <w:pPr>
              <w:spacing w:after="0"/>
              <w:rPr>
                <w:sz w:val="1"/>
                <w:szCs w:val="1"/>
                <w:color w:val="auto"/>
              </w:rPr>
            </w:pPr>
          </w:p>
        </w:tc>
      </w:tr>
      <w:tr>
        <w:trPr>
          <w:trHeight w:val="143"/>
        </w:trPr>
        <w:tc>
          <w:tcPr>
            <w:tcW w:w="18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13,133,428</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(537,536)</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(622,946)</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1,401,682</w:t>
            </w: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5,532,867</w:t>
            </w:r>
          </w:p>
        </w:tc>
        <w:tc>
          <w:tcPr>
            <w:tcW w:w="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(6,329,326)</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(11,458)</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(187,508)</w:t>
            </w: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12,379,203</w:t>
            </w:r>
          </w:p>
        </w:tc>
        <w:tc>
          <w:tcPr>
            <w:tcW w:w="0" w:type="dxa"/>
            <w:vAlign w:val="bottom"/>
          </w:tcPr>
          <w:p>
            <w:pPr>
              <w:spacing w:after="0"/>
              <w:rPr>
                <w:sz w:val="1"/>
                <w:szCs w:val="1"/>
                <w:color w:val="auto"/>
              </w:rPr>
            </w:pPr>
          </w:p>
        </w:tc>
      </w:tr>
      <w:tr>
        <w:trPr>
          <w:trHeight w:val="293"/>
        </w:trPr>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Consolidated 3 Stages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New loans</w:t>
            </w: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Transfers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Written off</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w:t>
            </w:r>
          </w:p>
        </w:tc>
        <w:tc>
          <w:tcPr>
            <w:tcW w:w="9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between</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Sale of</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Exchange</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8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liquidation,</w:t>
            </w:r>
          </w:p>
        </w:tc>
        <w:tc>
          <w:tcPr>
            <w:tcW w:w="9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classes of</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loan</w:t>
            </w:r>
          </w:p>
        </w:tc>
        <w:tc>
          <w:tcPr>
            <w:tcW w:w="9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differences</w:t>
            </w:r>
          </w:p>
        </w:tc>
        <w:tc>
          <w:tcPr>
            <w:tcW w:w="8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b w:val="1"/>
                <w:bCs w:val="1"/>
                <w:color w:val="auto"/>
              </w:rPr>
              <w:t>Loans by class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3"/>
                <w:szCs w:val="13"/>
                <w:b w:val="1"/>
                <w:bCs w:val="1"/>
                <w:color w:val="auto"/>
              </w:rPr>
              <w:t>31, 2021</w:t>
            </w:r>
          </w:p>
        </w:tc>
        <w:tc>
          <w:tcPr>
            <w:tcW w:w="10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forgivens</w:t>
            </w: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net</w:t>
            </w: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loans</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portfolio</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and others</w:t>
            </w: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rPr>
              <w:t>31, 2022</w:t>
            </w:r>
          </w:p>
        </w:tc>
        <w:tc>
          <w:tcPr>
            <w:tcW w:w="0" w:type="dxa"/>
            <w:vAlign w:val="bottom"/>
          </w:tcPr>
          <w:p>
            <w:pPr>
              <w:spacing w:after="0"/>
              <w:rPr>
                <w:sz w:val="1"/>
                <w:szCs w:val="1"/>
                <w:color w:val="auto"/>
              </w:rPr>
            </w:pPr>
          </w:p>
        </w:tc>
      </w:tr>
      <w:tr>
        <w:trPr>
          <w:trHeight w:val="131"/>
        </w:trPr>
        <w:tc>
          <w:tcPr>
            <w:tcW w:w="1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9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7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Commercial loans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110,380,615</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(421,522)</w:t>
            </w:r>
          </w:p>
        </w:tc>
        <w:tc>
          <w:tcPr>
            <w:tcW w:w="1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496,646</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(5,352,787)</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(7,803)</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(1,904,319)</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103,190,830</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Residential mortgage loans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21,831,460</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(33,940)</w:t>
            </w:r>
          </w:p>
        </w:tc>
        <w:tc>
          <w:tcPr>
            <w:tcW w:w="1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7,923</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1,710,522</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(2,442)</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(277,949)</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23,235,574</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3"/>
                <w:szCs w:val="13"/>
                <w:color w:val="auto"/>
              </w:rPr>
              <w:t>Micro-business loans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3"/>
                <w:szCs w:val="13"/>
                <w:color w:val="auto"/>
              </w:rPr>
              <w:t>21,637,264</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(1,164,440)</w:t>
            </w:r>
          </w:p>
        </w:tc>
        <w:tc>
          <w:tcPr>
            <w:tcW w:w="1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3"/>
                <w:szCs w:val="13"/>
                <w:color w:val="auto"/>
              </w:rPr>
              <w:t>(1,253,550)</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3,497,420</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(909)</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(282,109)</w:t>
            </w: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22,433,676</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Arial" w:cs="Arial" w:eastAsia="Arial" w:hAnsi="Arial"/>
                <w:sz w:val="13"/>
                <w:szCs w:val="13"/>
                <w:color w:val="auto"/>
              </w:rPr>
              <w:t>Consumer loans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16,014,227</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(955,356)</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748,981</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4,185,140</w:t>
            </w:r>
          </w:p>
        </w:tc>
        <w:tc>
          <w:tcPr>
            <w:tcW w:w="10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(34,766)</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19,957,922</w:t>
            </w:r>
          </w:p>
        </w:tc>
        <w:tc>
          <w:tcPr>
            <w:tcW w:w="0" w:type="dxa"/>
            <w:vAlign w:val="bottom"/>
          </w:tcPr>
          <w:p>
            <w:pPr>
              <w:spacing w:after="0"/>
              <w:rPr>
                <w:sz w:val="1"/>
                <w:szCs w:val="1"/>
                <w:color w:val="auto"/>
              </w:rPr>
            </w:pPr>
          </w:p>
        </w:tc>
      </w:tr>
      <w:tr>
        <w:trPr>
          <w:trHeight w:val="143"/>
        </w:trPr>
        <w:tc>
          <w:tcPr>
            <w:tcW w:w="188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169,863,566</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(2,575,258)</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4,040,295</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(11,458)</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(2,499,143)</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168,818,002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82" w:name="page83"/>
    <w:bookmarkEnd w:id="82"/>
    <w:p>
      <w:pPr>
        <w:ind w:left="322" w:hanging="215"/>
        <w:spacing w:after="0"/>
        <w:tabs>
          <w:tab w:leader="none" w:pos="322"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movement includes the following effects:</w:t>
      </w:r>
    </w:p>
    <w:p>
      <w:pPr>
        <w:spacing w:after="0" w:line="182" w:lineRule="exact"/>
        <w:rPr>
          <w:rFonts w:ascii="Arial" w:cs="Arial" w:eastAsia="Arial" w:hAnsi="Arial"/>
          <w:sz w:val="16"/>
          <w:szCs w:val="16"/>
          <w:color w:val="auto"/>
        </w:rPr>
      </w:pPr>
    </w:p>
    <w:p>
      <w:pPr>
        <w:ind w:left="942" w:hanging="596"/>
        <w:spacing w:after="0"/>
        <w:tabs>
          <w:tab w:leader="none" w:pos="942" w:val="left"/>
        </w:tabs>
        <w:numPr>
          <w:ilvl w:val="2"/>
          <w:numId w:val="99"/>
        </w:numPr>
        <w:rPr>
          <w:rFonts w:ascii="Arial" w:cs="Arial" w:eastAsia="Arial" w:hAnsi="Arial"/>
          <w:sz w:val="16"/>
          <w:szCs w:val="16"/>
          <w:color w:val="auto"/>
        </w:rPr>
      </w:pPr>
      <w:r>
        <w:rPr>
          <w:rFonts w:ascii="Arial" w:cs="Arial" w:eastAsia="Arial" w:hAnsi="Arial"/>
          <w:sz w:val="16"/>
          <w:szCs w:val="16"/>
          <w:color w:val="auto"/>
        </w:rPr>
        <w:t>calibrations to the PD, LGD and EAD models;</w:t>
      </w:r>
    </w:p>
    <w:p>
      <w:pPr>
        <w:spacing w:after="0" w:line="15" w:lineRule="exact"/>
        <w:rPr>
          <w:rFonts w:ascii="Arial" w:cs="Arial" w:eastAsia="Arial" w:hAnsi="Arial"/>
          <w:sz w:val="16"/>
          <w:szCs w:val="16"/>
          <w:color w:val="auto"/>
        </w:rPr>
      </w:pPr>
    </w:p>
    <w:p>
      <w:pPr>
        <w:ind w:left="942" w:hanging="596"/>
        <w:spacing w:after="0"/>
        <w:tabs>
          <w:tab w:leader="none" w:pos="942" w:val="left"/>
        </w:tabs>
        <w:numPr>
          <w:ilvl w:val="2"/>
          <w:numId w:val="99"/>
        </w:numPr>
        <w:rPr>
          <w:rFonts w:ascii="Arial" w:cs="Arial" w:eastAsia="Arial" w:hAnsi="Arial"/>
          <w:sz w:val="16"/>
          <w:szCs w:val="16"/>
          <w:color w:val="auto"/>
        </w:rPr>
      </w:pPr>
      <w:r>
        <w:rPr>
          <w:rFonts w:ascii="Arial" w:cs="Arial" w:eastAsia="Arial" w:hAnsi="Arial"/>
          <w:sz w:val="16"/>
          <w:szCs w:val="16"/>
          <w:color w:val="auto"/>
        </w:rPr>
        <w:t>updating of macroeconomic models and projections;</w:t>
      </w:r>
    </w:p>
    <w:p>
      <w:pPr>
        <w:ind w:left="942" w:hanging="596"/>
        <w:spacing w:after="0"/>
        <w:tabs>
          <w:tab w:leader="none" w:pos="942" w:val="left"/>
        </w:tabs>
        <w:numPr>
          <w:ilvl w:val="2"/>
          <w:numId w:val="99"/>
        </w:numPr>
        <w:rPr>
          <w:rFonts w:ascii="Arial" w:cs="Arial" w:eastAsia="Arial" w:hAnsi="Arial"/>
          <w:sz w:val="16"/>
          <w:szCs w:val="16"/>
          <w:color w:val="auto"/>
        </w:rPr>
      </w:pPr>
      <w:r>
        <w:rPr>
          <w:rFonts w:ascii="Arial" w:cs="Arial" w:eastAsia="Arial" w:hAnsi="Arial"/>
          <w:sz w:val="16"/>
          <w:szCs w:val="16"/>
          <w:color w:val="auto"/>
        </w:rPr>
        <w:t>increase or decrease in credit risk due to phase changes;</w:t>
      </w:r>
    </w:p>
    <w:p>
      <w:pPr>
        <w:ind w:left="942" w:hanging="596"/>
        <w:spacing w:after="0"/>
        <w:tabs>
          <w:tab w:leader="none" w:pos="942" w:val="left"/>
        </w:tabs>
        <w:numPr>
          <w:ilvl w:val="2"/>
          <w:numId w:val="99"/>
        </w:numPr>
        <w:rPr>
          <w:rFonts w:ascii="Arial" w:cs="Arial" w:eastAsia="Arial" w:hAnsi="Arial"/>
          <w:sz w:val="16"/>
          <w:szCs w:val="16"/>
          <w:color w:val="auto"/>
        </w:rPr>
      </w:pPr>
      <w:r>
        <w:rPr>
          <w:rFonts w:ascii="Arial" w:cs="Arial" w:eastAsia="Arial" w:hAnsi="Arial"/>
          <w:sz w:val="16"/>
          <w:szCs w:val="16"/>
          <w:color w:val="auto"/>
        </w:rPr>
        <w:t>increase or decrease in the credit risk inherent to the loans that remain in the same phase.</w:t>
      </w:r>
    </w:p>
    <w:p>
      <w:pPr>
        <w:spacing w:after="0" w:line="166" w:lineRule="exact"/>
        <w:rPr>
          <w:rFonts w:ascii="Arial" w:cs="Arial" w:eastAsia="Arial" w:hAnsi="Arial"/>
          <w:sz w:val="16"/>
          <w:szCs w:val="16"/>
          <w:color w:val="auto"/>
        </w:rPr>
      </w:pPr>
    </w:p>
    <w:p>
      <w:pPr>
        <w:ind w:left="342" w:right="120" w:hanging="342"/>
        <w:spacing w:after="0" w:line="259" w:lineRule="auto"/>
        <w:tabs>
          <w:tab w:leader="none" w:pos="319"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movement of the credit loss provision for the 2023 period includes the provision for direct and indirect credits and bank acceptances for approximately S/8,277.9 million y S/368.0 million, respectively (S/7,872.4 million and S/658.6 million , respectively, as of December 31, 2022). The expected loss for indirect credits is included in the “Other liabilities” caption of the consolidated statement of financial position, note 12(a).</w:t>
      </w:r>
    </w:p>
    <w:p>
      <w:pPr>
        <w:spacing w:after="0" w:line="137" w:lineRule="exact"/>
        <w:rPr>
          <w:sz w:val="20"/>
          <w:szCs w:val="20"/>
          <w:color w:val="auto"/>
        </w:rPr>
      </w:pPr>
    </w:p>
    <w:p>
      <w:pPr>
        <w:ind w:left="342" w:right="60"/>
        <w:spacing w:after="0" w:line="280" w:lineRule="auto"/>
        <w:rPr>
          <w:sz w:val="20"/>
          <w:szCs w:val="20"/>
          <w:color w:val="auto"/>
        </w:rPr>
      </w:pPr>
      <w:r>
        <w:rPr>
          <w:rFonts w:ascii="Arial" w:cs="Arial" w:eastAsia="Arial" w:hAnsi="Arial"/>
          <w:sz w:val="16"/>
          <w:szCs w:val="16"/>
          <w:color w:val="auto"/>
        </w:rPr>
        <w:t>In Management’s opinion, the credit loss provision for loans recorded as of December 31, 2023 and 2022, has been determined in accordance with IFRS 9 and is sufficient to cover losses in the loan portfolio.</w:t>
      </w:r>
    </w:p>
    <w:p>
      <w:pPr>
        <w:spacing w:after="0" w:line="120" w:lineRule="exact"/>
        <w:rPr>
          <w:sz w:val="20"/>
          <w:szCs w:val="20"/>
          <w:color w:val="auto"/>
        </w:rPr>
      </w:pPr>
    </w:p>
    <w:p>
      <w:pPr>
        <w:ind w:left="342"/>
        <w:spacing w:after="0"/>
        <w:rPr>
          <w:sz w:val="20"/>
          <w:szCs w:val="20"/>
          <w:color w:val="auto"/>
        </w:rPr>
      </w:pPr>
      <w:r>
        <w:rPr>
          <w:rFonts w:ascii="Arial" w:cs="Arial" w:eastAsia="Arial" w:hAnsi="Arial"/>
          <w:sz w:val="16"/>
          <w:szCs w:val="16"/>
          <w:color w:val="auto"/>
        </w:rPr>
        <w:t>Gross balance of the portfolio of direct and indirect loans and bank acceptances:</w:t>
      </w:r>
    </w:p>
    <w:p>
      <w:pPr>
        <w:spacing w:after="0" w:line="183" w:lineRule="exact"/>
        <w:rPr>
          <w:sz w:val="20"/>
          <w:szCs w:val="20"/>
          <w:color w:val="auto"/>
        </w:rPr>
      </w:pPr>
    </w:p>
    <w:p>
      <w:pPr>
        <w:ind w:left="342"/>
        <w:spacing w:after="0" w:line="280" w:lineRule="auto"/>
        <w:rPr>
          <w:sz w:val="20"/>
          <w:szCs w:val="20"/>
          <w:color w:val="auto"/>
        </w:rPr>
      </w:pPr>
      <w:r>
        <w:rPr>
          <w:rFonts w:ascii="Arial" w:cs="Arial" w:eastAsia="Arial" w:hAnsi="Arial"/>
          <w:sz w:val="16"/>
          <w:szCs w:val="16"/>
          <w:color w:val="auto"/>
        </w:rPr>
        <w:t>As of December 31, 2023, the gross balance of the loan portfolio decreased compared to the end of December 2022. The decrease was mainly due to:</w:t>
      </w:r>
    </w:p>
    <w:p>
      <w:pPr>
        <w:spacing w:after="0" w:line="120" w:lineRule="exact"/>
        <w:rPr>
          <w:sz w:val="20"/>
          <w:szCs w:val="20"/>
          <w:color w:val="auto"/>
        </w:rPr>
      </w:pPr>
    </w:p>
    <w:p>
      <w:pPr>
        <w:ind w:left="942" w:hanging="596"/>
        <w:spacing w:after="0"/>
        <w:tabs>
          <w:tab w:leader="none" w:pos="94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amortization of Reactiva Perú loans within BCP’s commercial credit portfolio,</w:t>
      </w:r>
    </w:p>
    <w:p>
      <w:pPr>
        <w:spacing w:after="0" w:line="15" w:lineRule="exact"/>
        <w:rPr>
          <w:rFonts w:ascii="Arial" w:cs="Arial" w:eastAsia="Arial" w:hAnsi="Arial"/>
          <w:sz w:val="16"/>
          <w:szCs w:val="16"/>
          <w:color w:val="auto"/>
        </w:rPr>
      </w:pPr>
    </w:p>
    <w:p>
      <w:pPr>
        <w:ind w:left="942" w:hanging="596"/>
        <w:spacing w:after="0"/>
        <w:tabs>
          <w:tab w:leader="none" w:pos="94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write-offs of consumer loans from BCP and loans to small and micro businesses from Mibanco Perú and BCP,</w:t>
      </w:r>
    </w:p>
    <w:p>
      <w:pPr>
        <w:ind w:left="942" w:hanging="596"/>
        <w:spacing w:after="0"/>
        <w:tabs>
          <w:tab w:leader="none" w:pos="94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to a lesser extent, the fall in the PEN/USD exchange rate.</w:t>
      </w:r>
    </w:p>
    <w:p>
      <w:pPr>
        <w:spacing w:after="0" w:line="167" w:lineRule="exact"/>
        <w:rPr>
          <w:sz w:val="20"/>
          <w:szCs w:val="20"/>
          <w:color w:val="auto"/>
        </w:rPr>
      </w:pPr>
    </w:p>
    <w:p>
      <w:pPr>
        <w:ind w:left="342" w:right="700"/>
        <w:spacing w:after="0" w:line="280" w:lineRule="auto"/>
        <w:rPr>
          <w:sz w:val="20"/>
          <w:szCs w:val="20"/>
          <w:color w:val="auto"/>
        </w:rPr>
      </w:pPr>
      <w:r>
        <w:rPr>
          <w:rFonts w:ascii="Arial" w:cs="Arial" w:eastAsia="Arial" w:hAnsi="Arial"/>
          <w:sz w:val="16"/>
          <w:szCs w:val="16"/>
          <w:color w:val="auto"/>
        </w:rPr>
        <w:t>The above effects were partially offset, among other things, by the disbursements of general loans from BCP and loans to small and micro businesses from Mibanco Perú.</w:t>
      </w:r>
    </w:p>
    <w:p>
      <w:pPr>
        <w:spacing w:after="0" w:line="120" w:lineRule="exact"/>
        <w:rPr>
          <w:sz w:val="20"/>
          <w:szCs w:val="20"/>
          <w:color w:val="auto"/>
        </w:rPr>
      </w:pPr>
    </w:p>
    <w:p>
      <w:pPr>
        <w:ind w:left="342"/>
        <w:spacing w:after="0"/>
        <w:rPr>
          <w:sz w:val="20"/>
          <w:szCs w:val="20"/>
          <w:color w:val="auto"/>
        </w:rPr>
      </w:pPr>
      <w:r>
        <w:rPr>
          <w:rFonts w:ascii="Arial" w:cs="Arial" w:eastAsia="Arial" w:hAnsi="Arial"/>
          <w:sz w:val="16"/>
          <w:szCs w:val="16"/>
          <w:color w:val="auto"/>
        </w:rPr>
        <w:t>Credit loss provision for direct and indirect credits and bank acceptances:</w:t>
      </w:r>
    </w:p>
    <w:p>
      <w:pPr>
        <w:spacing w:after="0" w:line="183" w:lineRule="exact"/>
        <w:rPr>
          <w:sz w:val="20"/>
          <w:szCs w:val="20"/>
          <w:color w:val="auto"/>
        </w:rPr>
      </w:pPr>
    </w:p>
    <w:p>
      <w:pPr>
        <w:ind w:left="342" w:right="100"/>
        <w:spacing w:after="0" w:line="280" w:lineRule="auto"/>
        <w:rPr>
          <w:sz w:val="20"/>
          <w:szCs w:val="20"/>
          <w:color w:val="auto"/>
        </w:rPr>
      </w:pPr>
      <w:r>
        <w:rPr>
          <w:rFonts w:ascii="Arial" w:cs="Arial" w:eastAsia="Arial" w:hAnsi="Arial"/>
          <w:sz w:val="16"/>
          <w:szCs w:val="16"/>
          <w:color w:val="auto"/>
        </w:rPr>
        <w:t>As of December 31, 2023, the credit loss provision of the loan portfolio increased compared to the end of December 2022. This growth was mainly due to:</w:t>
      </w:r>
    </w:p>
    <w:p>
      <w:pPr>
        <w:spacing w:after="0" w:line="120" w:lineRule="exact"/>
        <w:rPr>
          <w:sz w:val="20"/>
          <w:szCs w:val="20"/>
          <w:color w:val="auto"/>
        </w:rPr>
      </w:pPr>
    </w:p>
    <w:p>
      <w:pPr>
        <w:ind w:left="942" w:hanging="596"/>
        <w:spacing w:after="0" w:line="249" w:lineRule="auto"/>
        <w:tabs>
          <w:tab w:leader="none" w:pos="94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deterioration of BCP’s consumer loan portfolio, which was reflected in the migrations to stage 3, and which was generated, among other things, by greater client leverage within a macroeconomic context of high inflation,</w:t>
      </w:r>
    </w:p>
    <w:p>
      <w:pPr>
        <w:ind w:left="942" w:hanging="596"/>
        <w:spacing w:after="0"/>
        <w:tabs>
          <w:tab w:leader="none" w:pos="94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migration to stage 3 of loans to small and micro businesses from Mibanco Perú,</w:t>
      </w:r>
    </w:p>
    <w:p>
      <w:pPr>
        <w:ind w:left="942" w:hanging="596"/>
        <w:spacing w:after="0"/>
        <w:tabs>
          <w:tab w:leader="none" w:pos="94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record of the expected impact of the El Niño Phenomenon on provisions.</w:t>
      </w:r>
    </w:p>
    <w:p>
      <w:pPr>
        <w:spacing w:after="0" w:line="167" w:lineRule="exact"/>
        <w:rPr>
          <w:sz w:val="20"/>
          <w:szCs w:val="20"/>
          <w:color w:val="auto"/>
        </w:rPr>
      </w:pPr>
    </w:p>
    <w:p>
      <w:pPr>
        <w:ind w:left="342"/>
        <w:spacing w:after="0" w:line="280" w:lineRule="auto"/>
        <w:rPr>
          <w:sz w:val="20"/>
          <w:szCs w:val="20"/>
          <w:color w:val="auto"/>
        </w:rPr>
      </w:pPr>
      <w:r>
        <w:rPr>
          <w:rFonts w:ascii="Arial" w:cs="Arial" w:eastAsia="Arial" w:hAnsi="Arial"/>
          <w:sz w:val="16"/>
          <w:szCs w:val="16"/>
          <w:color w:val="auto"/>
        </w:rPr>
        <w:t>The above effects were partially offset, among other things, by the payments, recoveries and improvement in the credit profile of specific companies of BCP’s Wholesale Banking, and, in addition, by the write-offs of BCP and Mibanco Perú.</w:t>
      </w:r>
    </w:p>
    <w:p>
      <w:pPr>
        <w:spacing w:after="0" w:line="120" w:lineRule="exact"/>
        <w:rPr>
          <w:sz w:val="20"/>
          <w:szCs w:val="20"/>
          <w:color w:val="auto"/>
        </w:rPr>
      </w:pPr>
    </w:p>
    <w:p>
      <w:pPr>
        <w:ind w:left="342"/>
        <w:spacing w:after="0"/>
        <w:rPr>
          <w:sz w:val="20"/>
          <w:szCs w:val="20"/>
          <w:color w:val="auto"/>
        </w:rPr>
      </w:pPr>
      <w:r>
        <w:rPr>
          <w:rFonts w:ascii="Arial" w:cs="Arial" w:eastAsia="Arial" w:hAnsi="Arial"/>
          <w:sz w:val="16"/>
          <w:szCs w:val="16"/>
          <w:color w:val="auto"/>
        </w:rPr>
        <w:t>Comments on the calibrations carried out on the internal credit risk models are found in greater detail in note 30.1(c).</w:t>
      </w:r>
    </w:p>
    <w:p>
      <w:pPr>
        <w:spacing w:after="0" w:line="341" w:lineRule="exact"/>
        <w:rPr>
          <w:sz w:val="20"/>
          <w:szCs w:val="20"/>
          <w:color w:val="auto"/>
        </w:rPr>
      </w:pPr>
    </w:p>
    <w:p>
      <w:pPr>
        <w:jc w:val="center"/>
        <w:ind w:right="198"/>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41275</wp:posOffset>
            </wp:positionV>
            <wp:extent cx="714565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82"/>
          </w:cols>
          <w:pgMar w:left="558" w:top="306" w:right="359" w:bottom="1440" w:gutter="0" w:footer="0" w:header="0"/>
        </w:sectPr>
      </w:pPr>
    </w:p>
    <w:bookmarkStart w:id="83" w:name="page84"/>
    <w:bookmarkEnd w:id="83"/>
    <w:p>
      <w:pPr>
        <w:ind w:left="880" w:hanging="296"/>
        <w:spacing w:after="0"/>
        <w:tabs>
          <w:tab w:leader="none" w:pos="8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Interest rates on loans are set considering the rates prevailing in the markets where the Group’s subsidiaries operate.</w:t>
      </w:r>
    </w:p>
    <w:p>
      <w:pPr>
        <w:spacing w:after="0" w:line="181" w:lineRule="exact"/>
        <w:rPr>
          <w:rFonts w:ascii="Arial" w:cs="Arial" w:eastAsia="Arial" w:hAnsi="Arial"/>
          <w:sz w:val="16"/>
          <w:szCs w:val="16"/>
          <w:color w:val="auto"/>
        </w:rPr>
      </w:pPr>
    </w:p>
    <w:p>
      <w:pPr>
        <w:ind w:left="880" w:right="140" w:hanging="296"/>
        <w:spacing w:after="0" w:line="280" w:lineRule="auto"/>
        <w:tabs>
          <w:tab w:leader="none" w:pos="8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portion of the loan portfolio is collateralized with guarantees received from customers, which mainly consist of mortgages, trust assignments, securities and industrial and mercantile pledges.</w:t>
      </w:r>
    </w:p>
    <w:p>
      <w:pPr>
        <w:spacing w:after="0" w:line="120" w:lineRule="exact"/>
        <w:rPr>
          <w:rFonts w:ascii="Arial" w:cs="Arial" w:eastAsia="Arial" w:hAnsi="Arial"/>
          <w:sz w:val="16"/>
          <w:szCs w:val="16"/>
          <w:color w:val="auto"/>
        </w:rPr>
      </w:pPr>
    </w:p>
    <w:p>
      <w:pPr>
        <w:ind w:left="880" w:right="40" w:hanging="296"/>
        <w:spacing w:after="0" w:line="280" w:lineRule="auto"/>
        <w:tabs>
          <w:tab w:leader="none" w:pos="8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following table presents the gross direct loan portfolio as of December 31, 2023, and 2022 by maturity based on the remaining period to the payment due date: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500" w:type="dxa"/>
            <w:vAlign w:val="bottom"/>
          </w:tcPr>
          <w:p>
            <w:pPr>
              <w:spacing w:after="0"/>
              <w:rPr>
                <w:sz w:val="17"/>
                <w:szCs w:val="17"/>
                <w:color w:val="auto"/>
              </w:rPr>
            </w:pPr>
          </w:p>
        </w:tc>
        <w:tc>
          <w:tcPr>
            <w:tcW w:w="4020" w:type="dxa"/>
            <w:vAlign w:val="bottom"/>
            <w:gridSpan w:val="2"/>
          </w:tcPr>
          <w:p>
            <w:pPr>
              <w:ind w:left="28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240" w:type="dxa"/>
            <w:vAlign w:val="bottom"/>
          </w:tcPr>
          <w:p>
            <w:pPr>
              <w:ind w:left="60"/>
              <w:spacing w:after="0"/>
              <w:rPr>
                <w:sz w:val="20"/>
                <w:szCs w:val="20"/>
                <w:color w:val="auto"/>
              </w:rPr>
            </w:pPr>
            <w:r>
              <w:rPr>
                <w:rFonts w:ascii="Arial" w:cs="Arial" w:eastAsia="Arial" w:hAnsi="Arial"/>
                <w:sz w:val="16"/>
                <w:szCs w:val="16"/>
                <w:b w:val="1"/>
                <w:bCs w:val="1"/>
                <w:color w:val="auto"/>
              </w:rPr>
              <w:t>2022</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vMerge w:val="restart"/>
          </w:tcPr>
          <w:p>
            <w:pPr>
              <w:ind w:left="880"/>
              <w:spacing w:after="0"/>
              <w:rPr>
                <w:sz w:val="20"/>
                <w:szCs w:val="20"/>
                <w:color w:val="auto"/>
              </w:rPr>
            </w:pPr>
            <w:r>
              <w:rPr>
                <w:rFonts w:ascii="Arial" w:cs="Arial" w:eastAsia="Arial" w:hAnsi="Arial"/>
                <w:sz w:val="16"/>
                <w:szCs w:val="16"/>
                <w:b w:val="1"/>
                <w:bCs w:val="1"/>
                <w:color w:val="auto"/>
              </w:rPr>
              <w:t>Outstanding loans -</w:t>
            </w:r>
          </w:p>
        </w:tc>
        <w:tc>
          <w:tcPr>
            <w:tcW w:w="2800" w:type="dxa"/>
            <w:vAlign w:val="bottom"/>
          </w:tcPr>
          <w:p>
            <w:pPr>
              <w:spacing w:after="0"/>
              <w:rPr>
                <w:sz w:val="18"/>
                <w:szCs w:val="18"/>
                <w:color w:val="auto"/>
              </w:rPr>
            </w:pPr>
          </w:p>
        </w:tc>
        <w:tc>
          <w:tcPr>
            <w:tcW w:w="12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5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880"/>
              <w:spacing w:after="0"/>
              <w:rPr>
                <w:sz w:val="20"/>
                <w:szCs w:val="20"/>
                <w:color w:val="auto"/>
              </w:rPr>
            </w:pPr>
            <w:r>
              <w:rPr>
                <w:rFonts w:ascii="Arial" w:cs="Arial" w:eastAsia="Arial" w:hAnsi="Arial"/>
                <w:sz w:val="16"/>
                <w:szCs w:val="16"/>
                <w:color w:val="auto"/>
              </w:rPr>
              <w:t>From 1 to 3 months</w:t>
            </w:r>
          </w:p>
        </w:tc>
        <w:tc>
          <w:tcPr>
            <w:tcW w:w="4020" w:type="dxa"/>
            <w:vAlign w:val="bottom"/>
            <w:gridSpan w:val="2"/>
          </w:tcPr>
          <w:p>
            <w:pPr>
              <w:jc w:val="right"/>
              <w:spacing w:after="0"/>
              <w:rPr>
                <w:sz w:val="20"/>
                <w:szCs w:val="20"/>
                <w:color w:val="auto"/>
              </w:rPr>
            </w:pPr>
            <w:r>
              <w:rPr>
                <w:rFonts w:ascii="Arial" w:cs="Arial" w:eastAsia="Arial" w:hAnsi="Arial"/>
                <w:sz w:val="16"/>
                <w:szCs w:val="16"/>
                <w:color w:val="auto"/>
              </w:rPr>
              <w:t>30,957,809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34,192,006</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880"/>
              <w:spacing w:after="0"/>
              <w:rPr>
                <w:sz w:val="20"/>
                <w:szCs w:val="20"/>
                <w:color w:val="auto"/>
              </w:rPr>
            </w:pPr>
            <w:r>
              <w:rPr>
                <w:rFonts w:ascii="Arial" w:cs="Arial" w:eastAsia="Arial" w:hAnsi="Arial"/>
                <w:sz w:val="16"/>
                <w:szCs w:val="16"/>
                <w:color w:val="auto"/>
              </w:rPr>
              <w:t>From 3 months to 1 year</w:t>
            </w:r>
          </w:p>
        </w:tc>
        <w:tc>
          <w:tcPr>
            <w:tcW w:w="4020" w:type="dxa"/>
            <w:vAlign w:val="bottom"/>
            <w:gridSpan w:val="2"/>
          </w:tcPr>
          <w:p>
            <w:pPr>
              <w:jc w:val="right"/>
              <w:spacing w:after="0"/>
              <w:rPr>
                <w:sz w:val="20"/>
                <w:szCs w:val="20"/>
                <w:color w:val="auto"/>
              </w:rPr>
            </w:pPr>
            <w:r>
              <w:rPr>
                <w:rFonts w:ascii="Arial" w:cs="Arial" w:eastAsia="Arial" w:hAnsi="Arial"/>
                <w:sz w:val="16"/>
                <w:szCs w:val="16"/>
                <w:color w:val="auto"/>
              </w:rPr>
              <w:t>36,107,936</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35,338,442</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880"/>
              <w:spacing w:after="0"/>
              <w:rPr>
                <w:sz w:val="20"/>
                <w:szCs w:val="20"/>
                <w:color w:val="auto"/>
              </w:rPr>
            </w:pPr>
            <w:r>
              <w:rPr>
                <w:rFonts w:ascii="Arial" w:cs="Arial" w:eastAsia="Arial" w:hAnsi="Arial"/>
                <w:sz w:val="16"/>
                <w:szCs w:val="16"/>
                <w:color w:val="auto"/>
              </w:rPr>
              <w:t>From 1 to 3 years</w:t>
            </w:r>
          </w:p>
        </w:tc>
        <w:tc>
          <w:tcPr>
            <w:tcW w:w="4020" w:type="dxa"/>
            <w:vAlign w:val="bottom"/>
            <w:gridSpan w:val="2"/>
          </w:tcPr>
          <w:p>
            <w:pPr>
              <w:jc w:val="right"/>
              <w:spacing w:after="0"/>
              <w:rPr>
                <w:sz w:val="20"/>
                <w:szCs w:val="20"/>
                <w:color w:val="auto"/>
              </w:rPr>
            </w:pPr>
            <w:r>
              <w:rPr>
                <w:rFonts w:ascii="Arial" w:cs="Arial" w:eastAsia="Arial" w:hAnsi="Arial"/>
                <w:sz w:val="16"/>
                <w:szCs w:val="16"/>
                <w:color w:val="auto"/>
              </w:rPr>
              <w:t>29,251,425</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29,576,654</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880"/>
              <w:spacing w:after="0"/>
              <w:rPr>
                <w:sz w:val="20"/>
                <w:szCs w:val="20"/>
                <w:color w:val="auto"/>
              </w:rPr>
            </w:pPr>
            <w:r>
              <w:rPr>
                <w:rFonts w:ascii="Arial" w:cs="Arial" w:eastAsia="Arial" w:hAnsi="Arial"/>
                <w:sz w:val="16"/>
                <w:szCs w:val="16"/>
                <w:color w:val="auto"/>
              </w:rPr>
              <w:t>From 3 to 5 years</w:t>
            </w:r>
          </w:p>
        </w:tc>
        <w:tc>
          <w:tcPr>
            <w:tcW w:w="4020" w:type="dxa"/>
            <w:vAlign w:val="bottom"/>
            <w:gridSpan w:val="2"/>
          </w:tcPr>
          <w:p>
            <w:pPr>
              <w:jc w:val="right"/>
              <w:spacing w:after="0"/>
              <w:rPr>
                <w:sz w:val="20"/>
                <w:szCs w:val="20"/>
                <w:color w:val="auto"/>
              </w:rPr>
            </w:pPr>
            <w:r>
              <w:rPr>
                <w:rFonts w:ascii="Arial" w:cs="Arial" w:eastAsia="Arial" w:hAnsi="Arial"/>
                <w:sz w:val="16"/>
                <w:szCs w:val="16"/>
                <w:color w:val="auto"/>
              </w:rPr>
              <w:t>10,906,617</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11,572,896</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880"/>
              <w:spacing w:after="0"/>
              <w:rPr>
                <w:sz w:val="20"/>
                <w:szCs w:val="20"/>
                <w:color w:val="auto"/>
              </w:rPr>
            </w:pPr>
            <w:r>
              <w:rPr>
                <w:rFonts w:ascii="Arial" w:cs="Arial" w:eastAsia="Arial" w:hAnsi="Arial"/>
                <w:sz w:val="16"/>
                <w:szCs w:val="16"/>
                <w:color w:val="auto"/>
              </w:rPr>
              <w:t>From 5 to 15 years</w:t>
            </w:r>
          </w:p>
        </w:tc>
        <w:tc>
          <w:tcPr>
            <w:tcW w:w="4020" w:type="dxa"/>
            <w:vAlign w:val="bottom"/>
            <w:gridSpan w:val="2"/>
          </w:tcPr>
          <w:p>
            <w:pPr>
              <w:jc w:val="right"/>
              <w:spacing w:after="0"/>
              <w:rPr>
                <w:sz w:val="20"/>
                <w:szCs w:val="20"/>
                <w:color w:val="auto"/>
              </w:rPr>
            </w:pPr>
            <w:r>
              <w:rPr>
                <w:rFonts w:ascii="Arial" w:cs="Arial" w:eastAsia="Arial" w:hAnsi="Arial"/>
                <w:sz w:val="16"/>
                <w:szCs w:val="16"/>
                <w:color w:val="auto"/>
              </w:rPr>
              <w:t>27,995,370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27,144,332</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tcPr>
          <w:p>
            <w:pPr>
              <w:ind w:left="880"/>
              <w:spacing w:after="0"/>
              <w:rPr>
                <w:sz w:val="20"/>
                <w:szCs w:val="20"/>
                <w:color w:val="auto"/>
              </w:rPr>
            </w:pPr>
            <w:r>
              <w:rPr>
                <w:rFonts w:ascii="Arial" w:cs="Arial" w:eastAsia="Arial" w:hAnsi="Arial"/>
                <w:sz w:val="16"/>
                <w:szCs w:val="16"/>
                <w:color w:val="auto"/>
              </w:rPr>
              <w:t>More than 15 years</w:t>
            </w:r>
          </w:p>
        </w:tc>
        <w:tc>
          <w:tcPr>
            <w:tcW w:w="4020" w:type="dxa"/>
            <w:vAlign w:val="bottom"/>
            <w:gridSpan w:val="2"/>
          </w:tcPr>
          <w:p>
            <w:pPr>
              <w:jc w:val="right"/>
              <w:spacing w:after="0"/>
              <w:rPr>
                <w:sz w:val="20"/>
                <w:szCs w:val="20"/>
                <w:color w:val="auto"/>
              </w:rPr>
            </w:pPr>
            <w:r>
              <w:rPr>
                <w:rFonts w:ascii="Arial" w:cs="Arial" w:eastAsia="Arial" w:hAnsi="Arial"/>
                <w:sz w:val="16"/>
                <w:szCs w:val="16"/>
                <w:color w:val="auto"/>
              </w:rPr>
              <w:t>2,130,930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3,420,160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137,350,087</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141,244,490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4500" w:type="dxa"/>
            <w:vAlign w:val="bottom"/>
          </w:tcPr>
          <w:p>
            <w:pPr>
              <w:ind w:left="880"/>
              <w:spacing w:after="0"/>
              <w:rPr>
                <w:sz w:val="20"/>
                <w:szCs w:val="20"/>
                <w:color w:val="auto"/>
              </w:rPr>
            </w:pPr>
            <w:r>
              <w:rPr>
                <w:rFonts w:ascii="Arial" w:cs="Arial" w:eastAsia="Arial" w:hAnsi="Arial"/>
                <w:sz w:val="16"/>
                <w:szCs w:val="16"/>
                <w:b w:val="1"/>
                <w:bCs w:val="1"/>
                <w:color w:val="auto"/>
              </w:rPr>
              <w:t>Internal overdue loans -</w:t>
            </w:r>
          </w:p>
        </w:tc>
        <w:tc>
          <w:tcPr>
            <w:tcW w:w="2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880"/>
              <w:spacing w:after="0"/>
              <w:rPr>
                <w:sz w:val="20"/>
                <w:szCs w:val="20"/>
                <w:color w:val="auto"/>
              </w:rPr>
            </w:pPr>
            <w:r>
              <w:rPr>
                <w:rFonts w:ascii="Arial" w:cs="Arial" w:eastAsia="Arial" w:hAnsi="Arial"/>
                <w:sz w:val="16"/>
                <w:szCs w:val="16"/>
                <w:color w:val="auto"/>
              </w:rPr>
              <w:t>Overdue up to 90 days</w:t>
            </w:r>
          </w:p>
        </w:tc>
        <w:tc>
          <w:tcPr>
            <w:tcW w:w="4020" w:type="dxa"/>
            <w:vAlign w:val="bottom"/>
            <w:gridSpan w:val="2"/>
          </w:tcPr>
          <w:p>
            <w:pPr>
              <w:jc w:val="right"/>
              <w:spacing w:after="0"/>
              <w:rPr>
                <w:sz w:val="20"/>
                <w:szCs w:val="20"/>
                <w:color w:val="auto"/>
              </w:rPr>
            </w:pPr>
            <w:r>
              <w:rPr>
                <w:rFonts w:ascii="Arial" w:cs="Arial" w:eastAsia="Arial" w:hAnsi="Arial"/>
                <w:sz w:val="16"/>
                <w:szCs w:val="16"/>
                <w:color w:val="auto"/>
              </w:rPr>
              <w:t>1,459,603</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1,264,436</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tcPr>
          <w:p>
            <w:pPr>
              <w:ind w:left="880"/>
              <w:spacing w:after="0"/>
              <w:rPr>
                <w:sz w:val="20"/>
                <w:szCs w:val="20"/>
                <w:color w:val="auto"/>
              </w:rPr>
            </w:pPr>
            <w:r>
              <w:rPr>
                <w:rFonts w:ascii="Arial" w:cs="Arial" w:eastAsia="Arial" w:hAnsi="Arial"/>
                <w:sz w:val="16"/>
                <w:szCs w:val="16"/>
                <w:color w:val="auto"/>
              </w:rPr>
              <w:t>Over 90 days</w:t>
            </w:r>
          </w:p>
        </w:tc>
        <w:tc>
          <w:tcPr>
            <w:tcW w:w="4020" w:type="dxa"/>
            <w:vAlign w:val="bottom"/>
            <w:gridSpan w:val="2"/>
          </w:tcPr>
          <w:p>
            <w:pPr>
              <w:jc w:val="right"/>
              <w:spacing w:after="0"/>
              <w:rPr>
                <w:sz w:val="20"/>
                <w:szCs w:val="20"/>
                <w:color w:val="auto"/>
              </w:rPr>
            </w:pPr>
            <w:r>
              <w:rPr>
                <w:rFonts w:ascii="Arial" w:cs="Arial" w:eastAsia="Arial" w:hAnsi="Arial"/>
                <w:sz w:val="16"/>
                <w:szCs w:val="16"/>
                <w:color w:val="auto"/>
              </w:rPr>
              <w:t>4,673,564</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4,681,343</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6,133,167</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5,945,779</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500" w:type="dxa"/>
            <w:vAlign w:val="bottom"/>
            <w:vMerge w:val="restart"/>
          </w:tcPr>
          <w:p>
            <w:pPr>
              <w:ind w:left="880"/>
              <w:spacing w:after="0"/>
              <w:rPr>
                <w:sz w:val="20"/>
                <w:szCs w:val="20"/>
                <w:color w:val="auto"/>
              </w:rPr>
            </w:pPr>
            <w:r>
              <w:rPr>
                <w:rFonts w:ascii="Arial" w:cs="Arial" w:eastAsia="Arial" w:hAnsi="Arial"/>
                <w:sz w:val="16"/>
                <w:szCs w:val="16"/>
                <w:b w:val="1"/>
                <w:bCs w:val="1"/>
                <w:color w:val="auto"/>
              </w:rPr>
              <w:t>Total</w:t>
            </w:r>
          </w:p>
        </w:tc>
        <w:tc>
          <w:tcPr>
            <w:tcW w:w="2800" w:type="dxa"/>
            <w:vAlign w:val="bottom"/>
            <w:vMerge w:val="restart"/>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00" w:type="dxa"/>
            <w:vAlign w:val="bottom"/>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12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143,483,254</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147,190,269</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500" w:type="dxa"/>
            <w:vAlign w:val="bottom"/>
          </w:tcPr>
          <w:p>
            <w:pPr>
              <w:ind w:left="880"/>
              <w:spacing w:after="0"/>
              <w:rPr>
                <w:sz w:val="20"/>
                <w:szCs w:val="20"/>
                <w:color w:val="auto"/>
              </w:rPr>
            </w:pPr>
            <w:r>
              <w:rPr>
                <w:rFonts w:ascii="Arial" w:cs="Arial" w:eastAsia="Arial" w:hAnsi="Arial"/>
                <w:sz w:val="16"/>
                <w:szCs w:val="16"/>
                <w:color w:val="auto"/>
              </w:rPr>
              <w:t>See credit risk analysis in Note 30.1</w:t>
            </w:r>
          </w:p>
        </w:tc>
        <w:tc>
          <w:tcPr>
            <w:tcW w:w="2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4500" w:type="dxa"/>
            <w:vAlign w:val="bottom"/>
          </w:tcPr>
          <w:p>
            <w:pPr>
              <w:spacing w:after="0"/>
              <w:rPr>
                <w:sz w:val="24"/>
                <w:szCs w:val="24"/>
                <w:color w:val="auto"/>
              </w:rPr>
            </w:pPr>
          </w:p>
        </w:tc>
        <w:tc>
          <w:tcPr>
            <w:tcW w:w="2800" w:type="dxa"/>
            <w:vAlign w:val="bottom"/>
          </w:tcPr>
          <w:p>
            <w:pPr>
              <w:jc w:val="right"/>
              <w:ind w:right="1499"/>
              <w:spacing w:after="0"/>
              <w:rPr>
                <w:sz w:val="20"/>
                <w:szCs w:val="20"/>
                <w:color w:val="auto"/>
              </w:rPr>
            </w:pPr>
            <w:r>
              <w:rPr>
                <w:rFonts w:ascii="Arial" w:cs="Arial" w:eastAsia="Arial" w:hAnsi="Arial"/>
                <w:sz w:val="16"/>
                <w:szCs w:val="16"/>
                <w:color w:val="auto"/>
              </w:rPr>
              <w:t>81</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50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84" w:name="page85"/>
    <w:bookmarkEnd w:id="84"/>
    <w:p>
      <w:pPr>
        <w:ind w:left="582" w:hanging="582"/>
        <w:spacing w:after="0"/>
        <w:tabs>
          <w:tab w:leader="none" w:pos="582"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INSURANCE AND REINSURANCE CONTRACTS ASSETS AND LIABILITIES</w:t>
      </w:r>
    </w:p>
    <w:p>
      <w:pPr>
        <w:spacing w:after="0" w:line="182" w:lineRule="exact"/>
        <w:rPr>
          <w:sz w:val="20"/>
          <w:szCs w:val="20"/>
          <w:color w:val="auto"/>
        </w:rPr>
      </w:pPr>
    </w:p>
    <w:p>
      <w:pPr>
        <w:ind w:left="582"/>
        <w:spacing w:after="0"/>
        <w:tabs>
          <w:tab w:leader="none" w:pos="862" w:val="left"/>
        </w:tabs>
        <w:rPr>
          <w:sz w:val="20"/>
          <w:szCs w:val="20"/>
          <w:color w:val="auto"/>
        </w:rPr>
      </w:pPr>
      <w:r>
        <w:rPr>
          <w:rFonts w:ascii="Arial" w:cs="Arial" w:eastAsia="Arial" w:hAnsi="Arial"/>
          <w:sz w:val="16"/>
          <w:szCs w:val="16"/>
          <w:color w:val="auto"/>
        </w:rPr>
        <w:t>a)</w:t>
        <w:tab/>
        <w:t>The details of the assets per reinsurance contract are:</w:t>
      </w:r>
    </w:p>
    <w:p>
      <w:pPr>
        <w:spacing w:after="0" w:line="192" w:lineRule="exact"/>
        <w:rPr>
          <w:sz w:val="20"/>
          <w:szCs w:val="20"/>
          <w:color w:val="auto"/>
        </w:rPr>
      </w:pPr>
    </w:p>
    <w:p>
      <w:pPr>
        <w:ind w:left="3122"/>
        <w:spacing w:after="0"/>
        <w:rPr>
          <w:sz w:val="20"/>
          <w:szCs w:val="20"/>
          <w:color w:val="auto"/>
        </w:rPr>
      </w:pPr>
      <w:r>
        <w:rPr>
          <w:rFonts w:ascii="Arial" w:cs="Arial" w:eastAsia="Arial" w:hAnsi="Arial"/>
          <w:sz w:val="13"/>
          <w:szCs w:val="13"/>
          <w:b w:val="1"/>
          <w:bCs w:val="1"/>
          <w:color w:val="auto"/>
        </w:rPr>
        <w:t>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1978025</wp:posOffset>
            </wp:positionH>
            <wp:positionV relativeFrom="paragraph">
              <wp:posOffset>3175</wp:posOffset>
            </wp:positionV>
            <wp:extent cx="50038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03800" cy="7620"/>
                    </a:xfrm>
                    <a:prstGeom prst="rect">
                      <a:avLst/>
                    </a:prstGeom>
                    <a:noFill/>
                  </pic:spPr>
                </pic:pic>
              </a:graphicData>
            </a:graphic>
          </wp:anchor>
        </w:drawing>
      </w:r>
    </w:p>
    <w:p>
      <w:pPr>
        <w:spacing w:after="0" w:line="109" w:lineRule="exact"/>
        <w:rPr>
          <w:sz w:val="20"/>
          <w:szCs w:val="20"/>
          <w:color w:val="auto"/>
        </w:rPr>
      </w:pPr>
    </w:p>
    <w:tbl>
      <w:tblPr>
        <w:tblLayout w:type="fixed"/>
        <w:tblInd w:w="3122"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1300" w:type="dxa"/>
            <w:vAlign w:val="bottom"/>
          </w:tcPr>
          <w:p>
            <w:pPr>
              <w:ind w:left="60"/>
              <w:spacing w:after="0"/>
              <w:rPr>
                <w:sz w:val="20"/>
                <w:szCs w:val="20"/>
                <w:color w:val="auto"/>
              </w:rPr>
            </w:pPr>
            <w:r>
              <w:rPr>
                <w:rFonts w:ascii="Arial" w:cs="Arial" w:eastAsia="Arial" w:hAnsi="Arial"/>
                <w:sz w:val="13"/>
                <w:szCs w:val="13"/>
                <w:b w:val="1"/>
                <w:bCs w:val="1"/>
                <w:color w:val="auto"/>
              </w:rPr>
              <w:t>Assets for</w:t>
            </w:r>
          </w:p>
        </w:tc>
        <w:tc>
          <w:tcPr>
            <w:tcW w:w="1120" w:type="dxa"/>
            <w:vAlign w:val="bottom"/>
          </w:tcPr>
          <w:p>
            <w:pPr>
              <w:spacing w:after="0"/>
              <w:rPr>
                <w:sz w:val="20"/>
                <w:szCs w:val="20"/>
                <w:color w:val="auto"/>
              </w:rPr>
            </w:pPr>
            <w:r>
              <w:rPr>
                <w:rFonts w:ascii="Arial" w:cs="Arial" w:eastAsia="Arial" w:hAnsi="Arial"/>
                <w:sz w:val="13"/>
                <w:szCs w:val="13"/>
                <w:b w:val="1"/>
                <w:bCs w:val="1"/>
                <w:color w:val="auto"/>
              </w:rPr>
              <w:t>Assets for</w:t>
            </w:r>
          </w:p>
        </w:tc>
        <w:tc>
          <w:tcPr>
            <w:tcW w:w="1180" w:type="dxa"/>
            <w:vAlign w:val="bottom"/>
          </w:tcPr>
          <w:p>
            <w:pPr>
              <w:ind w:left="100"/>
              <w:spacing w:after="0"/>
              <w:rPr>
                <w:sz w:val="20"/>
                <w:szCs w:val="20"/>
                <w:color w:val="auto"/>
              </w:rPr>
            </w:pPr>
            <w:r>
              <w:rPr>
                <w:rFonts w:ascii="Arial" w:cs="Arial" w:eastAsia="Arial" w:hAnsi="Arial"/>
                <w:sz w:val="13"/>
                <w:szCs w:val="13"/>
                <w:b w:val="1"/>
                <w:bCs w:val="1"/>
                <w:color w:val="auto"/>
              </w:rPr>
              <w:t>Accounts</w:t>
            </w:r>
          </w:p>
        </w:tc>
        <w:tc>
          <w:tcPr>
            <w:tcW w:w="1160" w:type="dxa"/>
            <w:vAlign w:val="bottom"/>
          </w:tcPr>
          <w:p>
            <w:pPr>
              <w:ind w:left="120"/>
              <w:spacing w:after="0"/>
              <w:rPr>
                <w:sz w:val="20"/>
                <w:szCs w:val="20"/>
                <w:color w:val="auto"/>
              </w:rPr>
            </w:pPr>
            <w:r>
              <w:rPr>
                <w:rFonts w:ascii="Arial" w:cs="Arial" w:eastAsia="Arial" w:hAnsi="Arial"/>
                <w:sz w:val="13"/>
                <w:szCs w:val="13"/>
                <w:b w:val="1"/>
                <w:bCs w:val="1"/>
                <w:color w:val="auto"/>
              </w:rPr>
              <w:t>Accounts</w:t>
            </w:r>
          </w:p>
        </w:tc>
        <w:tc>
          <w:tcPr>
            <w:tcW w:w="1460" w:type="dxa"/>
            <w:vAlign w:val="bottom"/>
          </w:tcPr>
          <w:p>
            <w:pPr>
              <w:spacing w:after="0"/>
              <w:rPr>
                <w:sz w:val="13"/>
                <w:szCs w:val="13"/>
                <w:color w:val="auto"/>
              </w:rPr>
            </w:pPr>
          </w:p>
        </w:tc>
      </w:tr>
      <w:tr>
        <w:trPr>
          <w:trHeight w:val="147"/>
        </w:trPr>
        <w:tc>
          <w:tcPr>
            <w:tcW w:w="1060" w:type="dxa"/>
            <w:vAlign w:val="bottom"/>
          </w:tcPr>
          <w:p>
            <w:pPr>
              <w:spacing w:after="0"/>
              <w:rPr>
                <w:sz w:val="12"/>
                <w:szCs w:val="12"/>
                <w:color w:val="auto"/>
              </w:rPr>
            </w:pPr>
          </w:p>
        </w:tc>
        <w:tc>
          <w:tcPr>
            <w:tcW w:w="130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incurred claims</w:t>
            </w:r>
          </w:p>
        </w:tc>
        <w:tc>
          <w:tcPr>
            <w:tcW w:w="1120" w:type="dxa"/>
            <w:vAlign w:val="bottom"/>
          </w:tcPr>
          <w:p>
            <w:pPr>
              <w:spacing w:after="0" w:line="147" w:lineRule="exact"/>
              <w:rPr>
                <w:sz w:val="20"/>
                <w:szCs w:val="20"/>
                <w:color w:val="auto"/>
              </w:rPr>
            </w:pPr>
            <w:r>
              <w:rPr>
                <w:rFonts w:ascii="Arial" w:cs="Arial" w:eastAsia="Arial" w:hAnsi="Arial"/>
                <w:sz w:val="13"/>
                <w:szCs w:val="13"/>
                <w:b w:val="1"/>
                <w:bCs w:val="1"/>
                <w:color w:val="auto"/>
              </w:rPr>
              <w:t>incurred claims</w:t>
            </w:r>
          </w:p>
        </w:tc>
        <w:tc>
          <w:tcPr>
            <w:tcW w:w="1180" w:type="dxa"/>
            <w:vAlign w:val="bottom"/>
          </w:tcPr>
          <w:p>
            <w:pPr>
              <w:ind w:left="100"/>
              <w:spacing w:after="0" w:line="147" w:lineRule="exact"/>
              <w:rPr>
                <w:sz w:val="20"/>
                <w:szCs w:val="20"/>
                <w:color w:val="auto"/>
              </w:rPr>
            </w:pPr>
            <w:r>
              <w:rPr>
                <w:rFonts w:ascii="Arial" w:cs="Arial" w:eastAsia="Arial" w:hAnsi="Arial"/>
                <w:sz w:val="13"/>
                <w:szCs w:val="13"/>
                <w:b w:val="1"/>
                <w:bCs w:val="1"/>
                <w:color w:val="auto"/>
              </w:rPr>
              <w:t>receivable from</w:t>
            </w:r>
          </w:p>
        </w:tc>
        <w:tc>
          <w:tcPr>
            <w:tcW w:w="1160" w:type="dxa"/>
            <w:vAlign w:val="bottom"/>
          </w:tcPr>
          <w:p>
            <w:pPr>
              <w:ind w:left="120"/>
              <w:spacing w:after="0" w:line="147" w:lineRule="exact"/>
              <w:rPr>
                <w:sz w:val="20"/>
                <w:szCs w:val="20"/>
                <w:color w:val="auto"/>
              </w:rPr>
            </w:pPr>
            <w:r>
              <w:rPr>
                <w:rFonts w:ascii="Arial" w:cs="Arial" w:eastAsia="Arial" w:hAnsi="Arial"/>
                <w:sz w:val="13"/>
                <w:szCs w:val="13"/>
                <w:b w:val="1"/>
                <w:bCs w:val="1"/>
                <w:color w:val="auto"/>
              </w:rPr>
              <w:t>payable to</w:t>
            </w:r>
          </w:p>
        </w:tc>
        <w:tc>
          <w:tcPr>
            <w:tcW w:w="1460" w:type="dxa"/>
            <w:vAlign w:val="bottom"/>
          </w:tcPr>
          <w:p>
            <w:pPr>
              <w:spacing w:after="0"/>
              <w:rPr>
                <w:sz w:val="12"/>
                <w:szCs w:val="12"/>
                <w:color w:val="auto"/>
              </w:rPr>
            </w:pPr>
          </w:p>
        </w:tc>
      </w:tr>
      <w:tr>
        <w:trPr>
          <w:trHeight w:val="147"/>
        </w:trPr>
        <w:tc>
          <w:tcPr>
            <w:tcW w:w="1060" w:type="dxa"/>
            <w:vAlign w:val="bottom"/>
          </w:tcPr>
          <w:p>
            <w:pPr>
              <w:spacing w:after="0" w:line="147" w:lineRule="exact"/>
              <w:rPr>
                <w:sz w:val="20"/>
                <w:szCs w:val="20"/>
                <w:color w:val="auto"/>
              </w:rPr>
            </w:pPr>
            <w:r>
              <w:rPr>
                <w:rFonts w:ascii="Arial" w:cs="Arial" w:eastAsia="Arial" w:hAnsi="Arial"/>
                <w:sz w:val="13"/>
                <w:szCs w:val="13"/>
                <w:b w:val="1"/>
                <w:bCs w:val="1"/>
                <w:color w:val="auto"/>
              </w:rPr>
              <w:t>Remaining</w:t>
            </w:r>
          </w:p>
        </w:tc>
        <w:tc>
          <w:tcPr>
            <w:tcW w:w="130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for contracts not</w:t>
            </w:r>
          </w:p>
        </w:tc>
        <w:tc>
          <w:tcPr>
            <w:tcW w:w="1120" w:type="dxa"/>
            <w:vAlign w:val="bottom"/>
          </w:tcPr>
          <w:p>
            <w:pPr>
              <w:spacing w:after="0" w:line="147" w:lineRule="exact"/>
              <w:rPr>
                <w:sz w:val="20"/>
                <w:szCs w:val="20"/>
                <w:color w:val="auto"/>
              </w:rPr>
            </w:pPr>
            <w:r>
              <w:rPr>
                <w:rFonts w:ascii="Arial" w:cs="Arial" w:eastAsia="Arial" w:hAnsi="Arial"/>
                <w:sz w:val="13"/>
                <w:szCs w:val="13"/>
                <w:b w:val="1"/>
                <w:bCs w:val="1"/>
                <w:color w:val="auto"/>
              </w:rPr>
              <w:t>for contracts</w:t>
            </w:r>
          </w:p>
        </w:tc>
        <w:tc>
          <w:tcPr>
            <w:tcW w:w="1180" w:type="dxa"/>
            <w:vAlign w:val="bottom"/>
          </w:tcPr>
          <w:p>
            <w:pPr>
              <w:ind w:left="100"/>
              <w:spacing w:after="0" w:line="147" w:lineRule="exact"/>
              <w:rPr>
                <w:sz w:val="20"/>
                <w:szCs w:val="20"/>
                <w:color w:val="auto"/>
              </w:rPr>
            </w:pPr>
            <w:r>
              <w:rPr>
                <w:rFonts w:ascii="Arial" w:cs="Arial" w:eastAsia="Arial" w:hAnsi="Arial"/>
                <w:sz w:val="13"/>
                <w:szCs w:val="13"/>
                <w:b w:val="1"/>
                <w:bCs w:val="1"/>
                <w:color w:val="auto"/>
              </w:rPr>
              <w:t>reinsurers and</w:t>
            </w:r>
          </w:p>
        </w:tc>
        <w:tc>
          <w:tcPr>
            <w:tcW w:w="1160" w:type="dxa"/>
            <w:vAlign w:val="bottom"/>
          </w:tcPr>
          <w:p>
            <w:pPr>
              <w:ind w:left="120"/>
              <w:spacing w:after="0" w:line="147" w:lineRule="exact"/>
              <w:rPr>
                <w:sz w:val="20"/>
                <w:szCs w:val="20"/>
                <w:color w:val="auto"/>
              </w:rPr>
            </w:pPr>
            <w:r>
              <w:rPr>
                <w:rFonts w:ascii="Arial" w:cs="Arial" w:eastAsia="Arial" w:hAnsi="Arial"/>
                <w:sz w:val="13"/>
                <w:szCs w:val="13"/>
                <w:b w:val="1"/>
                <w:bCs w:val="1"/>
                <w:color w:val="auto"/>
              </w:rPr>
              <w:t>reinsurers and</w:t>
            </w:r>
          </w:p>
        </w:tc>
        <w:tc>
          <w:tcPr>
            <w:tcW w:w="1460" w:type="dxa"/>
            <w:vAlign w:val="bottom"/>
          </w:tcPr>
          <w:p>
            <w:pPr>
              <w:ind w:left="140"/>
              <w:spacing w:after="0" w:line="147" w:lineRule="exact"/>
              <w:rPr>
                <w:sz w:val="20"/>
                <w:szCs w:val="20"/>
                <w:color w:val="auto"/>
              </w:rPr>
            </w:pPr>
            <w:r>
              <w:rPr>
                <w:rFonts w:ascii="Arial" w:cs="Arial" w:eastAsia="Arial" w:hAnsi="Arial"/>
                <w:sz w:val="13"/>
                <w:szCs w:val="13"/>
                <w:b w:val="1"/>
                <w:bCs w:val="1"/>
                <w:color w:val="auto"/>
              </w:rPr>
              <w:t>Excess of</w:t>
            </w:r>
          </w:p>
        </w:tc>
      </w:tr>
      <w:tr>
        <w:trPr>
          <w:trHeight w:val="154"/>
        </w:trPr>
        <w:tc>
          <w:tcPr>
            <w:tcW w:w="1060" w:type="dxa"/>
            <w:vAlign w:val="bottom"/>
          </w:tcPr>
          <w:p>
            <w:pPr>
              <w:spacing w:after="0"/>
              <w:rPr>
                <w:sz w:val="20"/>
                <w:szCs w:val="20"/>
                <w:color w:val="auto"/>
              </w:rPr>
            </w:pPr>
            <w:r>
              <w:rPr>
                <w:rFonts w:ascii="Arial" w:cs="Arial" w:eastAsia="Arial" w:hAnsi="Arial"/>
                <w:sz w:val="13"/>
                <w:szCs w:val="13"/>
                <w:b w:val="1"/>
                <w:bCs w:val="1"/>
                <w:color w:val="auto"/>
              </w:rPr>
              <w:t>coverage assets</w:t>
            </w:r>
          </w:p>
        </w:tc>
        <w:tc>
          <w:tcPr>
            <w:tcW w:w="1300" w:type="dxa"/>
            <w:vAlign w:val="bottom"/>
          </w:tcPr>
          <w:p>
            <w:pPr>
              <w:ind w:left="60"/>
              <w:spacing w:after="0"/>
              <w:rPr>
                <w:sz w:val="20"/>
                <w:szCs w:val="20"/>
                <w:color w:val="auto"/>
              </w:rPr>
            </w:pPr>
            <w:r>
              <w:rPr>
                <w:rFonts w:ascii="Arial" w:cs="Arial" w:eastAsia="Arial" w:hAnsi="Arial"/>
                <w:sz w:val="13"/>
                <w:szCs w:val="13"/>
                <w:b w:val="1"/>
                <w:bCs w:val="1"/>
                <w:color w:val="auto"/>
              </w:rPr>
              <w:t>measured by PAA</w:t>
            </w: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measured by PAA</w:t>
            </w:r>
          </w:p>
        </w:tc>
        <w:tc>
          <w:tcPr>
            <w:tcW w:w="1180" w:type="dxa"/>
            <w:vAlign w:val="bottom"/>
          </w:tcPr>
          <w:p>
            <w:pPr>
              <w:ind w:left="100"/>
              <w:spacing w:after="0"/>
              <w:rPr>
                <w:sz w:val="20"/>
                <w:szCs w:val="20"/>
                <w:color w:val="auto"/>
              </w:rPr>
            </w:pPr>
            <w:r>
              <w:rPr>
                <w:rFonts w:ascii="Arial" w:cs="Arial" w:eastAsia="Arial" w:hAnsi="Arial"/>
                <w:sz w:val="13"/>
                <w:szCs w:val="13"/>
                <w:b w:val="1"/>
                <w:bCs w:val="1"/>
                <w:color w:val="auto"/>
              </w:rPr>
              <w:t>co-insurers</w:t>
            </w:r>
          </w:p>
        </w:tc>
        <w:tc>
          <w:tcPr>
            <w:tcW w:w="1160" w:type="dxa"/>
            <w:vAlign w:val="bottom"/>
          </w:tcPr>
          <w:p>
            <w:pPr>
              <w:ind w:left="120"/>
              <w:spacing w:after="0"/>
              <w:rPr>
                <w:sz w:val="20"/>
                <w:szCs w:val="20"/>
                <w:color w:val="auto"/>
              </w:rPr>
            </w:pPr>
            <w:r>
              <w:rPr>
                <w:rFonts w:ascii="Arial" w:cs="Arial" w:eastAsia="Arial" w:hAnsi="Arial"/>
                <w:sz w:val="13"/>
                <w:szCs w:val="13"/>
                <w:b w:val="1"/>
                <w:bCs w:val="1"/>
                <w:color w:val="auto"/>
              </w:rPr>
              <w:t>co-insurers</w:t>
            </w:r>
          </w:p>
        </w:tc>
        <w:tc>
          <w:tcPr>
            <w:tcW w:w="1460" w:type="dxa"/>
            <w:vAlign w:val="bottom"/>
          </w:tcPr>
          <w:p>
            <w:pPr>
              <w:ind w:left="140"/>
              <w:spacing w:after="0"/>
              <w:rPr>
                <w:sz w:val="20"/>
                <w:szCs w:val="20"/>
                <w:color w:val="auto"/>
              </w:rPr>
            </w:pPr>
            <w:r>
              <w:rPr>
                <w:rFonts w:ascii="Arial" w:cs="Arial" w:eastAsia="Arial" w:hAnsi="Arial"/>
                <w:sz w:val="13"/>
                <w:szCs w:val="13"/>
                <w:b w:val="1"/>
                <w:bCs w:val="1"/>
                <w:color w:val="auto"/>
              </w:rPr>
              <w:t>loss contracts  Total</w:t>
            </w:r>
          </w:p>
        </w:tc>
      </w:tr>
      <w:tr>
        <w:trPr>
          <w:trHeight w:val="131"/>
        </w:trPr>
        <w:tc>
          <w:tcPr>
            <w:tcW w:w="1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20" w:type="dxa"/>
            <w:vAlign w:val="bottom"/>
          </w:tcPr>
          <w:p>
            <w:pPr>
              <w:spacing w:after="0" w:line="131" w:lineRule="exact"/>
              <w:rPr>
                <w:sz w:val="20"/>
                <w:szCs w:val="20"/>
                <w:color w:val="auto"/>
              </w:rPr>
            </w:pPr>
            <w:r>
              <w:rPr>
                <w:rFonts w:ascii="Arial" w:cs="Arial" w:eastAsia="Arial" w:hAnsi="Arial"/>
                <w:sz w:val="13"/>
                <w:szCs w:val="13"/>
                <w:b w:val="1"/>
                <w:bCs w:val="1"/>
                <w:color w:val="auto"/>
              </w:rPr>
              <w:t>Present value of</w:t>
            </w:r>
          </w:p>
        </w:tc>
        <w:tc>
          <w:tcPr>
            <w:tcW w:w="1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54"/>
        </w:trPr>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b w:val="1"/>
                <w:bCs w:val="1"/>
                <w:color w:val="auto"/>
              </w:rPr>
              <w:t>future cash flows</w:t>
            </w: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002"/>
          </w:cols>
          <w:pgMar w:left="318" w:top="124" w:right="579" w:bottom="1440" w:gutter="0" w:footer="0" w:header="0"/>
        </w:sectPr>
      </w:pPr>
    </w:p>
    <w:p>
      <w:pPr>
        <w:spacing w:after="0" w:line="150" w:lineRule="exact"/>
        <w:rPr>
          <w:sz w:val="20"/>
          <w:szCs w:val="20"/>
          <w:color w:val="auto"/>
        </w:rPr>
      </w:pPr>
    </w:p>
    <w:p>
      <w:pPr>
        <w:jc w:val="both"/>
        <w:ind w:left="882" w:right="500"/>
        <w:spacing w:after="0" w:line="241" w:lineRule="auto"/>
        <w:rPr>
          <w:sz w:val="20"/>
          <w:szCs w:val="20"/>
          <w:color w:val="auto"/>
        </w:rPr>
      </w:pPr>
      <w:r>
        <w:rPr>
          <w:rFonts w:ascii="Arial" w:cs="Arial" w:eastAsia="Arial" w:hAnsi="Arial"/>
          <w:sz w:val="13"/>
          <w:szCs w:val="13"/>
          <w:b w:val="1"/>
          <w:bCs w:val="1"/>
          <w:color w:val="auto"/>
        </w:rPr>
        <w:t xml:space="preserve">Balances as of January 1 </w:t>
      </w:r>
      <w:r>
        <w:rPr>
          <w:rFonts w:ascii="Arial" w:cs="Arial" w:eastAsia="Arial" w:hAnsi="Arial"/>
          <w:sz w:val="13"/>
          <w:szCs w:val="13"/>
          <w:color w:val="auto"/>
        </w:rPr>
        <w:t>Expenses incurred directly attributable</w:t>
      </w:r>
    </w:p>
    <w:p>
      <w:pPr>
        <w:spacing w:after="0" w:line="1" w:lineRule="exact"/>
        <w:rPr>
          <w:sz w:val="20"/>
          <w:szCs w:val="20"/>
          <w:color w:val="auto"/>
        </w:rPr>
      </w:pPr>
    </w:p>
    <w:p>
      <w:pPr>
        <w:ind w:left="882" w:right="460"/>
        <w:spacing w:after="0" w:line="235" w:lineRule="auto"/>
        <w:rPr>
          <w:sz w:val="20"/>
          <w:szCs w:val="20"/>
          <w:color w:val="auto"/>
        </w:rPr>
      </w:pPr>
      <w:r>
        <w:rPr>
          <w:rFonts w:ascii="Arial" w:cs="Arial" w:eastAsia="Arial" w:hAnsi="Arial"/>
          <w:sz w:val="13"/>
          <w:szCs w:val="13"/>
          <w:color w:val="auto"/>
        </w:rPr>
        <w:t>Past Service Changes - LIC Adjustments</w:t>
      </w:r>
    </w:p>
    <w:p>
      <w:pPr>
        <w:ind w:left="882" w:right="20"/>
        <w:spacing w:after="0"/>
        <w:rPr>
          <w:sz w:val="20"/>
          <w:szCs w:val="20"/>
          <w:color w:val="auto"/>
        </w:rPr>
      </w:pPr>
      <w:r>
        <w:rPr>
          <w:rFonts w:ascii="Arial" w:cs="Arial" w:eastAsia="Arial" w:hAnsi="Arial"/>
          <w:sz w:val="13"/>
          <w:szCs w:val="13"/>
          <w:color w:val="auto"/>
        </w:rPr>
        <w:t>Future Service Changes - Changes in the FCF that do not adjust the CSM for the underlying group of contracts</w:t>
      </w:r>
    </w:p>
    <w:p>
      <w:pPr>
        <w:spacing w:after="0" w:line="1" w:lineRule="exact"/>
        <w:rPr>
          <w:sz w:val="20"/>
          <w:szCs w:val="20"/>
          <w:color w:val="auto"/>
        </w:rPr>
      </w:pPr>
    </w:p>
    <w:p>
      <w:pPr>
        <w:ind w:left="882" w:right="300"/>
        <w:spacing w:after="0" w:line="262" w:lineRule="auto"/>
        <w:rPr>
          <w:sz w:val="20"/>
          <w:szCs w:val="20"/>
          <w:color w:val="auto"/>
        </w:rPr>
      </w:pPr>
      <w:r>
        <w:rPr>
          <w:rFonts w:ascii="Arial" w:cs="Arial" w:eastAsia="Arial" w:hAnsi="Arial"/>
          <w:sz w:val="12"/>
          <w:szCs w:val="12"/>
          <w:color w:val="auto"/>
        </w:rPr>
        <w:t>Reinsurance recoveries Expenses for assigning the premiums paid to the reinsurer</w:t>
      </w:r>
    </w:p>
    <w:p>
      <w:pPr>
        <w:ind w:left="882" w:right="20"/>
        <w:spacing w:after="0" w:line="235" w:lineRule="auto"/>
        <w:rPr>
          <w:sz w:val="20"/>
          <w:szCs w:val="20"/>
          <w:color w:val="auto"/>
        </w:rPr>
      </w:pPr>
      <w:r>
        <w:rPr>
          <w:rFonts w:ascii="Arial" w:cs="Arial" w:eastAsia="Arial" w:hAnsi="Arial"/>
          <w:sz w:val="13"/>
          <w:szCs w:val="13"/>
          <w:b w:val="1"/>
          <w:bCs w:val="1"/>
          <w:color w:val="auto"/>
        </w:rPr>
        <w:t xml:space="preserve">Result of the reinsurance service </w:t>
      </w:r>
      <w:r>
        <w:rPr>
          <w:rFonts w:ascii="Arial" w:cs="Arial" w:eastAsia="Arial" w:hAnsi="Arial"/>
          <w:sz w:val="13"/>
          <w:szCs w:val="13"/>
          <w:color w:val="auto"/>
        </w:rPr>
        <w:t>Net financial expenses for reinsurance contracts Other changes</w:t>
      </w:r>
    </w:p>
    <w:p>
      <w:pPr>
        <w:spacing w:after="0" w:line="1" w:lineRule="exact"/>
        <w:rPr>
          <w:sz w:val="20"/>
          <w:szCs w:val="20"/>
          <w:color w:val="auto"/>
        </w:rPr>
      </w:pPr>
    </w:p>
    <w:p>
      <w:pPr>
        <w:ind w:left="882"/>
        <w:spacing w:after="0"/>
        <w:rPr>
          <w:sz w:val="20"/>
          <w:szCs w:val="20"/>
          <w:color w:val="auto"/>
        </w:rPr>
      </w:pPr>
      <w:r>
        <w:rPr>
          <w:rFonts w:ascii="Arial" w:cs="Arial" w:eastAsia="Arial" w:hAnsi="Arial"/>
          <w:sz w:val="13"/>
          <w:szCs w:val="13"/>
          <w:color w:val="auto"/>
        </w:rPr>
        <w:t>Cash flow:</w:t>
      </w:r>
    </w:p>
    <w:p>
      <w:pPr>
        <w:spacing w:after="0" w:line="132" w:lineRule="exact"/>
        <w:rPr>
          <w:sz w:val="20"/>
          <w:szCs w:val="20"/>
          <w:color w:val="auto"/>
        </w:rPr>
      </w:pPr>
    </w:p>
    <w:p>
      <w:pPr>
        <w:ind w:left="882"/>
        <w:spacing w:after="0"/>
        <w:rPr>
          <w:sz w:val="20"/>
          <w:szCs w:val="20"/>
          <w:color w:val="auto"/>
        </w:rPr>
      </w:pPr>
      <w:r>
        <w:rPr>
          <w:rFonts w:ascii="Arial" w:cs="Arial" w:eastAsia="Arial" w:hAnsi="Arial"/>
          <w:sz w:val="13"/>
          <w:szCs w:val="13"/>
          <w:color w:val="auto"/>
        </w:rPr>
        <w:t>Premiums paid net of commissions</w:t>
      </w:r>
    </w:p>
    <w:p>
      <w:pPr>
        <w:spacing w:after="0" w:line="9" w:lineRule="exact"/>
        <w:rPr>
          <w:sz w:val="20"/>
          <w:szCs w:val="20"/>
          <w:color w:val="auto"/>
        </w:rPr>
      </w:pPr>
    </w:p>
    <w:p>
      <w:pPr>
        <w:ind w:left="882"/>
        <w:spacing w:after="0"/>
        <w:rPr>
          <w:sz w:val="20"/>
          <w:szCs w:val="20"/>
          <w:color w:val="auto"/>
        </w:rPr>
      </w:pPr>
      <w:r>
        <w:rPr>
          <w:rFonts w:ascii="Arial" w:cs="Arial" w:eastAsia="Arial" w:hAnsi="Arial"/>
          <w:sz w:val="12"/>
          <w:szCs w:val="12"/>
          <w:color w:val="auto"/>
        </w:rPr>
        <w:t>ceded and other directly attributable</w:t>
      </w:r>
    </w:p>
    <w:p>
      <w:pPr>
        <w:spacing w:after="0" w:line="6" w:lineRule="exact"/>
        <w:rPr>
          <w:sz w:val="20"/>
          <w:szCs w:val="20"/>
          <w:color w:val="auto"/>
        </w:rPr>
      </w:pPr>
    </w:p>
    <w:p>
      <w:pPr>
        <w:ind w:left="882"/>
        <w:spacing w:after="0"/>
        <w:rPr>
          <w:sz w:val="20"/>
          <w:szCs w:val="20"/>
          <w:color w:val="auto"/>
        </w:rPr>
      </w:pPr>
      <w:r>
        <w:rPr>
          <w:rFonts w:ascii="Arial" w:cs="Arial" w:eastAsia="Arial" w:hAnsi="Arial"/>
          <w:sz w:val="13"/>
          <w:szCs w:val="13"/>
          <w:color w:val="auto"/>
        </w:rPr>
        <w:t>expenses paid</w:t>
      </w:r>
    </w:p>
    <w:p>
      <w:pPr>
        <w:ind w:left="882"/>
        <w:spacing w:after="0"/>
        <w:rPr>
          <w:sz w:val="20"/>
          <w:szCs w:val="20"/>
          <w:color w:val="auto"/>
        </w:rPr>
      </w:pPr>
      <w:r>
        <w:rPr>
          <w:rFonts w:ascii="Arial" w:cs="Arial" w:eastAsia="Arial" w:hAnsi="Arial"/>
          <w:sz w:val="13"/>
          <w:szCs w:val="13"/>
          <w:color w:val="auto"/>
        </w:rPr>
        <w:t>Reinsurance recoveries</w:t>
      </w:r>
    </w:p>
    <w:p>
      <w:pPr>
        <w:spacing w:after="0" w:line="9" w:lineRule="exact"/>
        <w:rPr>
          <w:sz w:val="20"/>
          <w:szCs w:val="20"/>
          <w:color w:val="auto"/>
        </w:rPr>
      </w:pPr>
    </w:p>
    <w:p>
      <w:pPr>
        <w:ind w:left="882"/>
        <w:spacing w:after="0"/>
        <w:rPr>
          <w:sz w:val="20"/>
          <w:szCs w:val="20"/>
          <w:color w:val="auto"/>
        </w:rPr>
      </w:pPr>
      <w:r>
        <w:rPr>
          <w:rFonts w:ascii="Arial" w:cs="Arial" w:eastAsia="Arial" w:hAnsi="Arial"/>
          <w:sz w:val="13"/>
          <w:szCs w:val="13"/>
          <w:b w:val="1"/>
          <w:bCs w:val="1"/>
          <w:color w:val="auto"/>
        </w:rPr>
        <w:t>Net cash flow</w:t>
      </w:r>
    </w:p>
    <w:p>
      <w:pPr>
        <w:spacing w:after="0" w:line="16" w:lineRule="exact"/>
        <w:rPr>
          <w:sz w:val="20"/>
          <w:szCs w:val="20"/>
          <w:color w:val="auto"/>
        </w:rPr>
      </w:pPr>
    </w:p>
    <w:p>
      <w:pPr>
        <w:ind w:left="882"/>
        <w:spacing w:after="0"/>
        <w:rPr>
          <w:sz w:val="20"/>
          <w:szCs w:val="20"/>
          <w:color w:val="auto"/>
        </w:rPr>
      </w:pPr>
      <w:r>
        <w:rPr>
          <w:rFonts w:ascii="Arial" w:cs="Arial" w:eastAsia="Arial" w:hAnsi="Arial"/>
          <w:sz w:val="13"/>
          <w:szCs w:val="13"/>
          <w:b w:val="1"/>
          <w:bCs w:val="1"/>
          <w:color w:val="auto"/>
        </w:rPr>
        <w:t>Balances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1320" w:type="dxa"/>
            <w:vAlign w:val="bottom"/>
            <w:tcBorders>
              <w:top w:val="single" w:sz="8" w:color="auto"/>
            </w:tcBorders>
          </w:tcPr>
          <w:p>
            <w:pPr>
              <w:jc w:val="right"/>
              <w:ind w:right="415"/>
              <w:spacing w:after="0" w:line="131" w:lineRule="exact"/>
              <w:rPr>
                <w:sz w:val="20"/>
                <w:szCs w:val="20"/>
                <w:color w:val="auto"/>
              </w:rPr>
            </w:pPr>
            <w:r>
              <w:rPr>
                <w:rFonts w:ascii="Arial" w:cs="Arial" w:eastAsia="Arial" w:hAnsi="Arial"/>
                <w:sz w:val="13"/>
                <w:szCs w:val="13"/>
                <w:b w:val="1"/>
                <w:bCs w:val="1"/>
                <w:color w:val="auto"/>
              </w:rPr>
              <w:t>S/(000)</w:t>
            </w:r>
          </w:p>
        </w:tc>
        <w:tc>
          <w:tcPr>
            <w:tcW w:w="660" w:type="dxa"/>
            <w:vAlign w:val="bottom"/>
            <w:tcBorders>
              <w:top w:val="single" w:sz="8" w:color="auto"/>
            </w:tcBorders>
          </w:tcPr>
          <w:p>
            <w:pPr>
              <w:ind w:left="220"/>
              <w:spacing w:after="0" w:line="131" w:lineRule="exact"/>
              <w:rPr>
                <w:sz w:val="20"/>
                <w:szCs w:val="20"/>
                <w:color w:val="auto"/>
              </w:rPr>
            </w:pPr>
            <w:r>
              <w:rPr>
                <w:rFonts w:ascii="Arial" w:cs="Arial" w:eastAsia="Arial" w:hAnsi="Arial"/>
                <w:sz w:val="13"/>
                <w:szCs w:val="13"/>
                <w:b w:val="1"/>
                <w:bCs w:val="1"/>
                <w:color w:val="auto"/>
                <w:w w:val="98"/>
              </w:rPr>
              <w:t>S/(000)</w:t>
            </w:r>
          </w:p>
        </w:tc>
        <w:tc>
          <w:tcPr>
            <w:tcW w:w="5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475"/>
              <w:spacing w:after="0" w:line="131" w:lineRule="exact"/>
              <w:rPr>
                <w:sz w:val="20"/>
                <w:szCs w:val="20"/>
                <w:color w:val="auto"/>
              </w:rPr>
            </w:pPr>
            <w:r>
              <w:rPr>
                <w:rFonts w:ascii="Arial" w:cs="Arial" w:eastAsia="Arial" w:hAnsi="Arial"/>
                <w:sz w:val="13"/>
                <w:szCs w:val="13"/>
                <w:b w:val="1"/>
                <w:bCs w:val="1"/>
                <w:color w:val="auto"/>
              </w:rPr>
              <w:t>S/(000)</w:t>
            </w:r>
          </w:p>
        </w:tc>
        <w:tc>
          <w:tcPr>
            <w:tcW w:w="1200" w:type="dxa"/>
            <w:vAlign w:val="bottom"/>
            <w:tcBorders>
              <w:top w:val="single" w:sz="8" w:color="auto"/>
            </w:tcBorders>
          </w:tcPr>
          <w:p>
            <w:pPr>
              <w:jc w:val="right"/>
              <w:ind w:right="475"/>
              <w:spacing w:after="0" w:line="131" w:lineRule="exact"/>
              <w:rPr>
                <w:sz w:val="20"/>
                <w:szCs w:val="20"/>
                <w:color w:val="auto"/>
              </w:rPr>
            </w:pPr>
            <w:r>
              <w:rPr>
                <w:rFonts w:ascii="Arial" w:cs="Arial" w:eastAsia="Arial" w:hAnsi="Arial"/>
                <w:sz w:val="13"/>
                <w:szCs w:val="13"/>
                <w:b w:val="1"/>
                <w:bCs w:val="1"/>
                <w:color w:val="auto"/>
              </w:rPr>
              <w:t>S/(000)</w:t>
            </w:r>
          </w:p>
        </w:tc>
        <w:tc>
          <w:tcPr>
            <w:tcW w:w="1160" w:type="dxa"/>
            <w:vAlign w:val="bottom"/>
            <w:tcBorders>
              <w:top w:val="single" w:sz="8" w:color="auto"/>
            </w:tcBorders>
          </w:tcPr>
          <w:p>
            <w:pPr>
              <w:jc w:val="right"/>
              <w:ind w:right="435"/>
              <w:spacing w:after="0" w:line="131" w:lineRule="exact"/>
              <w:rPr>
                <w:sz w:val="20"/>
                <w:szCs w:val="20"/>
                <w:color w:val="auto"/>
              </w:rPr>
            </w:pPr>
            <w:r>
              <w:rPr>
                <w:rFonts w:ascii="Arial" w:cs="Arial" w:eastAsia="Arial" w:hAnsi="Arial"/>
                <w:sz w:val="13"/>
                <w:szCs w:val="13"/>
                <w:b w:val="1"/>
                <w:bCs w:val="1"/>
                <w:color w:val="auto"/>
              </w:rPr>
              <w:t>S/(000)</w:t>
            </w:r>
          </w:p>
        </w:tc>
        <w:tc>
          <w:tcPr>
            <w:tcW w:w="980" w:type="dxa"/>
            <w:vAlign w:val="bottom"/>
            <w:tcBorders>
              <w:top w:val="single" w:sz="8" w:color="auto"/>
            </w:tcBorders>
          </w:tcPr>
          <w:p>
            <w:pPr>
              <w:jc w:val="right"/>
              <w:ind w:right="315"/>
              <w:spacing w:after="0" w:line="131" w:lineRule="exact"/>
              <w:rPr>
                <w:sz w:val="20"/>
                <w:szCs w:val="20"/>
                <w:color w:val="auto"/>
              </w:rPr>
            </w:pPr>
            <w:r>
              <w:rPr>
                <w:rFonts w:ascii="Arial" w:cs="Arial" w:eastAsia="Arial" w:hAnsi="Arial"/>
                <w:sz w:val="13"/>
                <w:szCs w:val="13"/>
                <w:b w:val="1"/>
                <w:bCs w:val="1"/>
                <w:color w:val="auto"/>
              </w:rPr>
              <w:t>S/(000)</w:t>
            </w:r>
          </w:p>
        </w:tc>
        <w:tc>
          <w:tcPr>
            <w:tcW w:w="920" w:type="dxa"/>
            <w:vAlign w:val="bottom"/>
            <w:tcBorders>
              <w:top w:val="single" w:sz="8" w:color="auto"/>
            </w:tcBorders>
          </w:tcPr>
          <w:p>
            <w:pPr>
              <w:jc w:val="right"/>
              <w:ind w:right="235"/>
              <w:spacing w:after="0" w:line="131" w:lineRule="exact"/>
              <w:rPr>
                <w:sz w:val="20"/>
                <w:szCs w:val="20"/>
                <w:color w:val="auto"/>
              </w:rPr>
            </w:pPr>
            <w:r>
              <w:rPr>
                <w:rFonts w:ascii="Arial" w:cs="Arial" w:eastAsia="Arial" w:hAnsi="Arial"/>
                <w:sz w:val="13"/>
                <w:szCs w:val="13"/>
                <w:b w:val="1"/>
                <w:bCs w:val="1"/>
                <w:color w:val="auto"/>
              </w:rPr>
              <w:t>S/(000)</w:t>
            </w:r>
          </w:p>
        </w:tc>
      </w:tr>
      <w:tr>
        <w:trPr>
          <w:trHeight w:val="172"/>
        </w:trPr>
        <w:tc>
          <w:tcPr>
            <w:tcW w:w="1320" w:type="dxa"/>
            <w:vAlign w:val="bottom"/>
          </w:tcPr>
          <w:p>
            <w:pPr>
              <w:jc w:val="right"/>
              <w:ind w:right="135"/>
              <w:spacing w:after="0"/>
              <w:rPr>
                <w:sz w:val="20"/>
                <w:szCs w:val="20"/>
                <w:color w:val="auto"/>
              </w:rPr>
            </w:pPr>
            <w:r>
              <w:rPr>
                <w:rFonts w:ascii="Arial" w:cs="Arial" w:eastAsia="Arial" w:hAnsi="Arial"/>
                <w:sz w:val="13"/>
                <w:szCs w:val="13"/>
                <w:color w:val="auto"/>
              </w:rPr>
              <w:t>308,270</w:t>
            </w:r>
          </w:p>
        </w:tc>
        <w:tc>
          <w:tcPr>
            <w:tcW w:w="660" w:type="dxa"/>
            <w:vAlign w:val="bottom"/>
          </w:tcPr>
          <w:p>
            <w:pPr>
              <w:spacing w:after="0"/>
              <w:rPr>
                <w:sz w:val="14"/>
                <w:szCs w:val="14"/>
                <w:color w:val="auto"/>
              </w:rPr>
            </w:pPr>
          </w:p>
        </w:tc>
        <w:tc>
          <w:tcPr>
            <w:tcW w:w="52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730,006</w:t>
            </w:r>
          </w:p>
        </w:tc>
        <w:tc>
          <w:tcPr>
            <w:tcW w:w="1200" w:type="dxa"/>
            <w:vAlign w:val="bottom"/>
          </w:tcPr>
          <w:p>
            <w:pPr>
              <w:jc w:val="right"/>
              <w:ind w:right="175"/>
              <w:spacing w:after="0"/>
              <w:rPr>
                <w:sz w:val="20"/>
                <w:szCs w:val="20"/>
                <w:color w:val="auto"/>
              </w:rPr>
            </w:pPr>
            <w:r>
              <w:rPr>
                <w:rFonts w:ascii="Arial" w:cs="Arial" w:eastAsia="Arial" w:hAnsi="Arial"/>
                <w:sz w:val="13"/>
                <w:szCs w:val="13"/>
                <w:color w:val="auto"/>
              </w:rPr>
              <w:t>110,964</w:t>
            </w:r>
          </w:p>
        </w:tc>
        <w:tc>
          <w:tcPr>
            <w:tcW w:w="1160" w:type="dxa"/>
            <w:vAlign w:val="bottom"/>
          </w:tcPr>
          <w:p>
            <w:pPr>
              <w:jc w:val="right"/>
              <w:ind w:right="95"/>
              <w:spacing w:after="0"/>
              <w:rPr>
                <w:sz w:val="20"/>
                <w:szCs w:val="20"/>
                <w:color w:val="auto"/>
              </w:rPr>
            </w:pPr>
            <w:r>
              <w:rPr>
                <w:rFonts w:ascii="Arial" w:cs="Arial" w:eastAsia="Arial" w:hAnsi="Arial"/>
                <w:sz w:val="13"/>
                <w:szCs w:val="13"/>
                <w:color w:val="auto"/>
              </w:rPr>
              <w:t>(419,217)</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13,985</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744,008</w:t>
            </w:r>
          </w:p>
        </w:tc>
      </w:tr>
      <w:tr>
        <w:trPr>
          <w:trHeight w:val="293"/>
        </w:trPr>
        <w:tc>
          <w:tcPr>
            <w:tcW w:w="132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24"/>
                <w:szCs w:val="24"/>
                <w:color w:val="auto"/>
              </w:rPr>
            </w:pPr>
          </w:p>
        </w:tc>
        <w:tc>
          <w:tcPr>
            <w:tcW w:w="52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660,468</w:t>
            </w:r>
          </w:p>
        </w:tc>
        <w:tc>
          <w:tcPr>
            <w:tcW w:w="120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660,468</w:t>
            </w:r>
          </w:p>
        </w:tc>
      </w:tr>
      <w:tr>
        <w:trPr>
          <w:trHeight w:val="293"/>
        </w:trPr>
        <w:tc>
          <w:tcPr>
            <w:tcW w:w="132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24"/>
                <w:szCs w:val="24"/>
                <w:color w:val="auto"/>
              </w:rPr>
            </w:pPr>
          </w:p>
        </w:tc>
        <w:tc>
          <w:tcPr>
            <w:tcW w:w="520" w:type="dxa"/>
            <w:vAlign w:val="bottom"/>
          </w:tcPr>
          <w:p>
            <w:pPr>
              <w:jc w:val="right"/>
              <w:ind w:right="175"/>
              <w:spacing w:after="0"/>
              <w:rPr>
                <w:sz w:val="20"/>
                <w:szCs w:val="20"/>
                <w:color w:val="auto"/>
              </w:rPr>
            </w:pPr>
            <w:r>
              <w:rPr>
                <w:rFonts w:ascii="Arial" w:cs="Arial" w:eastAsia="Arial" w:hAnsi="Arial"/>
                <w:sz w:val="13"/>
                <w:szCs w:val="13"/>
                <w:color w:val="auto"/>
              </w:rPr>
              <w:t>21</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(219,236)</w:t>
            </w:r>
          </w:p>
        </w:tc>
        <w:tc>
          <w:tcPr>
            <w:tcW w:w="120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(219,215)</w:t>
            </w:r>
          </w:p>
        </w:tc>
      </w:tr>
      <w:tr>
        <w:trPr>
          <w:trHeight w:val="569"/>
        </w:trPr>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7,238</w:t>
            </w: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7,238</w:t>
            </w:r>
          </w:p>
        </w:tc>
      </w:tr>
      <w:tr>
        <w:trPr>
          <w:trHeight w:val="164"/>
        </w:trPr>
        <w:tc>
          <w:tcPr>
            <w:tcW w:w="1320" w:type="dxa"/>
            <w:vAlign w:val="bottom"/>
          </w:tcPr>
          <w:p>
            <w:pPr>
              <w:jc w:val="right"/>
              <w:ind w:right="135"/>
              <w:spacing w:after="0"/>
              <w:rPr>
                <w:sz w:val="20"/>
                <w:szCs w:val="20"/>
                <w:color w:val="auto"/>
              </w:rPr>
            </w:pPr>
            <w:r>
              <w:rPr>
                <w:rFonts w:ascii="Arial" w:cs="Arial" w:eastAsia="Arial" w:hAnsi="Arial"/>
                <w:sz w:val="13"/>
                <w:szCs w:val="13"/>
                <w:color w:val="auto"/>
              </w:rPr>
              <w:t>7,238</w:t>
            </w:r>
          </w:p>
        </w:tc>
        <w:tc>
          <w:tcPr>
            <w:tcW w:w="660" w:type="dxa"/>
            <w:vAlign w:val="bottom"/>
          </w:tcPr>
          <w:p>
            <w:pPr>
              <w:spacing w:after="0"/>
              <w:rPr>
                <w:sz w:val="14"/>
                <w:szCs w:val="14"/>
                <w:color w:val="auto"/>
              </w:rPr>
            </w:pPr>
          </w:p>
        </w:tc>
        <w:tc>
          <w:tcPr>
            <w:tcW w:w="520" w:type="dxa"/>
            <w:vAlign w:val="bottom"/>
          </w:tcPr>
          <w:p>
            <w:pPr>
              <w:jc w:val="right"/>
              <w:ind w:right="175"/>
              <w:spacing w:after="0"/>
              <w:rPr>
                <w:sz w:val="20"/>
                <w:szCs w:val="20"/>
                <w:color w:val="auto"/>
              </w:rPr>
            </w:pPr>
            <w:r>
              <w:rPr>
                <w:rFonts w:ascii="Arial" w:cs="Arial" w:eastAsia="Arial" w:hAnsi="Arial"/>
                <w:sz w:val="13"/>
                <w:szCs w:val="13"/>
                <w:color w:val="auto"/>
              </w:rPr>
              <w:t>21</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441,232</w:t>
            </w:r>
          </w:p>
        </w:tc>
        <w:tc>
          <w:tcPr>
            <w:tcW w:w="120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448,491</w:t>
            </w:r>
          </w:p>
        </w:tc>
      </w:tr>
      <w:tr>
        <w:trPr>
          <w:trHeight w:val="268"/>
        </w:trPr>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(837,543)</w:t>
            </w:r>
          </w:p>
        </w:tc>
        <w:tc>
          <w:tcPr>
            <w:tcW w:w="6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(2,269)</w:t>
            </w: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(839,812)</w:t>
            </w:r>
          </w:p>
        </w:tc>
      </w:tr>
      <w:tr>
        <w:trPr>
          <w:trHeight w:val="164"/>
        </w:trPr>
        <w:tc>
          <w:tcPr>
            <w:tcW w:w="1320" w:type="dxa"/>
            <w:vAlign w:val="bottom"/>
          </w:tcPr>
          <w:p>
            <w:pPr>
              <w:jc w:val="right"/>
              <w:ind w:right="135"/>
              <w:spacing w:after="0"/>
              <w:rPr>
                <w:sz w:val="20"/>
                <w:szCs w:val="20"/>
                <w:color w:val="auto"/>
              </w:rPr>
            </w:pPr>
            <w:r>
              <w:rPr>
                <w:rFonts w:ascii="Arial" w:cs="Arial" w:eastAsia="Arial" w:hAnsi="Arial"/>
                <w:sz w:val="13"/>
                <w:szCs w:val="13"/>
                <w:color w:val="auto"/>
              </w:rPr>
              <w:t>(830,305)</w:t>
            </w:r>
          </w:p>
        </w:tc>
        <w:tc>
          <w:tcPr>
            <w:tcW w:w="660" w:type="dxa"/>
            <w:vAlign w:val="bottom"/>
          </w:tcPr>
          <w:p>
            <w:pPr>
              <w:spacing w:after="0"/>
              <w:rPr>
                <w:sz w:val="14"/>
                <w:szCs w:val="14"/>
                <w:color w:val="auto"/>
              </w:rPr>
            </w:pPr>
          </w:p>
        </w:tc>
        <w:tc>
          <w:tcPr>
            <w:tcW w:w="520" w:type="dxa"/>
            <w:vAlign w:val="bottom"/>
          </w:tcPr>
          <w:p>
            <w:pPr>
              <w:jc w:val="right"/>
              <w:ind w:right="175"/>
              <w:spacing w:after="0"/>
              <w:rPr>
                <w:sz w:val="20"/>
                <w:szCs w:val="20"/>
                <w:color w:val="auto"/>
              </w:rPr>
            </w:pPr>
            <w:r>
              <w:rPr>
                <w:rFonts w:ascii="Arial" w:cs="Arial" w:eastAsia="Arial" w:hAnsi="Arial"/>
                <w:sz w:val="13"/>
                <w:szCs w:val="13"/>
                <w:color w:val="auto"/>
              </w:rPr>
              <w:t>21</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438,963</w:t>
            </w:r>
          </w:p>
        </w:tc>
        <w:tc>
          <w:tcPr>
            <w:tcW w:w="120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(391,321)</w:t>
            </w:r>
          </w:p>
        </w:tc>
      </w:tr>
      <w:tr>
        <w:trPr>
          <w:trHeight w:val="260"/>
        </w:trPr>
        <w:tc>
          <w:tcPr>
            <w:tcW w:w="132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22"/>
                <w:szCs w:val="22"/>
                <w:color w:val="auto"/>
              </w:rPr>
            </w:pPr>
          </w:p>
        </w:tc>
        <w:tc>
          <w:tcPr>
            <w:tcW w:w="52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43,419</w:t>
            </w:r>
          </w:p>
        </w:tc>
        <w:tc>
          <w:tcPr>
            <w:tcW w:w="120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43,419</w:t>
            </w:r>
          </w:p>
        </w:tc>
      </w:tr>
      <w:tr>
        <w:trPr>
          <w:trHeight w:val="172"/>
        </w:trPr>
        <w:tc>
          <w:tcPr>
            <w:tcW w:w="1320" w:type="dxa"/>
            <w:vAlign w:val="bottom"/>
          </w:tcPr>
          <w:p>
            <w:pPr>
              <w:jc w:val="right"/>
              <w:ind w:right="135"/>
              <w:spacing w:after="0"/>
              <w:rPr>
                <w:sz w:val="20"/>
                <w:szCs w:val="20"/>
                <w:color w:val="auto"/>
              </w:rPr>
            </w:pPr>
            <w:r>
              <w:rPr>
                <w:rFonts w:ascii="Arial" w:cs="Arial" w:eastAsia="Arial" w:hAnsi="Arial"/>
                <w:sz w:val="13"/>
                <w:szCs w:val="13"/>
                <w:color w:val="auto"/>
              </w:rPr>
              <w:t>(7,611)</w:t>
            </w:r>
          </w:p>
        </w:tc>
        <w:tc>
          <w:tcPr>
            <w:tcW w:w="660" w:type="dxa"/>
            <w:vAlign w:val="bottom"/>
          </w:tcPr>
          <w:p>
            <w:pPr>
              <w:spacing w:after="0"/>
              <w:rPr>
                <w:sz w:val="14"/>
                <w:szCs w:val="14"/>
                <w:color w:val="auto"/>
              </w:rPr>
            </w:pPr>
          </w:p>
        </w:tc>
        <w:tc>
          <w:tcPr>
            <w:tcW w:w="52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(12,114)</w:t>
            </w:r>
          </w:p>
        </w:tc>
        <w:tc>
          <w:tcPr>
            <w:tcW w:w="1200" w:type="dxa"/>
            <w:vAlign w:val="bottom"/>
          </w:tcPr>
          <w:p>
            <w:pPr>
              <w:jc w:val="right"/>
              <w:ind w:right="175"/>
              <w:spacing w:after="0"/>
              <w:rPr>
                <w:sz w:val="20"/>
                <w:szCs w:val="20"/>
                <w:color w:val="auto"/>
              </w:rPr>
            </w:pPr>
            <w:r>
              <w:rPr>
                <w:rFonts w:ascii="Arial" w:cs="Arial" w:eastAsia="Arial" w:hAnsi="Arial"/>
                <w:sz w:val="13"/>
                <w:szCs w:val="13"/>
                <w:color w:val="auto"/>
              </w:rPr>
              <w:t>59,346</w:t>
            </w:r>
          </w:p>
        </w:tc>
        <w:tc>
          <w:tcPr>
            <w:tcW w:w="1160" w:type="dxa"/>
            <w:vAlign w:val="bottom"/>
          </w:tcPr>
          <w:p>
            <w:pPr>
              <w:jc w:val="right"/>
              <w:ind w:right="135"/>
              <w:spacing w:after="0"/>
              <w:rPr>
                <w:sz w:val="20"/>
                <w:szCs w:val="20"/>
                <w:color w:val="auto"/>
              </w:rPr>
            </w:pPr>
            <w:r>
              <w:rPr>
                <w:rFonts w:ascii="Arial" w:cs="Arial" w:eastAsia="Arial" w:hAnsi="Arial"/>
                <w:sz w:val="13"/>
                <w:szCs w:val="13"/>
                <w:color w:val="auto"/>
              </w:rPr>
              <w:t>(52,716)</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3,521</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(9,574)</w:t>
            </w:r>
          </w:p>
        </w:tc>
      </w:tr>
      <w:tr>
        <w:trPr>
          <w:trHeight w:val="708"/>
        </w:trPr>
        <w:tc>
          <w:tcPr>
            <w:tcW w:w="1320" w:type="dxa"/>
            <w:vAlign w:val="bottom"/>
          </w:tcPr>
          <w:p>
            <w:pPr>
              <w:jc w:val="right"/>
              <w:ind w:right="135"/>
              <w:spacing w:after="0"/>
              <w:rPr>
                <w:sz w:val="20"/>
                <w:szCs w:val="20"/>
                <w:color w:val="auto"/>
              </w:rPr>
            </w:pPr>
            <w:r>
              <w:rPr>
                <w:rFonts w:ascii="Arial" w:cs="Arial" w:eastAsia="Arial" w:hAnsi="Arial"/>
                <w:sz w:val="13"/>
                <w:szCs w:val="13"/>
                <w:color w:val="auto"/>
              </w:rPr>
              <w:t>885,524</w:t>
            </w:r>
          </w:p>
        </w:tc>
        <w:tc>
          <w:tcPr>
            <w:tcW w:w="660" w:type="dxa"/>
            <w:vAlign w:val="bottom"/>
          </w:tcPr>
          <w:p>
            <w:pPr>
              <w:spacing w:after="0"/>
              <w:rPr>
                <w:sz w:val="24"/>
                <w:szCs w:val="24"/>
                <w:color w:val="auto"/>
              </w:rPr>
            </w:pPr>
          </w:p>
        </w:tc>
        <w:tc>
          <w:tcPr>
            <w:tcW w:w="52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5"/>
              <w:spacing w:after="0"/>
              <w:rPr>
                <w:sz w:val="20"/>
                <w:szCs w:val="20"/>
                <w:color w:val="auto"/>
              </w:rPr>
            </w:pPr>
            <w:r>
              <w:rPr>
                <w:rFonts w:ascii="Arial" w:cs="Arial" w:eastAsia="Arial" w:hAnsi="Arial"/>
                <w:sz w:val="13"/>
                <w:szCs w:val="13"/>
                <w:color w:val="auto"/>
              </w:rPr>
              <w:t>2,270</w:t>
            </w:r>
          </w:p>
        </w:tc>
        <w:tc>
          <w:tcPr>
            <w:tcW w:w="120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887,794</w:t>
            </w:r>
          </w:p>
        </w:tc>
      </w:tr>
      <w:tr>
        <w:trPr>
          <w:trHeight w:val="154"/>
        </w:trPr>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(34,505)</w:t>
            </w:r>
          </w:p>
        </w:tc>
        <w:tc>
          <w:tcPr>
            <w:tcW w:w="6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(21)</w:t>
            </w:r>
          </w:p>
        </w:tc>
        <w:tc>
          <w:tcPr>
            <w:tcW w:w="12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(367,754)</w:t>
            </w: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(402,280)</w:t>
            </w:r>
          </w:p>
        </w:tc>
      </w:tr>
      <w:tr>
        <w:trPr>
          <w:trHeight w:val="139"/>
        </w:trPr>
        <w:tc>
          <w:tcPr>
            <w:tcW w:w="132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color w:val="auto"/>
              </w:rPr>
              <w:t>851,019</w:t>
            </w:r>
          </w:p>
        </w:tc>
        <w:tc>
          <w:tcPr>
            <w:tcW w:w="6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5"/>
              <w:spacing w:after="0" w:line="139" w:lineRule="exact"/>
              <w:rPr>
                <w:sz w:val="20"/>
                <w:szCs w:val="20"/>
                <w:color w:val="auto"/>
              </w:rPr>
            </w:pPr>
            <w:r>
              <w:rPr>
                <w:rFonts w:ascii="Arial" w:cs="Arial" w:eastAsia="Arial" w:hAnsi="Arial"/>
                <w:sz w:val="13"/>
                <w:szCs w:val="13"/>
                <w:color w:val="auto"/>
              </w:rPr>
              <w:t>(21)</w:t>
            </w:r>
          </w:p>
        </w:tc>
        <w:tc>
          <w:tcPr>
            <w:tcW w:w="1240" w:type="dxa"/>
            <w:vAlign w:val="bottom"/>
            <w:tcBorders>
              <w:bottom w:val="single" w:sz="8" w:color="auto"/>
            </w:tcBorders>
          </w:tcPr>
          <w:p>
            <w:pPr>
              <w:jc w:val="right"/>
              <w:ind w:right="195"/>
              <w:spacing w:after="0" w:line="139" w:lineRule="exact"/>
              <w:rPr>
                <w:sz w:val="20"/>
                <w:szCs w:val="20"/>
                <w:color w:val="auto"/>
              </w:rPr>
            </w:pPr>
            <w:r>
              <w:rPr>
                <w:rFonts w:ascii="Arial" w:cs="Arial" w:eastAsia="Arial" w:hAnsi="Arial"/>
                <w:sz w:val="13"/>
                <w:szCs w:val="13"/>
                <w:color w:val="auto"/>
              </w:rPr>
              <w:t>(365,484)</w:t>
            </w:r>
          </w:p>
        </w:tc>
        <w:tc>
          <w:tcPr>
            <w:tcW w:w="1200" w:type="dxa"/>
            <w:vAlign w:val="bottom"/>
            <w:tcBorders>
              <w:bottom w:val="single" w:sz="8" w:color="auto"/>
            </w:tcBorders>
          </w:tcPr>
          <w:p>
            <w:pPr>
              <w:jc w:val="right"/>
              <w:ind w:right="175"/>
              <w:spacing w:after="0" w:line="139"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485,514</w:t>
            </w:r>
          </w:p>
        </w:tc>
      </w:tr>
      <w:tr>
        <w:trPr>
          <w:trHeight w:val="143"/>
        </w:trPr>
        <w:tc>
          <w:tcPr>
            <w:tcW w:w="132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321,373</w:t>
            </w:r>
          </w:p>
        </w:tc>
        <w:tc>
          <w:tcPr>
            <w:tcW w:w="6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5"/>
              <w:spacing w:after="0" w:line="139" w:lineRule="exact"/>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tcPr>
          <w:p>
            <w:pPr>
              <w:jc w:val="right"/>
              <w:ind w:right="195"/>
              <w:spacing w:after="0" w:line="139" w:lineRule="exact"/>
              <w:rPr>
                <w:sz w:val="20"/>
                <w:szCs w:val="20"/>
                <w:color w:val="auto"/>
              </w:rPr>
            </w:pPr>
            <w:r>
              <w:rPr>
                <w:rFonts w:ascii="Arial" w:cs="Arial" w:eastAsia="Arial" w:hAnsi="Arial"/>
                <w:sz w:val="13"/>
                <w:szCs w:val="13"/>
                <w:b w:val="1"/>
                <w:bCs w:val="1"/>
                <w:color w:val="auto"/>
              </w:rPr>
              <w:t>834,790</w:t>
            </w:r>
          </w:p>
        </w:tc>
        <w:tc>
          <w:tcPr>
            <w:tcW w:w="1200" w:type="dxa"/>
            <w:vAlign w:val="bottom"/>
            <w:tcBorders>
              <w:bottom w:val="single" w:sz="8" w:color="auto"/>
            </w:tcBorders>
          </w:tcPr>
          <w:p>
            <w:pPr>
              <w:jc w:val="right"/>
              <w:ind w:right="175"/>
              <w:spacing w:after="0" w:line="139" w:lineRule="exact"/>
              <w:rPr>
                <w:sz w:val="20"/>
                <w:szCs w:val="20"/>
                <w:color w:val="auto"/>
              </w:rPr>
            </w:pPr>
            <w:r>
              <w:rPr>
                <w:rFonts w:ascii="Arial" w:cs="Arial" w:eastAsia="Arial" w:hAnsi="Arial"/>
                <w:sz w:val="13"/>
                <w:szCs w:val="13"/>
                <w:b w:val="1"/>
                <w:bCs w:val="1"/>
                <w:color w:val="auto"/>
              </w:rPr>
              <w:t>170,310</w:t>
            </w:r>
          </w:p>
        </w:tc>
        <w:tc>
          <w:tcPr>
            <w:tcW w:w="116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b w:val="1"/>
                <w:bCs w:val="1"/>
                <w:color w:val="auto"/>
              </w:rPr>
              <w:t>(471,933)</w:t>
            </w:r>
          </w:p>
        </w:tc>
        <w:tc>
          <w:tcPr>
            <w:tcW w:w="98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17,506</w:t>
            </w:r>
          </w:p>
        </w:tc>
        <w:tc>
          <w:tcPr>
            <w:tcW w:w="920" w:type="dxa"/>
            <w:vAlign w:val="bottom"/>
            <w:tcBorders>
              <w:bottom w:val="single" w:sz="8" w:color="auto"/>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872,046</w:t>
            </w:r>
          </w:p>
        </w:tc>
      </w:tr>
    </w:tbl>
    <w:p>
      <w:pPr>
        <w:spacing w:after="0" w:line="142" w:lineRule="exact"/>
        <w:rPr>
          <w:sz w:val="20"/>
          <w:szCs w:val="20"/>
          <w:color w:val="auto"/>
        </w:rPr>
      </w:pPr>
    </w:p>
    <w:p>
      <w:pPr>
        <w:sectPr>
          <w:pgSz w:w="11900" w:h="16838" w:orient="portrait"/>
          <w:cols w:equalWidth="0" w:num="2">
            <w:col w:w="2942" w:space="60"/>
            <w:col w:w="8000"/>
          </w:cols>
          <w:pgMar w:left="318" w:top="124" w:right="579" w:bottom="1440" w:gutter="0" w:footer="0" w:header="0"/>
          <w:type w:val="continuous"/>
        </w:sectPr>
      </w:pPr>
    </w:p>
    <w:p>
      <w:pPr>
        <w:jc w:val="center"/>
        <w:ind w:right="-261"/>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002"/>
          </w:cols>
          <w:pgMar w:left="318" w:top="124" w:right="57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54"/>
        </w:trPr>
        <w:tc>
          <w:tcPr>
            <w:tcW w:w="1700" w:type="dxa"/>
            <w:vAlign w:val="bottom"/>
          </w:tcPr>
          <w:p>
            <w:pPr>
              <w:spacing w:after="0"/>
              <w:rPr>
                <w:sz w:val="13"/>
                <w:szCs w:val="13"/>
                <w:color w:val="auto"/>
              </w:rPr>
            </w:pPr>
          </w:p>
        </w:tc>
        <w:tc>
          <w:tcPr>
            <w:tcW w:w="2580" w:type="dxa"/>
            <w:vAlign w:val="bottom"/>
            <w:gridSpan w:val="3"/>
          </w:tcPr>
          <w:p>
            <w:pPr>
              <w:ind w:left="100"/>
              <w:spacing w:after="0"/>
              <w:rPr>
                <w:sz w:val="20"/>
                <w:szCs w:val="20"/>
                <w:color w:val="auto"/>
              </w:rPr>
            </w:pPr>
            <w:r>
              <w:rPr>
                <w:rFonts w:ascii="Arial" w:cs="Arial" w:eastAsia="Arial" w:hAnsi="Arial"/>
                <w:sz w:val="13"/>
                <w:szCs w:val="13"/>
                <w:b w:val="1"/>
                <w:bCs w:val="1"/>
                <w:color w:val="auto"/>
              </w:rPr>
              <w:t>As of December 31, 2022</w:t>
            </w: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ind w:left="120"/>
              <w:spacing w:after="0"/>
              <w:rPr>
                <w:sz w:val="20"/>
                <w:szCs w:val="20"/>
                <w:color w:val="auto"/>
              </w:rPr>
            </w:pPr>
            <w:r>
              <w:rPr>
                <w:rFonts w:ascii="Arial" w:cs="Arial" w:eastAsia="Arial" w:hAnsi="Arial"/>
                <w:sz w:val="13"/>
                <w:szCs w:val="13"/>
                <w:b w:val="1"/>
                <w:bCs w:val="1"/>
                <w:color w:val="auto"/>
              </w:rPr>
              <w:t>Assets for</w:t>
            </w:r>
          </w:p>
        </w:tc>
        <w:tc>
          <w:tcPr>
            <w:tcW w:w="11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Assets for</w:t>
            </w: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Accounts</w:t>
            </w:r>
          </w:p>
        </w:tc>
        <w:tc>
          <w:tcPr>
            <w:tcW w:w="12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ind w:left="120"/>
              <w:spacing w:after="0" w:line="147" w:lineRule="exact"/>
              <w:rPr>
                <w:sz w:val="20"/>
                <w:szCs w:val="20"/>
                <w:color w:val="auto"/>
              </w:rPr>
            </w:pPr>
            <w:r>
              <w:rPr>
                <w:rFonts w:ascii="Arial" w:cs="Arial" w:eastAsia="Arial" w:hAnsi="Arial"/>
                <w:sz w:val="13"/>
                <w:szCs w:val="13"/>
                <w:b w:val="1"/>
                <w:bCs w:val="1"/>
                <w:color w:val="auto"/>
              </w:rPr>
              <w:t>incurred claims</w:t>
            </w:r>
          </w:p>
        </w:tc>
        <w:tc>
          <w:tcPr>
            <w:tcW w:w="1120" w:type="dxa"/>
            <w:vAlign w:val="bottom"/>
          </w:tcPr>
          <w:p>
            <w:pPr>
              <w:spacing w:after="0" w:line="147" w:lineRule="exact"/>
              <w:rPr>
                <w:sz w:val="20"/>
                <w:szCs w:val="20"/>
                <w:color w:val="auto"/>
              </w:rPr>
            </w:pPr>
            <w:r>
              <w:rPr>
                <w:rFonts w:ascii="Arial" w:cs="Arial" w:eastAsia="Arial" w:hAnsi="Arial"/>
                <w:sz w:val="13"/>
                <w:szCs w:val="13"/>
                <w:b w:val="1"/>
                <w:bCs w:val="1"/>
                <w:color w:val="auto"/>
              </w:rPr>
              <w:t>incurred claims</w:t>
            </w:r>
          </w:p>
        </w:tc>
        <w:tc>
          <w:tcPr>
            <w:tcW w:w="1240" w:type="dxa"/>
            <w:vAlign w:val="bottom"/>
          </w:tcPr>
          <w:p>
            <w:pPr>
              <w:ind w:left="100"/>
              <w:spacing w:after="0" w:line="147" w:lineRule="exact"/>
              <w:rPr>
                <w:sz w:val="20"/>
                <w:szCs w:val="20"/>
                <w:color w:val="auto"/>
              </w:rPr>
            </w:pPr>
            <w:r>
              <w:rPr>
                <w:rFonts w:ascii="Arial" w:cs="Arial" w:eastAsia="Arial" w:hAnsi="Arial"/>
                <w:sz w:val="13"/>
                <w:szCs w:val="13"/>
                <w:b w:val="1"/>
                <w:bCs w:val="1"/>
                <w:color w:val="auto"/>
              </w:rPr>
              <w:t>receivable from</w:t>
            </w:r>
          </w:p>
        </w:tc>
        <w:tc>
          <w:tcPr>
            <w:tcW w:w="1280" w:type="dxa"/>
            <w:vAlign w:val="bottom"/>
          </w:tcPr>
          <w:p>
            <w:pPr>
              <w:ind w:left="100"/>
              <w:spacing w:after="0" w:line="147" w:lineRule="exact"/>
              <w:rPr>
                <w:sz w:val="20"/>
                <w:szCs w:val="20"/>
                <w:color w:val="auto"/>
              </w:rPr>
            </w:pPr>
            <w:r>
              <w:rPr>
                <w:rFonts w:ascii="Arial" w:cs="Arial" w:eastAsia="Arial" w:hAnsi="Arial"/>
                <w:sz w:val="13"/>
                <w:szCs w:val="13"/>
                <w:b w:val="1"/>
                <w:bCs w:val="1"/>
                <w:color w:val="auto"/>
              </w:rPr>
              <w:t>Accounts payable</w:t>
            </w: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1220" w:type="dxa"/>
            <w:vAlign w:val="bottom"/>
            <w:gridSpan w:val="2"/>
          </w:tcPr>
          <w:p>
            <w:pPr>
              <w:ind w:left="100"/>
              <w:spacing w:after="0" w:line="147" w:lineRule="exact"/>
              <w:rPr>
                <w:sz w:val="20"/>
                <w:szCs w:val="20"/>
                <w:color w:val="auto"/>
              </w:rPr>
            </w:pPr>
            <w:r>
              <w:rPr>
                <w:rFonts w:ascii="Arial" w:cs="Arial" w:eastAsia="Arial" w:hAnsi="Arial"/>
                <w:sz w:val="13"/>
                <w:szCs w:val="13"/>
                <w:b w:val="1"/>
                <w:bCs w:val="1"/>
                <w:color w:val="auto"/>
              </w:rPr>
              <w:t>Remaining</w:t>
            </w:r>
          </w:p>
        </w:tc>
        <w:tc>
          <w:tcPr>
            <w:tcW w:w="1360" w:type="dxa"/>
            <w:vAlign w:val="bottom"/>
          </w:tcPr>
          <w:p>
            <w:pPr>
              <w:ind w:left="120"/>
              <w:spacing w:after="0" w:line="147" w:lineRule="exact"/>
              <w:rPr>
                <w:sz w:val="20"/>
                <w:szCs w:val="20"/>
                <w:color w:val="auto"/>
              </w:rPr>
            </w:pPr>
            <w:r>
              <w:rPr>
                <w:rFonts w:ascii="Arial" w:cs="Arial" w:eastAsia="Arial" w:hAnsi="Arial"/>
                <w:sz w:val="13"/>
                <w:szCs w:val="13"/>
                <w:b w:val="1"/>
                <w:bCs w:val="1"/>
                <w:color w:val="auto"/>
              </w:rPr>
              <w:t>for contracts not</w:t>
            </w:r>
          </w:p>
        </w:tc>
        <w:tc>
          <w:tcPr>
            <w:tcW w:w="1120" w:type="dxa"/>
            <w:vAlign w:val="bottom"/>
          </w:tcPr>
          <w:p>
            <w:pPr>
              <w:spacing w:after="0" w:line="147" w:lineRule="exact"/>
              <w:rPr>
                <w:sz w:val="20"/>
                <w:szCs w:val="20"/>
                <w:color w:val="auto"/>
              </w:rPr>
            </w:pPr>
            <w:r>
              <w:rPr>
                <w:rFonts w:ascii="Arial" w:cs="Arial" w:eastAsia="Arial" w:hAnsi="Arial"/>
                <w:sz w:val="13"/>
                <w:szCs w:val="13"/>
                <w:b w:val="1"/>
                <w:bCs w:val="1"/>
                <w:color w:val="auto"/>
              </w:rPr>
              <w:t>for contracts</w:t>
            </w:r>
          </w:p>
        </w:tc>
        <w:tc>
          <w:tcPr>
            <w:tcW w:w="1240" w:type="dxa"/>
            <w:vAlign w:val="bottom"/>
          </w:tcPr>
          <w:p>
            <w:pPr>
              <w:ind w:left="100"/>
              <w:spacing w:after="0" w:line="147" w:lineRule="exact"/>
              <w:rPr>
                <w:sz w:val="20"/>
                <w:szCs w:val="20"/>
                <w:color w:val="auto"/>
              </w:rPr>
            </w:pPr>
            <w:r>
              <w:rPr>
                <w:rFonts w:ascii="Arial" w:cs="Arial" w:eastAsia="Arial" w:hAnsi="Arial"/>
                <w:sz w:val="13"/>
                <w:szCs w:val="13"/>
                <w:b w:val="1"/>
                <w:bCs w:val="1"/>
                <w:color w:val="auto"/>
              </w:rPr>
              <w:t>reinsurers and</w:t>
            </w:r>
          </w:p>
        </w:tc>
        <w:tc>
          <w:tcPr>
            <w:tcW w:w="1280" w:type="dxa"/>
            <w:vAlign w:val="bottom"/>
          </w:tcPr>
          <w:p>
            <w:pPr>
              <w:ind w:left="100"/>
              <w:spacing w:after="0" w:line="147" w:lineRule="exact"/>
              <w:rPr>
                <w:sz w:val="20"/>
                <w:szCs w:val="20"/>
                <w:color w:val="auto"/>
              </w:rPr>
            </w:pPr>
            <w:r>
              <w:rPr>
                <w:rFonts w:ascii="Arial" w:cs="Arial" w:eastAsia="Arial" w:hAnsi="Arial"/>
                <w:sz w:val="13"/>
                <w:szCs w:val="13"/>
                <w:b w:val="1"/>
                <w:bCs w:val="1"/>
                <w:color w:val="auto"/>
              </w:rPr>
              <w:t>to reinsurers and</w:t>
            </w:r>
          </w:p>
        </w:tc>
        <w:tc>
          <w:tcPr>
            <w:tcW w:w="106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Excess of loss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coverage assets</w:t>
            </w:r>
          </w:p>
        </w:tc>
        <w:tc>
          <w:tcPr>
            <w:tcW w:w="1360" w:type="dxa"/>
            <w:vAlign w:val="bottom"/>
          </w:tcPr>
          <w:p>
            <w:pPr>
              <w:ind w:left="120"/>
              <w:spacing w:after="0"/>
              <w:rPr>
                <w:sz w:val="20"/>
                <w:szCs w:val="20"/>
                <w:color w:val="auto"/>
              </w:rPr>
            </w:pPr>
            <w:r>
              <w:rPr>
                <w:rFonts w:ascii="Arial" w:cs="Arial" w:eastAsia="Arial" w:hAnsi="Arial"/>
                <w:sz w:val="13"/>
                <w:szCs w:val="13"/>
                <w:b w:val="1"/>
                <w:bCs w:val="1"/>
                <w:color w:val="auto"/>
              </w:rPr>
              <w:t>measured by PAA</w:t>
            </w: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measured by PAA</w:t>
            </w:r>
          </w:p>
        </w:tc>
        <w:tc>
          <w:tcPr>
            <w:tcW w:w="1240" w:type="dxa"/>
            <w:vAlign w:val="bottom"/>
          </w:tcPr>
          <w:p>
            <w:pPr>
              <w:ind w:left="100"/>
              <w:spacing w:after="0"/>
              <w:rPr>
                <w:sz w:val="20"/>
                <w:szCs w:val="20"/>
                <w:color w:val="auto"/>
              </w:rPr>
            </w:pPr>
            <w:r>
              <w:rPr>
                <w:rFonts w:ascii="Arial" w:cs="Arial" w:eastAsia="Arial" w:hAnsi="Arial"/>
                <w:sz w:val="13"/>
                <w:szCs w:val="13"/>
                <w:b w:val="1"/>
                <w:bCs w:val="1"/>
                <w:color w:val="auto"/>
              </w:rPr>
              <w:t>co-insurers</w:t>
            </w:r>
          </w:p>
        </w:tc>
        <w:tc>
          <w:tcPr>
            <w:tcW w:w="1280" w:type="dxa"/>
            <w:vAlign w:val="bottom"/>
          </w:tcPr>
          <w:p>
            <w:pPr>
              <w:ind w:left="100"/>
              <w:spacing w:after="0"/>
              <w:rPr>
                <w:sz w:val="20"/>
                <w:szCs w:val="20"/>
                <w:color w:val="auto"/>
              </w:rPr>
            </w:pPr>
            <w:r>
              <w:rPr>
                <w:rFonts w:ascii="Arial" w:cs="Arial" w:eastAsia="Arial" w:hAnsi="Arial"/>
                <w:sz w:val="13"/>
                <w:szCs w:val="13"/>
                <w:b w:val="1"/>
                <w:bCs w:val="1"/>
                <w:color w:val="auto"/>
              </w:rPr>
              <w:t>co-insurers</w:t>
            </w:r>
          </w:p>
        </w:tc>
        <w:tc>
          <w:tcPr>
            <w:tcW w:w="1060" w:type="dxa"/>
            <w:vAlign w:val="bottom"/>
          </w:tcPr>
          <w:p>
            <w:pPr>
              <w:ind w:left="60"/>
              <w:spacing w:after="0"/>
              <w:rPr>
                <w:sz w:val="20"/>
                <w:szCs w:val="20"/>
                <w:color w:val="auto"/>
              </w:rPr>
            </w:pPr>
            <w:r>
              <w:rPr>
                <w:rFonts w:ascii="Arial" w:cs="Arial" w:eastAsia="Arial" w:hAnsi="Arial"/>
                <w:sz w:val="13"/>
                <w:szCs w:val="13"/>
                <w:b w:val="1"/>
                <w:bCs w:val="1"/>
                <w:color w:val="auto"/>
              </w:rPr>
              <w:t>contracts</w:t>
            </w:r>
          </w:p>
        </w:tc>
        <w:tc>
          <w:tcPr>
            <w:tcW w:w="1140" w:type="dxa"/>
            <w:vAlign w:val="bottom"/>
          </w:tcPr>
          <w:p>
            <w:pPr>
              <w:jc w:val="right"/>
              <w:ind w:right="65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20" w:type="dxa"/>
            <w:vAlign w:val="bottom"/>
          </w:tcPr>
          <w:p>
            <w:pPr>
              <w:spacing w:after="0" w:line="131" w:lineRule="exact"/>
              <w:rPr>
                <w:sz w:val="20"/>
                <w:szCs w:val="20"/>
                <w:color w:val="auto"/>
              </w:rPr>
            </w:pPr>
            <w:r>
              <w:rPr>
                <w:rFonts w:ascii="Arial" w:cs="Arial" w:eastAsia="Arial" w:hAnsi="Arial"/>
                <w:sz w:val="13"/>
                <w:szCs w:val="13"/>
                <w:b w:val="1"/>
                <w:bCs w:val="1"/>
                <w:color w:val="auto"/>
              </w:rPr>
              <w:t>Present value of</w:t>
            </w:r>
          </w:p>
        </w:tc>
        <w:tc>
          <w:tcPr>
            <w:tcW w:w="1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future cash flows</w:t>
            </w:r>
          </w:p>
        </w:tc>
        <w:tc>
          <w:tcPr>
            <w:tcW w:w="1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335"/>
              <w:spacing w:after="0" w:line="131" w:lineRule="exact"/>
              <w:rPr>
                <w:sz w:val="20"/>
                <w:szCs w:val="20"/>
                <w:color w:val="auto"/>
              </w:rPr>
            </w:pPr>
            <w:r>
              <w:rPr>
                <w:rFonts w:ascii="Arial" w:cs="Arial" w:eastAsia="Arial" w:hAnsi="Arial"/>
                <w:sz w:val="13"/>
                <w:szCs w:val="13"/>
                <w:b w:val="1"/>
                <w:bCs w:val="1"/>
                <w:color w:val="auto"/>
              </w:rPr>
              <w:t>S/(000)</w:t>
            </w:r>
          </w:p>
        </w:tc>
        <w:tc>
          <w:tcPr>
            <w:tcW w:w="1360" w:type="dxa"/>
            <w:vAlign w:val="bottom"/>
          </w:tcPr>
          <w:p>
            <w:pPr>
              <w:jc w:val="right"/>
              <w:ind w:right="455"/>
              <w:spacing w:after="0" w:line="131" w:lineRule="exact"/>
              <w:rPr>
                <w:sz w:val="20"/>
                <w:szCs w:val="20"/>
                <w:color w:val="auto"/>
              </w:rPr>
            </w:pPr>
            <w:r>
              <w:rPr>
                <w:rFonts w:ascii="Arial" w:cs="Arial" w:eastAsia="Arial" w:hAnsi="Arial"/>
                <w:sz w:val="13"/>
                <w:szCs w:val="13"/>
                <w:b w:val="1"/>
                <w:bCs w:val="1"/>
                <w:color w:val="auto"/>
              </w:rPr>
              <w:t>S/(000)</w:t>
            </w:r>
          </w:p>
        </w:tc>
        <w:tc>
          <w:tcPr>
            <w:tcW w:w="1120" w:type="dxa"/>
            <w:vAlign w:val="bottom"/>
          </w:tcPr>
          <w:p>
            <w:pPr>
              <w:jc w:val="right"/>
              <w:ind w:right="335"/>
              <w:spacing w:after="0" w:line="131" w:lineRule="exact"/>
              <w:rPr>
                <w:sz w:val="20"/>
                <w:szCs w:val="20"/>
                <w:color w:val="auto"/>
              </w:rPr>
            </w:pPr>
            <w:r>
              <w:rPr>
                <w:rFonts w:ascii="Arial" w:cs="Arial" w:eastAsia="Arial" w:hAnsi="Arial"/>
                <w:sz w:val="13"/>
                <w:szCs w:val="13"/>
                <w:b w:val="1"/>
                <w:bCs w:val="1"/>
                <w:color w:val="auto"/>
              </w:rPr>
              <w:t>S/(000)</w:t>
            </w:r>
          </w:p>
        </w:tc>
        <w:tc>
          <w:tcPr>
            <w:tcW w:w="1240" w:type="dxa"/>
            <w:vAlign w:val="bottom"/>
          </w:tcPr>
          <w:p>
            <w:pPr>
              <w:jc w:val="right"/>
              <w:ind w:right="355"/>
              <w:spacing w:after="0" w:line="131" w:lineRule="exact"/>
              <w:rPr>
                <w:sz w:val="20"/>
                <w:szCs w:val="20"/>
                <w:color w:val="auto"/>
              </w:rPr>
            </w:pPr>
            <w:r>
              <w:rPr>
                <w:rFonts w:ascii="Arial" w:cs="Arial" w:eastAsia="Arial" w:hAnsi="Arial"/>
                <w:sz w:val="13"/>
                <w:szCs w:val="13"/>
                <w:b w:val="1"/>
                <w:bCs w:val="1"/>
                <w:color w:val="auto"/>
              </w:rPr>
              <w:t>S/(000)</w:t>
            </w:r>
          </w:p>
        </w:tc>
        <w:tc>
          <w:tcPr>
            <w:tcW w:w="1280" w:type="dxa"/>
            <w:vAlign w:val="bottom"/>
          </w:tcPr>
          <w:p>
            <w:pPr>
              <w:jc w:val="right"/>
              <w:ind w:right="395"/>
              <w:spacing w:after="0" w:line="131" w:lineRule="exact"/>
              <w:rPr>
                <w:sz w:val="20"/>
                <w:szCs w:val="20"/>
                <w:color w:val="auto"/>
              </w:rPr>
            </w:pPr>
            <w:r>
              <w:rPr>
                <w:rFonts w:ascii="Arial" w:cs="Arial" w:eastAsia="Arial" w:hAnsi="Arial"/>
                <w:sz w:val="13"/>
                <w:szCs w:val="13"/>
                <w:b w:val="1"/>
                <w:bCs w:val="1"/>
                <w:color w:val="auto"/>
              </w:rPr>
              <w:t>S/(000)</w:t>
            </w:r>
          </w:p>
        </w:tc>
        <w:tc>
          <w:tcPr>
            <w:tcW w:w="1060" w:type="dxa"/>
            <w:vAlign w:val="bottom"/>
          </w:tcPr>
          <w:p>
            <w:pPr>
              <w:jc w:val="right"/>
              <w:ind w:right="275"/>
              <w:spacing w:after="0" w:line="131" w:lineRule="exact"/>
              <w:rPr>
                <w:sz w:val="20"/>
                <w:szCs w:val="20"/>
                <w:color w:val="auto"/>
              </w:rPr>
            </w:pPr>
            <w:r>
              <w:rPr>
                <w:rFonts w:ascii="Arial" w:cs="Arial" w:eastAsia="Arial" w:hAnsi="Arial"/>
                <w:sz w:val="13"/>
                <w:szCs w:val="13"/>
                <w:b w:val="1"/>
                <w:bCs w:val="1"/>
                <w:color w:val="auto"/>
              </w:rPr>
              <w:t>S/(000)</w:t>
            </w:r>
          </w:p>
        </w:tc>
        <w:tc>
          <w:tcPr>
            <w:tcW w:w="1140" w:type="dxa"/>
            <w:vAlign w:val="bottom"/>
          </w:tcPr>
          <w:p>
            <w:pPr>
              <w:jc w:val="right"/>
              <w:ind w:right="295"/>
              <w:spacing w:after="0" w:line="131" w:lineRule="exact"/>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b w:val="1"/>
                <w:bCs w:val="1"/>
                <w:color w:val="auto"/>
              </w:rPr>
              <w:t>Balances as of January 1</w:t>
            </w:r>
          </w:p>
        </w:tc>
        <w:tc>
          <w:tcPr>
            <w:tcW w:w="1220" w:type="dxa"/>
            <w:vAlign w:val="bottom"/>
            <w:gridSpan w:val="2"/>
          </w:tcPr>
          <w:p>
            <w:pPr>
              <w:jc w:val="right"/>
              <w:ind w:right="35"/>
              <w:spacing w:after="0" w:line="147" w:lineRule="exact"/>
              <w:rPr>
                <w:sz w:val="20"/>
                <w:szCs w:val="20"/>
                <w:color w:val="auto"/>
              </w:rPr>
            </w:pPr>
            <w:r>
              <w:rPr>
                <w:rFonts w:ascii="Arial" w:cs="Arial" w:eastAsia="Arial" w:hAnsi="Arial"/>
                <w:sz w:val="13"/>
                <w:szCs w:val="13"/>
                <w:color w:val="auto"/>
              </w:rPr>
              <w:t>322,427</w:t>
            </w:r>
          </w:p>
        </w:tc>
        <w:tc>
          <w:tcPr>
            <w:tcW w:w="1360" w:type="dxa"/>
            <w:vAlign w:val="bottom"/>
          </w:tcPr>
          <w:p>
            <w:pPr>
              <w:jc w:val="right"/>
              <w:ind w:right="155"/>
              <w:spacing w:after="0" w:line="147"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746,346</w:t>
            </w:r>
          </w:p>
        </w:tc>
        <w:tc>
          <w:tcPr>
            <w:tcW w:w="12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194,365</w:t>
            </w:r>
          </w:p>
        </w:tc>
        <w:tc>
          <w:tcPr>
            <w:tcW w:w="1280" w:type="dxa"/>
            <w:vAlign w:val="bottom"/>
          </w:tcPr>
          <w:p>
            <w:pPr>
              <w:jc w:val="right"/>
              <w:ind w:right="95"/>
              <w:spacing w:after="0" w:line="147" w:lineRule="exact"/>
              <w:rPr>
                <w:sz w:val="20"/>
                <w:szCs w:val="20"/>
                <w:color w:val="auto"/>
              </w:rPr>
            </w:pPr>
            <w:r>
              <w:rPr>
                <w:rFonts w:ascii="Arial" w:cs="Arial" w:eastAsia="Arial" w:hAnsi="Arial"/>
                <w:sz w:val="13"/>
                <w:szCs w:val="13"/>
                <w:color w:val="auto"/>
              </w:rPr>
              <w:t>(463,886)</w:t>
            </w:r>
          </w:p>
        </w:tc>
        <w:tc>
          <w:tcPr>
            <w:tcW w:w="1060" w:type="dxa"/>
            <w:vAlign w:val="bottom"/>
          </w:tcPr>
          <w:p>
            <w:pPr>
              <w:jc w:val="right"/>
              <w:ind w:right="35"/>
              <w:spacing w:after="0" w:line="147" w:lineRule="exact"/>
              <w:rPr>
                <w:sz w:val="20"/>
                <w:szCs w:val="20"/>
                <w:color w:val="auto"/>
              </w:rPr>
            </w:pPr>
            <w:r>
              <w:rPr>
                <w:rFonts w:ascii="Arial" w:cs="Arial" w:eastAsia="Arial" w:hAnsi="Arial"/>
                <w:sz w:val="13"/>
                <w:szCs w:val="13"/>
                <w:color w:val="auto"/>
              </w:rPr>
              <w:t>13,214</w:t>
            </w:r>
          </w:p>
        </w:tc>
        <w:tc>
          <w:tcPr>
            <w:tcW w:w="11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812,466</w:t>
            </w: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Expenses incurred directly</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attributable</w:t>
            </w:r>
          </w:p>
        </w:tc>
        <w:tc>
          <w:tcPr>
            <w:tcW w:w="1220" w:type="dxa"/>
            <w:vAlign w:val="bottom"/>
            <w:gridSpan w:val="2"/>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1360" w:type="dxa"/>
            <w:vAlign w:val="bottom"/>
          </w:tcPr>
          <w:p>
            <w:pPr>
              <w:jc w:val="right"/>
              <w:ind w:right="155"/>
              <w:spacing w:after="0" w:line="147"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w:t>
            </w:r>
          </w:p>
        </w:tc>
        <w:tc>
          <w:tcPr>
            <w:tcW w:w="12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95"/>
              <w:spacing w:after="0" w:line="147"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Past Service Changes - LIC</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Adjustments</w:t>
            </w:r>
          </w:p>
        </w:tc>
        <w:tc>
          <w:tcPr>
            <w:tcW w:w="1220" w:type="dxa"/>
            <w:vAlign w:val="bottom"/>
            <w:gridSpan w:val="2"/>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1360" w:type="dxa"/>
            <w:vAlign w:val="bottom"/>
          </w:tcPr>
          <w:p>
            <w:pPr>
              <w:jc w:val="right"/>
              <w:ind w:right="155"/>
              <w:spacing w:after="0" w:line="147"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316,077</w:t>
            </w:r>
          </w:p>
        </w:tc>
        <w:tc>
          <w:tcPr>
            <w:tcW w:w="12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95"/>
              <w:spacing w:after="0" w:line="147"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316,077</w:t>
            </w: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Future Service Changes -</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Changes in the FCF that do</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not adjust the CSM for the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20"/>
                <w:szCs w:val="20"/>
                <w:color w:val="auto"/>
              </w:rPr>
            </w:pPr>
            <w:r>
              <w:rPr>
                <w:rFonts w:ascii="Arial" w:cs="Arial" w:eastAsia="Arial" w:hAnsi="Arial"/>
                <w:sz w:val="13"/>
                <w:szCs w:val="13"/>
                <w:color w:val="auto"/>
              </w:rPr>
              <w:t>underlying group of contracts</w:t>
            </w:r>
          </w:p>
        </w:tc>
        <w:tc>
          <w:tcPr>
            <w:tcW w:w="122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3"/>
                <w:szCs w:val="13"/>
                <w:color w:val="auto"/>
              </w:rPr>
              <w:t>1,033</w:t>
            </w:r>
          </w:p>
        </w:tc>
        <w:tc>
          <w:tcPr>
            <w:tcW w:w="136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1,033</w:t>
            </w:r>
          </w:p>
        </w:tc>
        <w:tc>
          <w:tcPr>
            <w:tcW w:w="0" w:type="dxa"/>
            <w:vAlign w:val="bottom"/>
          </w:tcPr>
          <w:p>
            <w:pPr>
              <w:spacing w:after="0"/>
              <w:rPr>
                <w:sz w:val="1"/>
                <w:szCs w:val="1"/>
                <w:color w:val="auto"/>
              </w:rPr>
            </w:pPr>
          </w:p>
        </w:tc>
      </w:tr>
      <w:tr>
        <w:trPr>
          <w:trHeight w:val="131"/>
        </w:trPr>
        <w:tc>
          <w:tcPr>
            <w:tcW w:w="1700" w:type="dxa"/>
            <w:vAlign w:val="bottom"/>
          </w:tcPr>
          <w:p>
            <w:pPr>
              <w:spacing w:after="0" w:line="131" w:lineRule="exact"/>
              <w:rPr>
                <w:sz w:val="20"/>
                <w:szCs w:val="20"/>
                <w:color w:val="auto"/>
              </w:rPr>
            </w:pPr>
            <w:r>
              <w:rPr>
                <w:rFonts w:ascii="Arial" w:cs="Arial" w:eastAsia="Arial" w:hAnsi="Arial"/>
                <w:sz w:val="13"/>
                <w:szCs w:val="13"/>
                <w:color w:val="auto"/>
              </w:rPr>
              <w:t>Reinsurance recoveries</w:t>
            </w:r>
          </w:p>
        </w:tc>
        <w:tc>
          <w:tcPr>
            <w:tcW w:w="1220" w:type="dxa"/>
            <w:vAlign w:val="bottom"/>
            <w:gridSpan w:val="2"/>
          </w:tcPr>
          <w:p>
            <w:pPr>
              <w:jc w:val="right"/>
              <w:ind w:right="35"/>
              <w:spacing w:after="0" w:line="131" w:lineRule="exact"/>
              <w:rPr>
                <w:sz w:val="20"/>
                <w:szCs w:val="20"/>
                <w:color w:val="auto"/>
              </w:rPr>
            </w:pPr>
            <w:r>
              <w:rPr>
                <w:rFonts w:ascii="Arial" w:cs="Arial" w:eastAsia="Arial" w:hAnsi="Arial"/>
                <w:sz w:val="13"/>
                <w:szCs w:val="13"/>
                <w:color w:val="auto"/>
              </w:rPr>
              <w:t>1,033</w:t>
            </w:r>
          </w:p>
        </w:tc>
        <w:tc>
          <w:tcPr>
            <w:tcW w:w="1360" w:type="dxa"/>
            <w:vAlign w:val="bottom"/>
          </w:tcPr>
          <w:p>
            <w:pPr>
              <w:jc w:val="right"/>
              <w:ind w:right="155"/>
              <w:spacing w:after="0" w:line="131"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55"/>
              <w:spacing w:after="0" w:line="131" w:lineRule="exact"/>
              <w:rPr>
                <w:sz w:val="20"/>
                <w:szCs w:val="20"/>
                <w:color w:val="auto"/>
              </w:rPr>
            </w:pPr>
            <w:r>
              <w:rPr>
                <w:rFonts w:ascii="Arial" w:cs="Arial" w:eastAsia="Arial" w:hAnsi="Arial"/>
                <w:sz w:val="13"/>
                <w:szCs w:val="13"/>
                <w:color w:val="auto"/>
              </w:rPr>
              <w:t>316,077</w:t>
            </w:r>
          </w:p>
        </w:tc>
        <w:tc>
          <w:tcPr>
            <w:tcW w:w="1240" w:type="dxa"/>
            <w:vAlign w:val="bottom"/>
          </w:tcPr>
          <w:p>
            <w:pPr>
              <w:jc w:val="right"/>
              <w:ind w:right="55"/>
              <w:spacing w:after="0" w:line="131"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95"/>
              <w:spacing w:after="0" w:line="131"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35"/>
              <w:spacing w:after="0" w:line="131"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line="131" w:lineRule="exact"/>
              <w:rPr>
                <w:sz w:val="20"/>
                <w:szCs w:val="20"/>
                <w:color w:val="auto"/>
              </w:rPr>
            </w:pPr>
            <w:r>
              <w:rPr>
                <w:rFonts w:ascii="Arial" w:cs="Arial" w:eastAsia="Arial" w:hAnsi="Arial"/>
                <w:sz w:val="13"/>
                <w:szCs w:val="13"/>
                <w:color w:val="auto"/>
              </w:rPr>
              <w:t>317,110</w:t>
            </w: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Expenses for assigning the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premiums paid to the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20"/>
                <w:szCs w:val="20"/>
                <w:color w:val="auto"/>
              </w:rPr>
            </w:pPr>
            <w:r>
              <w:rPr>
                <w:rFonts w:ascii="Arial" w:cs="Arial" w:eastAsia="Arial" w:hAnsi="Arial"/>
                <w:sz w:val="13"/>
                <w:szCs w:val="13"/>
                <w:color w:val="auto"/>
              </w:rPr>
              <w:t>reinsurer</w:t>
            </w:r>
          </w:p>
        </w:tc>
        <w:tc>
          <w:tcPr>
            <w:tcW w:w="122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3"/>
                <w:szCs w:val="13"/>
                <w:color w:val="auto"/>
              </w:rPr>
              <w:t>(775,719)</w:t>
            </w:r>
          </w:p>
        </w:tc>
        <w:tc>
          <w:tcPr>
            <w:tcW w:w="136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(2,290)</w:t>
            </w: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(778,009)</w:t>
            </w:r>
          </w:p>
        </w:tc>
        <w:tc>
          <w:tcPr>
            <w:tcW w:w="0" w:type="dxa"/>
            <w:vAlign w:val="bottom"/>
          </w:tcPr>
          <w:p>
            <w:pPr>
              <w:spacing w:after="0"/>
              <w:rPr>
                <w:sz w:val="1"/>
                <w:szCs w:val="1"/>
                <w:color w:val="auto"/>
              </w:rPr>
            </w:pPr>
          </w:p>
        </w:tc>
      </w:tr>
      <w:tr>
        <w:trPr>
          <w:trHeight w:val="119"/>
        </w:trPr>
        <w:tc>
          <w:tcPr>
            <w:tcW w:w="1700" w:type="dxa"/>
            <w:vAlign w:val="bottom"/>
          </w:tcPr>
          <w:p>
            <w:pPr>
              <w:spacing w:after="0" w:line="119" w:lineRule="exact"/>
              <w:rPr>
                <w:sz w:val="20"/>
                <w:szCs w:val="20"/>
                <w:color w:val="auto"/>
              </w:rPr>
            </w:pPr>
            <w:r>
              <w:rPr>
                <w:rFonts w:ascii="Arial" w:cs="Arial" w:eastAsia="Arial" w:hAnsi="Arial"/>
                <w:sz w:val="13"/>
                <w:szCs w:val="13"/>
                <w:b w:val="1"/>
                <w:bCs w:val="1"/>
                <w:color w:val="auto"/>
              </w:rPr>
              <w:t>Result of the reinsurance</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b w:val="1"/>
                <w:bCs w:val="1"/>
                <w:color w:val="auto"/>
              </w:rPr>
              <w:t>service</w:t>
            </w:r>
          </w:p>
        </w:tc>
        <w:tc>
          <w:tcPr>
            <w:tcW w:w="1220" w:type="dxa"/>
            <w:vAlign w:val="bottom"/>
            <w:gridSpan w:val="2"/>
          </w:tcPr>
          <w:p>
            <w:pPr>
              <w:jc w:val="right"/>
              <w:ind w:right="35"/>
              <w:spacing w:after="0" w:line="147" w:lineRule="exact"/>
              <w:rPr>
                <w:sz w:val="20"/>
                <w:szCs w:val="20"/>
                <w:color w:val="auto"/>
              </w:rPr>
            </w:pPr>
            <w:r>
              <w:rPr>
                <w:rFonts w:ascii="Arial" w:cs="Arial" w:eastAsia="Arial" w:hAnsi="Arial"/>
                <w:sz w:val="13"/>
                <w:szCs w:val="13"/>
                <w:color w:val="auto"/>
              </w:rPr>
              <w:t>(774,686)</w:t>
            </w:r>
          </w:p>
        </w:tc>
        <w:tc>
          <w:tcPr>
            <w:tcW w:w="1360" w:type="dxa"/>
            <w:vAlign w:val="bottom"/>
          </w:tcPr>
          <w:p>
            <w:pPr>
              <w:jc w:val="right"/>
              <w:ind w:right="155"/>
              <w:spacing w:after="0" w:line="147"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313,787</w:t>
            </w:r>
          </w:p>
        </w:tc>
        <w:tc>
          <w:tcPr>
            <w:tcW w:w="12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95"/>
              <w:spacing w:after="0" w:line="147"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(460,899)</w:t>
            </w: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Net financial expenses for</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reinsurance contracts</w:t>
            </w:r>
          </w:p>
        </w:tc>
        <w:tc>
          <w:tcPr>
            <w:tcW w:w="1220" w:type="dxa"/>
            <w:vAlign w:val="bottom"/>
            <w:gridSpan w:val="2"/>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1360" w:type="dxa"/>
            <w:vAlign w:val="bottom"/>
          </w:tcPr>
          <w:p>
            <w:pPr>
              <w:jc w:val="right"/>
              <w:ind w:right="155"/>
              <w:spacing w:after="0" w:line="147"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(18,608)</w:t>
            </w:r>
          </w:p>
        </w:tc>
        <w:tc>
          <w:tcPr>
            <w:tcW w:w="12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95"/>
              <w:spacing w:after="0" w:line="147"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(18,608)</w:t>
            </w: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Other changes</w:t>
            </w:r>
          </w:p>
        </w:tc>
        <w:tc>
          <w:tcPr>
            <w:tcW w:w="1220" w:type="dxa"/>
            <w:vAlign w:val="bottom"/>
            <w:gridSpan w:val="2"/>
          </w:tcPr>
          <w:p>
            <w:pPr>
              <w:jc w:val="right"/>
              <w:ind w:right="35"/>
              <w:spacing w:after="0" w:line="147" w:lineRule="exact"/>
              <w:rPr>
                <w:sz w:val="20"/>
                <w:szCs w:val="20"/>
                <w:color w:val="auto"/>
              </w:rPr>
            </w:pPr>
            <w:r>
              <w:rPr>
                <w:rFonts w:ascii="Arial" w:cs="Arial" w:eastAsia="Arial" w:hAnsi="Arial"/>
                <w:sz w:val="13"/>
                <w:szCs w:val="13"/>
                <w:color w:val="auto"/>
              </w:rPr>
              <w:t>(13,389)</w:t>
            </w:r>
          </w:p>
        </w:tc>
        <w:tc>
          <w:tcPr>
            <w:tcW w:w="1360" w:type="dxa"/>
            <w:vAlign w:val="bottom"/>
          </w:tcPr>
          <w:p>
            <w:pPr>
              <w:jc w:val="right"/>
              <w:ind w:right="155"/>
              <w:spacing w:after="0" w:line="147"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(17,298)</w:t>
            </w:r>
          </w:p>
        </w:tc>
        <w:tc>
          <w:tcPr>
            <w:tcW w:w="12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3,303</w:t>
            </w:r>
          </w:p>
        </w:tc>
        <w:tc>
          <w:tcPr>
            <w:tcW w:w="1280" w:type="dxa"/>
            <w:vAlign w:val="bottom"/>
          </w:tcPr>
          <w:p>
            <w:pPr>
              <w:jc w:val="right"/>
              <w:ind w:right="95"/>
              <w:spacing w:after="0" w:line="147" w:lineRule="exact"/>
              <w:rPr>
                <w:sz w:val="20"/>
                <w:szCs w:val="20"/>
                <w:color w:val="auto"/>
              </w:rPr>
            </w:pPr>
            <w:r>
              <w:rPr>
                <w:rFonts w:ascii="Arial" w:cs="Arial" w:eastAsia="Arial" w:hAnsi="Arial"/>
                <w:sz w:val="13"/>
                <w:szCs w:val="13"/>
                <w:color w:val="auto"/>
              </w:rPr>
              <w:t>(789)</w:t>
            </w:r>
          </w:p>
        </w:tc>
        <w:tc>
          <w:tcPr>
            <w:tcW w:w="1060" w:type="dxa"/>
            <w:vAlign w:val="bottom"/>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(28,173)</w:t>
            </w:r>
          </w:p>
        </w:tc>
        <w:tc>
          <w:tcPr>
            <w:tcW w:w="0" w:type="dxa"/>
            <w:vAlign w:val="bottom"/>
          </w:tcPr>
          <w:p>
            <w:pPr>
              <w:spacing w:after="0"/>
              <w:rPr>
                <w:sz w:val="1"/>
                <w:szCs w:val="1"/>
                <w:color w:val="auto"/>
              </w:rPr>
            </w:pPr>
          </w:p>
        </w:tc>
      </w:tr>
      <w:tr>
        <w:trPr>
          <w:trHeight w:val="172"/>
        </w:trPr>
        <w:tc>
          <w:tcPr>
            <w:tcW w:w="1700" w:type="dxa"/>
            <w:vAlign w:val="bottom"/>
          </w:tcPr>
          <w:p>
            <w:pPr>
              <w:spacing w:after="0"/>
              <w:rPr>
                <w:sz w:val="20"/>
                <w:szCs w:val="20"/>
                <w:color w:val="auto"/>
              </w:rPr>
            </w:pPr>
            <w:r>
              <w:rPr>
                <w:rFonts w:ascii="Arial" w:cs="Arial" w:eastAsia="Arial" w:hAnsi="Arial"/>
                <w:sz w:val="13"/>
                <w:szCs w:val="13"/>
                <w:color w:val="auto"/>
              </w:rPr>
              <w:t>Cash Flow:</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700" w:type="dxa"/>
            <w:vAlign w:val="bottom"/>
          </w:tcPr>
          <w:p>
            <w:pPr>
              <w:spacing w:after="0"/>
              <w:rPr>
                <w:sz w:val="20"/>
                <w:szCs w:val="20"/>
                <w:color w:val="auto"/>
              </w:rPr>
            </w:pPr>
            <w:r>
              <w:rPr>
                <w:rFonts w:ascii="Arial" w:cs="Arial" w:eastAsia="Arial" w:hAnsi="Arial"/>
                <w:sz w:val="13"/>
                <w:szCs w:val="13"/>
                <w:color w:val="auto"/>
              </w:rPr>
              <w:t>Premiums paid net of</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commissions ceded and</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other directly attributable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line="147" w:lineRule="exact"/>
              <w:rPr>
                <w:sz w:val="20"/>
                <w:szCs w:val="20"/>
                <w:color w:val="auto"/>
              </w:rPr>
            </w:pPr>
            <w:r>
              <w:rPr>
                <w:rFonts w:ascii="Arial" w:cs="Arial" w:eastAsia="Arial" w:hAnsi="Arial"/>
                <w:sz w:val="13"/>
                <w:szCs w:val="13"/>
                <w:color w:val="auto"/>
              </w:rPr>
              <w:t>expenses paid</w:t>
            </w:r>
          </w:p>
        </w:tc>
        <w:tc>
          <w:tcPr>
            <w:tcW w:w="1220" w:type="dxa"/>
            <w:vAlign w:val="bottom"/>
            <w:gridSpan w:val="2"/>
          </w:tcPr>
          <w:p>
            <w:pPr>
              <w:jc w:val="right"/>
              <w:ind w:right="35"/>
              <w:spacing w:after="0" w:line="147" w:lineRule="exact"/>
              <w:rPr>
                <w:sz w:val="20"/>
                <w:szCs w:val="20"/>
                <w:color w:val="auto"/>
              </w:rPr>
            </w:pPr>
            <w:r>
              <w:rPr>
                <w:rFonts w:ascii="Arial" w:cs="Arial" w:eastAsia="Arial" w:hAnsi="Arial"/>
                <w:sz w:val="13"/>
                <w:szCs w:val="13"/>
                <w:color w:val="auto"/>
              </w:rPr>
              <w:t>773,918</w:t>
            </w:r>
          </w:p>
        </w:tc>
        <w:tc>
          <w:tcPr>
            <w:tcW w:w="1360" w:type="dxa"/>
            <w:vAlign w:val="bottom"/>
          </w:tcPr>
          <w:p>
            <w:pPr>
              <w:jc w:val="right"/>
              <w:ind w:right="155"/>
              <w:spacing w:after="0" w:line="147"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55"/>
              <w:spacing w:after="0" w:line="147" w:lineRule="exact"/>
              <w:rPr>
                <w:sz w:val="20"/>
                <w:szCs w:val="20"/>
                <w:color w:val="auto"/>
              </w:rPr>
            </w:pPr>
            <w:r>
              <w:rPr>
                <w:rFonts w:ascii="Arial" w:cs="Arial" w:eastAsia="Arial" w:hAnsi="Arial"/>
                <w:sz w:val="13"/>
                <w:szCs w:val="13"/>
                <w:color w:val="auto"/>
              </w:rPr>
              <w:t>(294,221)</w:t>
            </w:r>
          </w:p>
        </w:tc>
        <w:tc>
          <w:tcPr>
            <w:tcW w:w="12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(86,704)</w:t>
            </w:r>
          </w:p>
        </w:tc>
        <w:tc>
          <w:tcPr>
            <w:tcW w:w="1280" w:type="dxa"/>
            <w:vAlign w:val="bottom"/>
          </w:tcPr>
          <w:p>
            <w:pPr>
              <w:jc w:val="right"/>
              <w:ind w:right="95"/>
              <w:spacing w:after="0" w:line="147" w:lineRule="exact"/>
              <w:rPr>
                <w:sz w:val="20"/>
                <w:szCs w:val="20"/>
                <w:color w:val="auto"/>
              </w:rPr>
            </w:pPr>
            <w:r>
              <w:rPr>
                <w:rFonts w:ascii="Arial" w:cs="Arial" w:eastAsia="Arial" w:hAnsi="Arial"/>
                <w:sz w:val="13"/>
                <w:szCs w:val="13"/>
                <w:color w:val="auto"/>
              </w:rPr>
              <w:t>45,458</w:t>
            </w:r>
          </w:p>
        </w:tc>
        <w:tc>
          <w:tcPr>
            <w:tcW w:w="1060" w:type="dxa"/>
            <w:vAlign w:val="bottom"/>
          </w:tcPr>
          <w:p>
            <w:pPr>
              <w:jc w:val="right"/>
              <w:ind w:right="35"/>
              <w:spacing w:after="0" w:line="147" w:lineRule="exact"/>
              <w:rPr>
                <w:sz w:val="20"/>
                <w:szCs w:val="20"/>
                <w:color w:val="auto"/>
              </w:rPr>
            </w:pPr>
            <w:r>
              <w:rPr>
                <w:rFonts w:ascii="Arial" w:cs="Arial" w:eastAsia="Arial" w:hAnsi="Arial"/>
                <w:sz w:val="13"/>
                <w:szCs w:val="13"/>
                <w:color w:val="auto"/>
              </w:rPr>
              <w:t>771</w:t>
            </w:r>
          </w:p>
        </w:tc>
        <w:tc>
          <w:tcPr>
            <w:tcW w:w="11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439,222</w:t>
            </w:r>
          </w:p>
        </w:tc>
        <w:tc>
          <w:tcPr>
            <w:tcW w:w="0" w:type="dxa"/>
            <w:vAlign w:val="bottom"/>
          </w:tcPr>
          <w:p>
            <w:pPr>
              <w:spacing w:after="0"/>
              <w:rPr>
                <w:sz w:val="1"/>
                <w:szCs w:val="1"/>
                <w:color w:val="auto"/>
              </w:rPr>
            </w:pPr>
          </w:p>
        </w:tc>
      </w:tr>
      <w:tr>
        <w:trPr>
          <w:trHeight w:val="154"/>
        </w:trPr>
        <w:tc>
          <w:tcPr>
            <w:tcW w:w="1700" w:type="dxa"/>
            <w:vAlign w:val="bottom"/>
          </w:tcPr>
          <w:p>
            <w:pPr>
              <w:spacing w:after="0"/>
              <w:rPr>
                <w:sz w:val="20"/>
                <w:szCs w:val="20"/>
                <w:color w:val="auto"/>
              </w:rPr>
            </w:pPr>
            <w:r>
              <w:rPr>
                <w:rFonts w:ascii="Arial" w:cs="Arial" w:eastAsia="Arial" w:hAnsi="Arial"/>
                <w:sz w:val="13"/>
                <w:szCs w:val="13"/>
                <w:color w:val="auto"/>
              </w:rPr>
              <w:t>Reinsurance recoveries</w:t>
            </w:r>
          </w:p>
        </w:tc>
        <w:tc>
          <w:tcPr>
            <w:tcW w:w="122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700" w:type="dxa"/>
            <w:vAlign w:val="bottom"/>
          </w:tcPr>
          <w:p>
            <w:pPr>
              <w:spacing w:after="0" w:line="139" w:lineRule="exact"/>
              <w:rPr>
                <w:sz w:val="20"/>
                <w:szCs w:val="20"/>
                <w:color w:val="auto"/>
              </w:rPr>
            </w:pPr>
            <w:r>
              <w:rPr>
                <w:rFonts w:ascii="Arial" w:cs="Arial" w:eastAsia="Arial" w:hAnsi="Arial"/>
                <w:sz w:val="13"/>
                <w:szCs w:val="13"/>
                <w:b w:val="1"/>
                <w:bCs w:val="1"/>
                <w:color w:val="auto"/>
              </w:rPr>
              <w:t>Net cash flow</w:t>
            </w:r>
          </w:p>
        </w:tc>
        <w:tc>
          <w:tcPr>
            <w:tcW w:w="1220" w:type="dxa"/>
            <w:vAlign w:val="bottom"/>
            <w:tcBorders>
              <w:bottom w:val="single" w:sz="8" w:color="auto"/>
            </w:tcBorders>
            <w:gridSpan w:val="2"/>
          </w:tcPr>
          <w:p>
            <w:pPr>
              <w:jc w:val="right"/>
              <w:ind w:right="35"/>
              <w:spacing w:after="0" w:line="139" w:lineRule="exact"/>
              <w:rPr>
                <w:sz w:val="20"/>
                <w:szCs w:val="20"/>
                <w:color w:val="auto"/>
              </w:rPr>
            </w:pPr>
            <w:r>
              <w:rPr>
                <w:rFonts w:ascii="Arial" w:cs="Arial" w:eastAsia="Arial" w:hAnsi="Arial"/>
                <w:sz w:val="13"/>
                <w:szCs w:val="13"/>
                <w:color w:val="auto"/>
              </w:rPr>
              <w:t>773,918</w:t>
            </w:r>
          </w:p>
        </w:tc>
        <w:tc>
          <w:tcPr>
            <w:tcW w:w="1360" w:type="dxa"/>
            <w:vAlign w:val="bottom"/>
            <w:tcBorders>
              <w:bottom w:val="single" w:sz="8" w:color="auto"/>
            </w:tcBorders>
          </w:tcPr>
          <w:p>
            <w:pPr>
              <w:jc w:val="right"/>
              <w:ind w:right="155"/>
              <w:spacing w:after="0" w:line="13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5"/>
              <w:spacing w:after="0" w:line="139" w:lineRule="exact"/>
              <w:rPr>
                <w:sz w:val="20"/>
                <w:szCs w:val="20"/>
                <w:color w:val="auto"/>
              </w:rPr>
            </w:pPr>
            <w:r>
              <w:rPr>
                <w:rFonts w:ascii="Arial" w:cs="Arial" w:eastAsia="Arial" w:hAnsi="Arial"/>
                <w:sz w:val="13"/>
                <w:szCs w:val="13"/>
                <w:color w:val="auto"/>
              </w:rPr>
              <w:t>(294,221)</w:t>
            </w:r>
          </w:p>
        </w:tc>
        <w:tc>
          <w:tcPr>
            <w:tcW w:w="1240" w:type="dxa"/>
            <w:vAlign w:val="bottom"/>
            <w:tcBorders>
              <w:bottom w:val="single" w:sz="8" w:color="auto"/>
            </w:tcBorders>
          </w:tcPr>
          <w:p>
            <w:pPr>
              <w:jc w:val="right"/>
              <w:ind w:right="55"/>
              <w:spacing w:after="0" w:line="139" w:lineRule="exact"/>
              <w:rPr>
                <w:sz w:val="20"/>
                <w:szCs w:val="20"/>
                <w:color w:val="auto"/>
              </w:rPr>
            </w:pPr>
            <w:r>
              <w:rPr>
                <w:rFonts w:ascii="Arial" w:cs="Arial" w:eastAsia="Arial" w:hAnsi="Arial"/>
                <w:sz w:val="13"/>
                <w:szCs w:val="13"/>
                <w:color w:val="auto"/>
              </w:rPr>
              <w:t>(86,704)</w:t>
            </w:r>
          </w:p>
        </w:tc>
        <w:tc>
          <w:tcPr>
            <w:tcW w:w="128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45,458</w:t>
            </w:r>
          </w:p>
        </w:tc>
        <w:tc>
          <w:tcPr>
            <w:tcW w:w="1060" w:type="dxa"/>
            <w:vAlign w:val="bottom"/>
            <w:tcBorders>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771</w:t>
            </w:r>
          </w:p>
        </w:tc>
        <w:tc>
          <w:tcPr>
            <w:tcW w:w="1140" w:type="dxa"/>
            <w:vAlign w:val="bottom"/>
            <w:tcBorders>
              <w:bottom w:val="single" w:sz="8" w:color="auto"/>
            </w:tcBorders>
          </w:tcPr>
          <w:p>
            <w:pPr>
              <w:jc w:val="right"/>
              <w:ind w:right="55"/>
              <w:spacing w:after="0" w:line="139" w:lineRule="exact"/>
              <w:rPr>
                <w:sz w:val="20"/>
                <w:szCs w:val="20"/>
                <w:color w:val="auto"/>
              </w:rPr>
            </w:pPr>
            <w:r>
              <w:rPr>
                <w:rFonts w:ascii="Arial" w:cs="Arial" w:eastAsia="Arial" w:hAnsi="Arial"/>
                <w:sz w:val="13"/>
                <w:szCs w:val="13"/>
                <w:color w:val="auto"/>
              </w:rPr>
              <w:t>439,222</w:t>
            </w:r>
          </w:p>
        </w:tc>
        <w:tc>
          <w:tcPr>
            <w:tcW w:w="0" w:type="dxa"/>
            <w:vAlign w:val="bottom"/>
          </w:tcPr>
          <w:p>
            <w:pPr>
              <w:spacing w:after="0"/>
              <w:rPr>
                <w:sz w:val="1"/>
                <w:szCs w:val="1"/>
                <w:color w:val="auto"/>
              </w:rPr>
            </w:pPr>
          </w:p>
        </w:tc>
      </w:tr>
      <w:tr>
        <w:trPr>
          <w:trHeight w:val="119"/>
        </w:trPr>
        <w:tc>
          <w:tcPr>
            <w:tcW w:w="1700" w:type="dxa"/>
            <w:vAlign w:val="bottom"/>
          </w:tcPr>
          <w:p>
            <w:pPr>
              <w:spacing w:after="0" w:line="119" w:lineRule="exact"/>
              <w:rPr>
                <w:sz w:val="20"/>
                <w:szCs w:val="20"/>
                <w:color w:val="auto"/>
              </w:rPr>
            </w:pPr>
            <w:r>
              <w:rPr>
                <w:rFonts w:ascii="Arial" w:cs="Arial" w:eastAsia="Arial" w:hAnsi="Arial"/>
                <w:sz w:val="13"/>
                <w:szCs w:val="13"/>
                <w:b w:val="1"/>
                <w:bCs w:val="1"/>
                <w:color w:val="auto"/>
              </w:rPr>
              <w:t>Balances at the end of the</w:t>
            </w:r>
          </w:p>
        </w:tc>
        <w:tc>
          <w:tcPr>
            <w:tcW w:w="1220" w:type="dxa"/>
            <w:vAlign w:val="bottom"/>
            <w:gridSpan w:val="2"/>
            <w:vMerge w:val="restart"/>
          </w:tcPr>
          <w:p>
            <w:pPr>
              <w:jc w:val="right"/>
              <w:ind w:right="35"/>
              <w:spacing w:after="0"/>
              <w:rPr>
                <w:sz w:val="20"/>
                <w:szCs w:val="20"/>
                <w:color w:val="auto"/>
              </w:rPr>
            </w:pPr>
            <w:r>
              <w:rPr>
                <w:rFonts w:ascii="Arial" w:cs="Arial" w:eastAsia="Arial" w:hAnsi="Arial"/>
                <w:sz w:val="13"/>
                <w:szCs w:val="13"/>
                <w:b w:val="1"/>
                <w:bCs w:val="1"/>
                <w:color w:val="auto"/>
              </w:rPr>
              <w:t>308,270</w:t>
            </w:r>
          </w:p>
        </w:tc>
        <w:tc>
          <w:tcPr>
            <w:tcW w:w="1360" w:type="dxa"/>
            <w:vAlign w:val="bottom"/>
            <w:vMerge w:val="restart"/>
          </w:tcPr>
          <w:p>
            <w:pPr>
              <w:jc w:val="right"/>
              <w:ind w:right="155"/>
              <w:spacing w:after="0"/>
              <w:rPr>
                <w:sz w:val="20"/>
                <w:szCs w:val="20"/>
                <w:color w:val="auto"/>
              </w:rPr>
            </w:pPr>
            <w:r>
              <w:rPr>
                <w:rFonts w:ascii="Arial" w:cs="Arial" w:eastAsia="Arial" w:hAnsi="Arial"/>
                <w:sz w:val="13"/>
                <w:szCs w:val="13"/>
                <w:b w:val="1"/>
                <w:bCs w:val="1"/>
                <w:color w:val="auto"/>
              </w:rPr>
              <w:t>-</w:t>
            </w:r>
          </w:p>
        </w:tc>
        <w:tc>
          <w:tcPr>
            <w:tcW w:w="1120" w:type="dxa"/>
            <w:vAlign w:val="bottom"/>
            <w:vMerge w:val="restart"/>
          </w:tcPr>
          <w:p>
            <w:pPr>
              <w:jc w:val="right"/>
              <w:ind w:right="55"/>
              <w:spacing w:after="0"/>
              <w:rPr>
                <w:sz w:val="20"/>
                <w:szCs w:val="20"/>
                <w:color w:val="auto"/>
              </w:rPr>
            </w:pPr>
            <w:r>
              <w:rPr>
                <w:rFonts w:ascii="Arial" w:cs="Arial" w:eastAsia="Arial" w:hAnsi="Arial"/>
                <w:sz w:val="13"/>
                <w:szCs w:val="13"/>
                <w:b w:val="1"/>
                <w:bCs w:val="1"/>
                <w:color w:val="auto"/>
              </w:rPr>
              <w:t>730,006</w:t>
            </w:r>
          </w:p>
        </w:tc>
        <w:tc>
          <w:tcPr>
            <w:tcW w:w="1240" w:type="dxa"/>
            <w:vAlign w:val="bottom"/>
            <w:vMerge w:val="restart"/>
          </w:tcPr>
          <w:p>
            <w:pPr>
              <w:jc w:val="right"/>
              <w:ind w:right="55"/>
              <w:spacing w:after="0"/>
              <w:rPr>
                <w:sz w:val="20"/>
                <w:szCs w:val="20"/>
                <w:color w:val="auto"/>
              </w:rPr>
            </w:pPr>
            <w:r>
              <w:rPr>
                <w:rFonts w:ascii="Arial" w:cs="Arial" w:eastAsia="Arial" w:hAnsi="Arial"/>
                <w:sz w:val="13"/>
                <w:szCs w:val="13"/>
                <w:b w:val="1"/>
                <w:bCs w:val="1"/>
                <w:color w:val="auto"/>
              </w:rPr>
              <w:t>110,964</w:t>
            </w:r>
          </w:p>
        </w:tc>
        <w:tc>
          <w:tcPr>
            <w:tcW w:w="1280" w:type="dxa"/>
            <w:vAlign w:val="bottom"/>
            <w:vMerge w:val="restart"/>
          </w:tcPr>
          <w:p>
            <w:pPr>
              <w:jc w:val="right"/>
              <w:ind w:right="95"/>
              <w:spacing w:after="0"/>
              <w:rPr>
                <w:sz w:val="20"/>
                <w:szCs w:val="20"/>
                <w:color w:val="auto"/>
              </w:rPr>
            </w:pPr>
            <w:r>
              <w:rPr>
                <w:rFonts w:ascii="Arial" w:cs="Arial" w:eastAsia="Arial" w:hAnsi="Arial"/>
                <w:sz w:val="13"/>
                <w:szCs w:val="13"/>
                <w:b w:val="1"/>
                <w:bCs w:val="1"/>
                <w:color w:val="auto"/>
              </w:rPr>
              <w:t>(419,217)</w:t>
            </w:r>
          </w:p>
        </w:tc>
        <w:tc>
          <w:tcPr>
            <w:tcW w:w="1060" w:type="dxa"/>
            <w:vAlign w:val="bottom"/>
            <w:vMerge w:val="restart"/>
          </w:tcPr>
          <w:p>
            <w:pPr>
              <w:jc w:val="right"/>
              <w:ind w:right="35"/>
              <w:spacing w:after="0"/>
              <w:rPr>
                <w:sz w:val="20"/>
                <w:szCs w:val="20"/>
                <w:color w:val="auto"/>
              </w:rPr>
            </w:pPr>
            <w:r>
              <w:rPr>
                <w:rFonts w:ascii="Arial" w:cs="Arial" w:eastAsia="Arial" w:hAnsi="Arial"/>
                <w:sz w:val="13"/>
                <w:szCs w:val="13"/>
                <w:b w:val="1"/>
                <w:bCs w:val="1"/>
                <w:color w:val="auto"/>
              </w:rPr>
              <w:t>13,985</w:t>
            </w:r>
          </w:p>
        </w:tc>
        <w:tc>
          <w:tcPr>
            <w:tcW w:w="1140" w:type="dxa"/>
            <w:vAlign w:val="bottom"/>
            <w:vMerge w:val="restart"/>
          </w:tcPr>
          <w:p>
            <w:pPr>
              <w:jc w:val="right"/>
              <w:ind w:right="55"/>
              <w:spacing w:after="0"/>
              <w:rPr>
                <w:sz w:val="20"/>
                <w:szCs w:val="20"/>
                <w:color w:val="auto"/>
              </w:rPr>
            </w:pPr>
            <w:r>
              <w:rPr>
                <w:rFonts w:ascii="Arial" w:cs="Arial" w:eastAsia="Arial" w:hAnsi="Arial"/>
                <w:sz w:val="13"/>
                <w:szCs w:val="13"/>
                <w:b w:val="1"/>
                <w:bCs w:val="1"/>
                <w:color w:val="auto"/>
              </w:rPr>
              <w:t>744,008</w:t>
            </w:r>
          </w:p>
        </w:tc>
        <w:tc>
          <w:tcPr>
            <w:tcW w:w="0" w:type="dxa"/>
            <w:vAlign w:val="bottom"/>
          </w:tcPr>
          <w:p>
            <w:pPr>
              <w:spacing w:after="0"/>
              <w:rPr>
                <w:sz w:val="1"/>
                <w:szCs w:val="1"/>
                <w:color w:val="auto"/>
              </w:rPr>
            </w:pPr>
          </w:p>
        </w:tc>
      </w:tr>
      <w:tr>
        <w:trPr>
          <w:trHeight w:val="152"/>
        </w:trPr>
        <w:tc>
          <w:tcPr>
            <w:tcW w:w="1700" w:type="dxa"/>
            <w:vAlign w:val="bottom"/>
          </w:tcPr>
          <w:p>
            <w:pPr>
              <w:spacing w:after="0" w:line="143" w:lineRule="exact"/>
              <w:rPr>
                <w:sz w:val="20"/>
                <w:szCs w:val="20"/>
                <w:color w:val="auto"/>
              </w:rPr>
            </w:pPr>
            <w:r>
              <w:rPr>
                <w:rFonts w:ascii="Arial" w:cs="Arial" w:eastAsia="Arial" w:hAnsi="Arial"/>
                <w:sz w:val="13"/>
                <w:szCs w:val="13"/>
                <w:b w:val="1"/>
                <w:bCs w:val="1"/>
                <w:color w:val="auto"/>
              </w:rPr>
              <w:t>period</w:t>
            </w:r>
          </w:p>
        </w:tc>
        <w:tc>
          <w:tcPr>
            <w:tcW w:w="1220" w:type="dxa"/>
            <w:vAlign w:val="bottom"/>
            <w:tcBorders>
              <w:bottom w:val="single" w:sz="8" w:color="auto"/>
            </w:tcBorders>
            <w:gridSpan w:val="2"/>
            <w:vMerge w:val="continue"/>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41275</wp:posOffset>
            </wp:positionV>
            <wp:extent cx="714565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20"/>
          </w:cols>
          <w:pgMar w:left="1200" w:top="132" w:right="579" w:bottom="1440" w:gutter="0" w:footer="0" w:header="0"/>
        </w:sectPr>
      </w:pPr>
    </w:p>
    <w:bookmarkStart w:id="86" w:name="page87"/>
    <w:bookmarkEnd w:id="86"/>
    <w:p>
      <w:pPr>
        <w:spacing w:after="0"/>
        <w:tabs>
          <w:tab w:leader="none" w:pos="280" w:val="left"/>
        </w:tabs>
        <w:rPr>
          <w:sz w:val="20"/>
          <w:szCs w:val="20"/>
          <w:color w:val="auto"/>
        </w:rPr>
      </w:pPr>
      <w:r>
        <w:rPr>
          <w:rFonts w:ascii="Arial" w:cs="Arial" w:eastAsia="Arial" w:hAnsi="Arial"/>
          <w:sz w:val="16"/>
          <w:szCs w:val="16"/>
          <w:color w:val="auto"/>
        </w:rPr>
        <w:t>b)</w:t>
        <w:tab/>
        <w:t>The details of the liability for insurance contracts are:</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As of December 31, 2023</w:t>
      </w:r>
    </w:p>
    <w:p>
      <w:pPr>
        <w:spacing w:after="0" w:line="5" w:lineRule="exact"/>
        <w:rPr>
          <w:sz w:val="20"/>
          <w:szCs w:val="20"/>
          <w:color w:val="auto"/>
        </w:rPr>
      </w:pPr>
    </w:p>
    <w:tbl>
      <w:tblPr>
        <w:tblLayout w:type="fixed"/>
        <w:tblInd w:w="2420" w:type="dxa"/>
        <w:tblCellMar>
          <w:top w:w="0" w:type="dxa"/>
          <w:left w:w="0" w:type="dxa"/>
          <w:bottom w:w="0" w:type="dxa"/>
          <w:right w:w="0" w:type="dxa"/>
        </w:tblCellMar>
      </w:tblPr>
      <w:tr>
        <w:trPr>
          <w:trHeight w:val="131"/>
        </w:trPr>
        <w:tc>
          <w:tcPr>
            <w:tcW w:w="7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Liabilities for</w:t>
            </w:r>
          </w:p>
        </w:tc>
        <w:tc>
          <w:tcPr>
            <w:tcW w:w="1980" w:type="dxa"/>
            <w:vAlign w:val="bottom"/>
            <w:tcBorders>
              <w:top w:val="single" w:sz="8" w:color="auto"/>
            </w:tcBorders>
            <w:gridSpan w:val="3"/>
          </w:tcPr>
          <w:p>
            <w:pPr>
              <w:ind w:left="80"/>
              <w:spacing w:after="0" w:line="131" w:lineRule="exact"/>
              <w:rPr>
                <w:sz w:val="20"/>
                <w:szCs w:val="20"/>
                <w:color w:val="auto"/>
              </w:rPr>
            </w:pPr>
            <w:r>
              <w:rPr>
                <w:rFonts w:ascii="Arial" w:cs="Arial" w:eastAsia="Arial" w:hAnsi="Arial"/>
                <w:sz w:val="13"/>
                <w:szCs w:val="13"/>
                <w:b w:val="1"/>
                <w:bCs w:val="1"/>
                <w:color w:val="auto"/>
              </w:rPr>
              <w:t>Liabilities for incurred claims</w:t>
            </w:r>
          </w:p>
        </w:tc>
        <w:tc>
          <w:tcPr>
            <w:tcW w:w="9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76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Remaining coverage</w:t>
            </w:r>
          </w:p>
        </w:tc>
        <w:tc>
          <w:tcPr>
            <w:tcW w:w="1020" w:type="dxa"/>
            <w:vAlign w:val="bottom"/>
          </w:tcPr>
          <w:p>
            <w:pPr>
              <w:ind w:left="100"/>
              <w:spacing w:after="0" w:line="147" w:lineRule="exact"/>
              <w:rPr>
                <w:sz w:val="20"/>
                <w:szCs w:val="20"/>
                <w:color w:val="auto"/>
              </w:rPr>
            </w:pPr>
            <w:r>
              <w:rPr>
                <w:rFonts w:ascii="Arial" w:cs="Arial" w:eastAsia="Arial" w:hAnsi="Arial"/>
                <w:sz w:val="13"/>
                <w:szCs w:val="13"/>
                <w:b w:val="1"/>
                <w:bCs w:val="1"/>
                <w:color w:val="auto"/>
              </w:rPr>
              <w:t>incurred</w:t>
            </w:r>
          </w:p>
        </w:tc>
        <w:tc>
          <w:tcPr>
            <w:tcW w:w="1980" w:type="dxa"/>
            <w:vAlign w:val="bottom"/>
            <w:gridSpan w:val="3"/>
          </w:tcPr>
          <w:p>
            <w:pPr>
              <w:ind w:left="80"/>
              <w:spacing w:after="0" w:line="147" w:lineRule="exact"/>
              <w:rPr>
                <w:sz w:val="20"/>
                <w:szCs w:val="20"/>
                <w:color w:val="auto"/>
              </w:rPr>
            </w:pPr>
            <w:r>
              <w:rPr>
                <w:rFonts w:ascii="Arial" w:cs="Arial" w:eastAsia="Arial" w:hAnsi="Arial"/>
                <w:sz w:val="13"/>
                <w:szCs w:val="13"/>
                <w:b w:val="1"/>
                <w:bCs w:val="1"/>
                <w:color w:val="auto"/>
              </w:rPr>
              <w:t>for contracts measured by</w:t>
            </w:r>
          </w:p>
        </w:tc>
        <w:tc>
          <w:tcPr>
            <w:tcW w:w="920" w:type="dxa"/>
            <w:vAlign w:val="bottom"/>
          </w:tcPr>
          <w:p>
            <w:pPr>
              <w:ind w:left="100"/>
              <w:spacing w:after="0" w:line="147" w:lineRule="exact"/>
              <w:rPr>
                <w:sz w:val="20"/>
                <w:szCs w:val="20"/>
                <w:color w:val="auto"/>
              </w:rPr>
            </w:pPr>
            <w:r>
              <w:rPr>
                <w:rFonts w:ascii="Arial" w:cs="Arial" w:eastAsia="Arial" w:hAnsi="Arial"/>
                <w:sz w:val="13"/>
                <w:szCs w:val="13"/>
                <w:b w:val="1"/>
                <w:bCs w:val="1"/>
                <w:color w:val="auto"/>
              </w:rPr>
              <w:t>Accounts</w:t>
            </w:r>
          </w:p>
        </w:tc>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liabilities</w:t>
            </w:r>
          </w:p>
        </w:tc>
        <w:tc>
          <w:tcPr>
            <w:tcW w:w="980" w:type="dxa"/>
            <w:vAlign w:val="bottom"/>
            <w:tcBorders>
              <w:bottom w:val="single" w:sz="8" w:color="auto"/>
            </w:tcBorders>
          </w:tcPr>
          <w:p>
            <w:pPr>
              <w:spacing w:after="0"/>
              <w:rPr>
                <w:sz w:val="13"/>
                <w:szCs w:val="13"/>
                <w:color w:val="auto"/>
              </w:rPr>
            </w:pPr>
          </w:p>
        </w:tc>
        <w:tc>
          <w:tcPr>
            <w:tcW w:w="1020" w:type="dxa"/>
            <w:vAlign w:val="bottom"/>
          </w:tcPr>
          <w:p>
            <w:pPr>
              <w:ind w:left="100"/>
              <w:spacing w:after="0"/>
              <w:rPr>
                <w:sz w:val="20"/>
                <w:szCs w:val="20"/>
                <w:color w:val="auto"/>
              </w:rPr>
            </w:pPr>
            <w:r>
              <w:rPr>
                <w:rFonts w:ascii="Arial" w:cs="Arial" w:eastAsia="Arial" w:hAnsi="Arial"/>
                <w:sz w:val="13"/>
                <w:szCs w:val="13"/>
                <w:b w:val="1"/>
                <w:bCs w:val="1"/>
                <w:color w:val="auto"/>
              </w:rPr>
              <w:t>claims for</w:t>
            </w: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PAA</w:t>
            </w:r>
          </w:p>
        </w:tc>
        <w:tc>
          <w:tcPr>
            <w:tcW w:w="960" w:type="dxa"/>
            <w:vAlign w:val="bottom"/>
            <w:tcBorders>
              <w:bottom w:val="single" w:sz="8" w:color="auto"/>
            </w:tcBorders>
          </w:tcPr>
          <w:p>
            <w:pPr>
              <w:spacing w:after="0"/>
              <w:rPr>
                <w:sz w:val="13"/>
                <w:szCs w:val="13"/>
                <w:color w:val="auto"/>
              </w:rPr>
            </w:pPr>
          </w:p>
        </w:tc>
        <w:tc>
          <w:tcPr>
            <w:tcW w:w="920" w:type="dxa"/>
            <w:vAlign w:val="bottom"/>
          </w:tcPr>
          <w:p>
            <w:pPr>
              <w:ind w:left="100"/>
              <w:spacing w:after="0"/>
              <w:rPr>
                <w:sz w:val="20"/>
                <w:szCs w:val="20"/>
                <w:color w:val="auto"/>
              </w:rPr>
            </w:pPr>
            <w:r>
              <w:rPr>
                <w:rFonts w:ascii="Arial" w:cs="Arial" w:eastAsia="Arial" w:hAnsi="Arial"/>
                <w:sz w:val="13"/>
                <w:szCs w:val="13"/>
                <w:b w:val="1"/>
                <w:bCs w:val="1"/>
                <w:color w:val="auto"/>
              </w:rPr>
              <w:t>receivable</w:t>
            </w:r>
          </w:p>
        </w:tc>
        <w:tc>
          <w:tcPr>
            <w:tcW w:w="1220" w:type="dxa"/>
            <w:vAlign w:val="bottom"/>
          </w:tcPr>
          <w:p>
            <w:pPr>
              <w:ind w:left="180"/>
              <w:spacing w:after="0"/>
              <w:rPr>
                <w:sz w:val="20"/>
                <w:szCs w:val="20"/>
                <w:color w:val="auto"/>
              </w:rPr>
            </w:pPr>
            <w:r>
              <w:rPr>
                <w:rFonts w:ascii="Arial" w:cs="Arial" w:eastAsia="Arial" w:hAnsi="Arial"/>
                <w:sz w:val="13"/>
                <w:szCs w:val="13"/>
                <w:b w:val="1"/>
                <w:bCs w:val="1"/>
                <w:color w:val="auto"/>
              </w:rPr>
              <w:t>Debts to</w:t>
            </w:r>
          </w:p>
        </w:tc>
        <w:tc>
          <w:tcPr>
            <w:tcW w:w="1100" w:type="dxa"/>
            <w:vAlign w:val="bottom"/>
          </w:tcPr>
          <w:p>
            <w:pPr>
              <w:ind w:lef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9"/>
        </w:trPr>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rPr>
              <w:t>Excluding</w:t>
            </w:r>
          </w:p>
        </w:tc>
        <w:tc>
          <w:tcPr>
            <w:tcW w:w="980" w:type="dxa"/>
            <w:vAlign w:val="bottom"/>
          </w:tcPr>
          <w:p>
            <w:pPr>
              <w:spacing w:after="0"/>
              <w:rPr>
                <w:sz w:val="10"/>
                <w:szCs w:val="10"/>
                <w:color w:val="auto"/>
              </w:rPr>
            </w:pPr>
          </w:p>
        </w:tc>
        <w:tc>
          <w:tcPr>
            <w:tcW w:w="102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contracts not</w:t>
            </w:r>
          </w:p>
        </w:tc>
        <w:tc>
          <w:tcPr>
            <w:tcW w:w="10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Present value</w:t>
            </w:r>
          </w:p>
        </w:tc>
        <w:tc>
          <w:tcPr>
            <w:tcW w:w="960" w:type="dxa"/>
            <w:vAlign w:val="bottom"/>
          </w:tcPr>
          <w:p>
            <w:pPr>
              <w:spacing w:after="0"/>
              <w:rPr>
                <w:sz w:val="10"/>
                <w:szCs w:val="10"/>
                <w:color w:val="auto"/>
              </w:rPr>
            </w:pPr>
          </w:p>
        </w:tc>
        <w:tc>
          <w:tcPr>
            <w:tcW w:w="92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for</w:t>
            </w:r>
          </w:p>
        </w:tc>
        <w:tc>
          <w:tcPr>
            <w:tcW w:w="122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intermediaries,</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80" w:type="dxa"/>
            <w:vAlign w:val="bottom"/>
            <w:vMerge w:val="continue"/>
          </w:tcPr>
          <w:p>
            <w:pPr>
              <w:spacing w:after="0"/>
              <w:rPr>
                <w:sz w:val="6"/>
                <w:szCs w:val="6"/>
                <w:color w:val="auto"/>
              </w:rPr>
            </w:pPr>
          </w:p>
        </w:tc>
        <w:tc>
          <w:tcPr>
            <w:tcW w:w="980" w:type="dxa"/>
            <w:vAlign w:val="bottom"/>
            <w:vMerge w:val="restart"/>
          </w:tcPr>
          <w:p>
            <w:pPr>
              <w:ind w:left="100"/>
              <w:spacing w:after="0" w:line="147" w:lineRule="exact"/>
              <w:rPr>
                <w:sz w:val="20"/>
                <w:szCs w:val="20"/>
                <w:color w:val="auto"/>
              </w:rPr>
            </w:pPr>
            <w:r>
              <w:rPr>
                <w:rFonts w:ascii="Arial" w:cs="Arial" w:eastAsia="Arial" w:hAnsi="Arial"/>
                <w:sz w:val="13"/>
                <w:szCs w:val="13"/>
                <w:b w:val="1"/>
                <w:bCs w:val="1"/>
                <w:color w:val="auto"/>
              </w:rPr>
              <w:t>Loss</w:t>
            </w:r>
          </w:p>
        </w:tc>
        <w:tc>
          <w:tcPr>
            <w:tcW w:w="1020" w:type="dxa"/>
            <w:vAlign w:val="bottom"/>
            <w:vMerge w:val="restart"/>
          </w:tcPr>
          <w:p>
            <w:pPr>
              <w:ind w:left="100"/>
              <w:spacing w:after="0" w:line="147" w:lineRule="exact"/>
              <w:rPr>
                <w:sz w:val="20"/>
                <w:szCs w:val="20"/>
                <w:color w:val="auto"/>
              </w:rPr>
            </w:pPr>
            <w:r>
              <w:rPr>
                <w:rFonts w:ascii="Arial" w:cs="Arial" w:eastAsia="Arial" w:hAnsi="Arial"/>
                <w:sz w:val="13"/>
                <w:szCs w:val="13"/>
                <w:b w:val="1"/>
                <w:bCs w:val="1"/>
                <w:color w:val="auto"/>
              </w:rPr>
              <w:t>measured by</w:t>
            </w:r>
          </w:p>
        </w:tc>
        <w:tc>
          <w:tcPr>
            <w:tcW w:w="1020" w:type="dxa"/>
            <w:vAlign w:val="bottom"/>
            <w:gridSpan w:val="2"/>
            <w:vMerge w:val="continue"/>
          </w:tcPr>
          <w:p>
            <w:pPr>
              <w:spacing w:after="0"/>
              <w:rPr>
                <w:sz w:val="6"/>
                <w:szCs w:val="6"/>
                <w:color w:val="auto"/>
              </w:rPr>
            </w:pPr>
          </w:p>
        </w:tc>
        <w:tc>
          <w:tcPr>
            <w:tcW w:w="960" w:type="dxa"/>
            <w:vAlign w:val="bottom"/>
            <w:vMerge w:val="restart"/>
          </w:tcPr>
          <w:p>
            <w:pPr>
              <w:ind w:left="60"/>
              <w:spacing w:after="0" w:line="147" w:lineRule="exact"/>
              <w:rPr>
                <w:sz w:val="20"/>
                <w:szCs w:val="20"/>
                <w:color w:val="auto"/>
              </w:rPr>
            </w:pPr>
            <w:r>
              <w:rPr>
                <w:rFonts w:ascii="Arial" w:cs="Arial" w:eastAsia="Arial" w:hAnsi="Arial"/>
                <w:sz w:val="13"/>
                <w:szCs w:val="13"/>
                <w:b w:val="1"/>
                <w:bCs w:val="1"/>
                <w:color w:val="auto"/>
              </w:rPr>
              <w:t>Risk</w:t>
            </w:r>
          </w:p>
        </w:tc>
        <w:tc>
          <w:tcPr>
            <w:tcW w:w="920" w:type="dxa"/>
            <w:vAlign w:val="bottom"/>
            <w:vMerge w:val="restart"/>
          </w:tcPr>
          <w:p>
            <w:pPr>
              <w:ind w:left="100"/>
              <w:spacing w:after="0" w:line="147" w:lineRule="exact"/>
              <w:rPr>
                <w:sz w:val="20"/>
                <w:szCs w:val="20"/>
                <w:color w:val="auto"/>
              </w:rPr>
            </w:pPr>
            <w:r>
              <w:rPr>
                <w:rFonts w:ascii="Arial" w:cs="Arial" w:eastAsia="Arial" w:hAnsi="Arial"/>
                <w:sz w:val="13"/>
                <w:szCs w:val="13"/>
                <w:b w:val="1"/>
                <w:bCs w:val="1"/>
                <w:color w:val="auto"/>
              </w:rPr>
              <w:t>insurance</w:t>
            </w:r>
          </w:p>
        </w:tc>
        <w:tc>
          <w:tcPr>
            <w:tcW w:w="1220" w:type="dxa"/>
            <w:vAlign w:val="bottom"/>
            <w:vMerge w:val="restart"/>
          </w:tcPr>
          <w:p>
            <w:pPr>
              <w:ind w:left="180"/>
              <w:spacing w:after="0" w:line="147" w:lineRule="exact"/>
              <w:rPr>
                <w:sz w:val="20"/>
                <w:szCs w:val="20"/>
                <w:color w:val="auto"/>
              </w:rPr>
            </w:pPr>
            <w:r>
              <w:rPr>
                <w:rFonts w:ascii="Arial" w:cs="Arial" w:eastAsia="Arial" w:hAnsi="Arial"/>
                <w:sz w:val="13"/>
                <w:szCs w:val="13"/>
                <w:b w:val="1"/>
                <w:bCs w:val="1"/>
                <w:color w:val="auto"/>
              </w:rPr>
              <w:t>marketers and</w:t>
            </w: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rPr>
              <w:t>loss</w:t>
            </w:r>
          </w:p>
        </w:tc>
        <w:tc>
          <w:tcPr>
            <w:tcW w:w="9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of future cash</w:t>
            </w:r>
          </w:p>
        </w:tc>
        <w:tc>
          <w:tcPr>
            <w:tcW w:w="9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780" w:type="dxa"/>
            <w:vAlign w:val="bottom"/>
            <w:vMerge w:val="continue"/>
          </w:tcPr>
          <w:p>
            <w:pPr>
              <w:spacing w:after="0"/>
              <w:rPr>
                <w:sz w:val="11"/>
                <w:szCs w:val="11"/>
                <w:color w:val="auto"/>
              </w:rPr>
            </w:pPr>
          </w:p>
        </w:tc>
        <w:tc>
          <w:tcPr>
            <w:tcW w:w="980" w:type="dxa"/>
            <w:vAlign w:val="bottom"/>
          </w:tcPr>
          <w:p>
            <w:pPr>
              <w:ind w:left="100"/>
              <w:spacing w:after="0" w:line="130" w:lineRule="exact"/>
              <w:rPr>
                <w:sz w:val="20"/>
                <w:szCs w:val="20"/>
                <w:color w:val="auto"/>
              </w:rPr>
            </w:pPr>
            <w:r>
              <w:rPr>
                <w:rFonts w:ascii="Arial" w:cs="Arial" w:eastAsia="Arial" w:hAnsi="Arial"/>
                <w:sz w:val="13"/>
                <w:szCs w:val="13"/>
                <w:b w:val="1"/>
                <w:bCs w:val="1"/>
                <w:color w:val="auto"/>
              </w:rPr>
              <w:t>component</w:t>
            </w:r>
          </w:p>
        </w:tc>
        <w:tc>
          <w:tcPr>
            <w:tcW w:w="1020" w:type="dxa"/>
            <w:vAlign w:val="bottom"/>
          </w:tcPr>
          <w:p>
            <w:pPr>
              <w:ind w:left="100"/>
              <w:spacing w:after="0" w:line="130" w:lineRule="exact"/>
              <w:rPr>
                <w:sz w:val="20"/>
                <w:szCs w:val="20"/>
                <w:color w:val="auto"/>
              </w:rPr>
            </w:pPr>
            <w:r>
              <w:rPr>
                <w:rFonts w:ascii="Arial" w:cs="Arial" w:eastAsia="Arial" w:hAnsi="Arial"/>
                <w:sz w:val="13"/>
                <w:szCs w:val="13"/>
                <w:b w:val="1"/>
                <w:bCs w:val="1"/>
                <w:color w:val="auto"/>
              </w:rPr>
              <w:t>PAA</w:t>
            </w:r>
          </w:p>
        </w:tc>
        <w:tc>
          <w:tcPr>
            <w:tcW w:w="1020" w:type="dxa"/>
            <w:vAlign w:val="bottom"/>
            <w:gridSpan w:val="2"/>
            <w:vMerge w:val="continue"/>
          </w:tcPr>
          <w:p>
            <w:pPr>
              <w:spacing w:after="0"/>
              <w:rPr>
                <w:sz w:val="11"/>
                <w:szCs w:val="11"/>
                <w:color w:val="auto"/>
              </w:rPr>
            </w:pPr>
          </w:p>
        </w:tc>
        <w:tc>
          <w:tcPr>
            <w:tcW w:w="960" w:type="dxa"/>
            <w:vAlign w:val="bottom"/>
          </w:tcPr>
          <w:p>
            <w:pPr>
              <w:ind w:left="60"/>
              <w:spacing w:after="0" w:line="130" w:lineRule="exact"/>
              <w:rPr>
                <w:sz w:val="20"/>
                <w:szCs w:val="20"/>
                <w:color w:val="auto"/>
              </w:rPr>
            </w:pPr>
            <w:r>
              <w:rPr>
                <w:rFonts w:ascii="Arial" w:cs="Arial" w:eastAsia="Arial" w:hAnsi="Arial"/>
                <w:sz w:val="13"/>
                <w:szCs w:val="13"/>
                <w:b w:val="1"/>
                <w:bCs w:val="1"/>
                <w:color w:val="auto"/>
              </w:rPr>
              <w:t>adjustment</w:t>
            </w:r>
          </w:p>
        </w:tc>
        <w:tc>
          <w:tcPr>
            <w:tcW w:w="920" w:type="dxa"/>
            <w:vAlign w:val="bottom"/>
          </w:tcPr>
          <w:p>
            <w:pPr>
              <w:ind w:left="100"/>
              <w:spacing w:after="0" w:line="130" w:lineRule="exact"/>
              <w:rPr>
                <w:sz w:val="20"/>
                <w:szCs w:val="20"/>
                <w:color w:val="auto"/>
              </w:rPr>
            </w:pPr>
            <w:r>
              <w:rPr>
                <w:rFonts w:ascii="Arial" w:cs="Arial" w:eastAsia="Arial" w:hAnsi="Arial"/>
                <w:sz w:val="13"/>
                <w:szCs w:val="13"/>
                <w:b w:val="1"/>
                <w:bCs w:val="1"/>
                <w:color w:val="auto"/>
              </w:rPr>
              <w:t>contracts</w:t>
            </w:r>
          </w:p>
        </w:tc>
        <w:tc>
          <w:tcPr>
            <w:tcW w:w="1220" w:type="dxa"/>
            <w:vAlign w:val="bottom"/>
          </w:tcPr>
          <w:p>
            <w:pPr>
              <w:ind w:left="180"/>
              <w:spacing w:after="0" w:line="130" w:lineRule="exact"/>
              <w:rPr>
                <w:sz w:val="20"/>
                <w:szCs w:val="20"/>
                <w:color w:val="auto"/>
              </w:rPr>
            </w:pPr>
            <w:r>
              <w:rPr>
                <w:rFonts w:ascii="Arial" w:cs="Arial" w:eastAsia="Arial" w:hAnsi="Arial"/>
                <w:sz w:val="13"/>
                <w:szCs w:val="13"/>
                <w:b w:val="1"/>
                <w:bCs w:val="1"/>
                <w:color w:val="auto"/>
              </w:rPr>
              <w:t>auxiliaries</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20"/>
                <w:szCs w:val="20"/>
                <w:color w:val="auto"/>
              </w:rPr>
            </w:pPr>
            <w:r>
              <w:rPr>
                <w:rFonts w:ascii="Arial" w:cs="Arial" w:eastAsia="Arial" w:hAnsi="Arial"/>
                <w:sz w:val="13"/>
                <w:szCs w:val="13"/>
                <w:b w:val="1"/>
                <w:bCs w:val="1"/>
                <w:color w:val="auto"/>
              </w:rPr>
              <w:t>component</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flows</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420"/>
          </w:cols>
          <w:pgMar w:left="900" w:top="124" w:right="579" w:bottom="1440" w:gutter="0" w:footer="0" w:header="0"/>
        </w:sectPr>
      </w:pPr>
    </w:p>
    <w:p>
      <w:pPr>
        <w:spacing w:after="0" w:line="150"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 xml:space="preserve">Balances as of January 1 </w:t>
      </w:r>
      <w:r>
        <w:rPr>
          <w:rFonts w:ascii="Arial" w:cs="Arial" w:eastAsia="Arial" w:hAnsi="Arial"/>
          <w:sz w:val="13"/>
          <w:szCs w:val="13"/>
          <w:color w:val="auto"/>
        </w:rPr>
        <w:t>Insurance income Claims incurred and other insurance service expenses Adjustments relating to the past to liabilities for incurred claims Losses and recoveries for losses in onerous contracts Amortization of insurance acquisition cash flows Insurance service expenses</w:t>
      </w:r>
    </w:p>
    <w:p>
      <w:pPr>
        <w:spacing w:after="0" w:line="154" w:lineRule="exact"/>
        <w:rPr>
          <w:sz w:val="20"/>
          <w:szCs w:val="20"/>
          <w:color w:val="auto"/>
        </w:rPr>
      </w:pPr>
    </w:p>
    <w:p>
      <w:pPr>
        <w:ind w:left="300" w:right="40"/>
        <w:spacing w:after="0" w:line="235" w:lineRule="auto"/>
        <w:rPr>
          <w:sz w:val="20"/>
          <w:szCs w:val="20"/>
          <w:color w:val="auto"/>
        </w:rPr>
      </w:pPr>
      <w:r>
        <w:rPr>
          <w:rFonts w:ascii="Arial" w:cs="Arial" w:eastAsia="Arial" w:hAnsi="Arial"/>
          <w:sz w:val="13"/>
          <w:szCs w:val="13"/>
          <w:b w:val="1"/>
          <w:bCs w:val="1"/>
          <w:color w:val="auto"/>
        </w:rPr>
        <w:t xml:space="preserve">Result of the insurance service </w:t>
      </w:r>
      <w:r>
        <w:rPr>
          <w:rFonts w:ascii="Arial" w:cs="Arial" w:eastAsia="Arial" w:hAnsi="Arial"/>
          <w:sz w:val="13"/>
          <w:szCs w:val="13"/>
          <w:color w:val="auto"/>
        </w:rPr>
        <w:t>Net financial expenses for insurance contracts</w:t>
      </w:r>
    </w:p>
    <w:p>
      <w:pPr>
        <w:spacing w:after="0" w:line="1" w:lineRule="exact"/>
        <w:rPr>
          <w:sz w:val="20"/>
          <w:szCs w:val="20"/>
          <w:color w:val="auto"/>
        </w:rPr>
      </w:pPr>
    </w:p>
    <w:p>
      <w:pPr>
        <w:ind w:left="300" w:right="340"/>
        <w:spacing w:after="0" w:line="235" w:lineRule="auto"/>
        <w:rPr>
          <w:sz w:val="20"/>
          <w:szCs w:val="20"/>
          <w:color w:val="auto"/>
        </w:rPr>
      </w:pPr>
      <w:r>
        <w:rPr>
          <w:rFonts w:ascii="Arial" w:cs="Arial" w:eastAsia="Arial" w:hAnsi="Arial"/>
          <w:sz w:val="13"/>
          <w:szCs w:val="13"/>
          <w:color w:val="auto"/>
        </w:rPr>
        <w:t>Total changes in the income statement</w:t>
      </w:r>
    </w:p>
    <w:p>
      <w:pPr>
        <w:ind w:left="300" w:right="580"/>
        <w:spacing w:after="0" w:line="235" w:lineRule="auto"/>
        <w:rPr>
          <w:sz w:val="20"/>
          <w:szCs w:val="20"/>
          <w:color w:val="auto"/>
        </w:rPr>
      </w:pPr>
      <w:r>
        <w:rPr>
          <w:rFonts w:ascii="Arial" w:cs="Arial" w:eastAsia="Arial" w:hAnsi="Arial"/>
          <w:sz w:val="13"/>
          <w:szCs w:val="13"/>
          <w:color w:val="auto"/>
        </w:rPr>
        <w:t>Investment components Other changes Cash Flow:</w:t>
      </w:r>
    </w:p>
    <w:p>
      <w:pPr>
        <w:ind w:left="300"/>
        <w:spacing w:after="0" w:line="236" w:lineRule="auto"/>
        <w:rPr>
          <w:sz w:val="20"/>
          <w:szCs w:val="20"/>
          <w:color w:val="auto"/>
        </w:rPr>
      </w:pPr>
      <w:r>
        <w:rPr>
          <w:rFonts w:ascii="Arial" w:cs="Arial" w:eastAsia="Arial" w:hAnsi="Arial"/>
          <w:sz w:val="13"/>
          <w:szCs w:val="13"/>
          <w:color w:val="auto"/>
        </w:rPr>
        <w:t>Premiums received.</w:t>
      </w:r>
    </w:p>
    <w:p>
      <w:pPr>
        <w:ind w:left="300"/>
        <w:spacing w:after="0" w:line="235" w:lineRule="auto"/>
        <w:rPr>
          <w:sz w:val="20"/>
          <w:szCs w:val="20"/>
          <w:color w:val="auto"/>
        </w:rPr>
      </w:pPr>
      <w:r>
        <w:rPr>
          <w:rFonts w:ascii="Arial" w:cs="Arial" w:eastAsia="Arial" w:hAnsi="Arial"/>
          <w:sz w:val="13"/>
          <w:szCs w:val="13"/>
          <w:color w:val="auto"/>
        </w:rPr>
        <w:t>Claims and other service</w:t>
      </w:r>
    </w:p>
    <w:p>
      <w:pPr>
        <w:ind w:left="300"/>
        <w:spacing w:after="0" w:line="236" w:lineRule="auto"/>
        <w:rPr>
          <w:sz w:val="20"/>
          <w:szCs w:val="20"/>
          <w:color w:val="auto"/>
        </w:rPr>
      </w:pPr>
      <w:r>
        <w:rPr>
          <w:rFonts w:ascii="Arial" w:cs="Arial" w:eastAsia="Arial" w:hAnsi="Arial"/>
          <w:sz w:val="13"/>
          <w:szCs w:val="13"/>
          <w:color w:val="auto"/>
        </w:rPr>
        <w:t>expenses paid.</w:t>
      </w:r>
    </w:p>
    <w:p>
      <w:pPr>
        <w:ind w:left="300" w:right="60"/>
        <w:spacing w:after="0" w:line="245" w:lineRule="auto"/>
        <w:rPr>
          <w:sz w:val="20"/>
          <w:szCs w:val="20"/>
          <w:color w:val="auto"/>
        </w:rPr>
      </w:pPr>
      <w:r>
        <w:rPr>
          <w:rFonts w:ascii="Arial" w:cs="Arial" w:eastAsia="Arial" w:hAnsi="Arial"/>
          <w:sz w:val="13"/>
          <w:szCs w:val="13"/>
          <w:color w:val="auto"/>
        </w:rPr>
        <w:t xml:space="preserve">Insurance acquisition cash flows. </w:t>
      </w:r>
      <w:r>
        <w:rPr>
          <w:rFonts w:ascii="Arial" w:cs="Arial" w:eastAsia="Arial" w:hAnsi="Arial"/>
          <w:sz w:val="13"/>
          <w:szCs w:val="13"/>
          <w:b w:val="1"/>
          <w:bCs w:val="1"/>
          <w:color w:val="auto"/>
        </w:rPr>
        <w:t>Net Cash Flow</w:t>
      </w:r>
    </w:p>
    <w:p>
      <w:pPr>
        <w:ind w:left="300" w:right="340"/>
        <w:spacing w:after="0" w:line="261" w:lineRule="auto"/>
        <w:rPr>
          <w:sz w:val="20"/>
          <w:szCs w:val="20"/>
          <w:color w:val="auto"/>
        </w:rPr>
      </w:pPr>
      <w:r>
        <w:rPr>
          <w:rFonts w:ascii="Arial" w:cs="Arial" w:eastAsia="Arial" w:hAnsi="Arial"/>
          <w:sz w:val="13"/>
          <w:szCs w:val="13"/>
          <w:b w:val="1"/>
          <w:bCs w:val="1"/>
          <w:color w:val="auto"/>
        </w:rPr>
        <w:t>Balances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1120" w:type="dxa"/>
            <w:vAlign w:val="bottom"/>
            <w:tcBorders>
              <w:top w:val="single" w:sz="8" w:color="auto"/>
            </w:tcBorders>
          </w:tcPr>
          <w:p>
            <w:pPr>
              <w:jc w:val="right"/>
              <w:ind w:right="175"/>
              <w:spacing w:after="0" w:line="131" w:lineRule="exact"/>
              <w:rPr>
                <w:sz w:val="20"/>
                <w:szCs w:val="20"/>
                <w:color w:val="auto"/>
              </w:rPr>
            </w:pPr>
            <w:r>
              <w:rPr>
                <w:rFonts w:ascii="Arial" w:cs="Arial" w:eastAsia="Arial" w:hAnsi="Arial"/>
                <w:sz w:val="13"/>
                <w:szCs w:val="13"/>
                <w:b w:val="1"/>
                <w:bCs w:val="1"/>
                <w:color w:val="auto"/>
              </w:rPr>
              <w:t>S/(000)</w:t>
            </w:r>
          </w:p>
        </w:tc>
        <w:tc>
          <w:tcPr>
            <w:tcW w:w="900" w:type="dxa"/>
            <w:vAlign w:val="bottom"/>
            <w:tcBorders>
              <w:top w:val="single" w:sz="8" w:color="auto"/>
            </w:tcBorders>
          </w:tcPr>
          <w:p>
            <w:pPr>
              <w:jc w:val="right"/>
              <w:ind w:right="95"/>
              <w:spacing w:after="0" w:line="131" w:lineRule="exact"/>
              <w:rPr>
                <w:sz w:val="20"/>
                <w:szCs w:val="20"/>
                <w:color w:val="auto"/>
              </w:rPr>
            </w:pPr>
            <w:r>
              <w:rPr>
                <w:rFonts w:ascii="Arial" w:cs="Arial" w:eastAsia="Arial" w:hAnsi="Arial"/>
                <w:sz w:val="13"/>
                <w:szCs w:val="13"/>
                <w:b w:val="1"/>
                <w:bCs w:val="1"/>
                <w:color w:val="auto"/>
              </w:rPr>
              <w:t>S/(000)</w:t>
            </w:r>
          </w:p>
        </w:tc>
        <w:tc>
          <w:tcPr>
            <w:tcW w:w="1000" w:type="dxa"/>
            <w:vAlign w:val="bottom"/>
            <w:tcBorders>
              <w:top w:val="single" w:sz="8" w:color="auto"/>
            </w:tcBorders>
          </w:tcPr>
          <w:p>
            <w:pPr>
              <w:jc w:val="right"/>
              <w:ind w:right="95"/>
              <w:spacing w:after="0" w:line="131" w:lineRule="exact"/>
              <w:rPr>
                <w:sz w:val="20"/>
                <w:szCs w:val="20"/>
                <w:color w:val="auto"/>
              </w:rPr>
            </w:pPr>
            <w:r>
              <w:rPr>
                <w:rFonts w:ascii="Arial" w:cs="Arial" w:eastAsia="Arial" w:hAnsi="Arial"/>
                <w:sz w:val="13"/>
                <w:szCs w:val="13"/>
                <w:b w:val="1"/>
                <w:bCs w:val="1"/>
                <w:color w:val="auto"/>
              </w:rPr>
              <w:t>S/(000)</w:t>
            </w:r>
          </w:p>
        </w:tc>
        <w:tc>
          <w:tcPr>
            <w:tcW w:w="1120" w:type="dxa"/>
            <w:vAlign w:val="bottom"/>
            <w:tcBorders>
              <w:top w:val="single" w:sz="8" w:color="auto"/>
            </w:tcBorders>
          </w:tcPr>
          <w:p>
            <w:pPr>
              <w:jc w:val="right"/>
              <w:ind w:right="215"/>
              <w:spacing w:after="0" w:line="131" w:lineRule="exact"/>
              <w:rPr>
                <w:sz w:val="20"/>
                <w:szCs w:val="20"/>
                <w:color w:val="auto"/>
              </w:rPr>
            </w:pPr>
            <w:r>
              <w:rPr>
                <w:rFonts w:ascii="Arial" w:cs="Arial" w:eastAsia="Arial" w:hAnsi="Arial"/>
                <w:sz w:val="13"/>
                <w:szCs w:val="13"/>
                <w:b w:val="1"/>
                <w:bCs w:val="1"/>
                <w:color w:val="auto"/>
              </w:rPr>
              <w:t>S/(000)</w:t>
            </w:r>
          </w:p>
        </w:tc>
        <w:tc>
          <w:tcPr>
            <w:tcW w:w="940" w:type="dxa"/>
            <w:vAlign w:val="bottom"/>
            <w:tcBorders>
              <w:top w:val="single" w:sz="8" w:color="auto"/>
            </w:tcBorders>
          </w:tcPr>
          <w:p>
            <w:pPr>
              <w:jc w:val="right"/>
              <w:ind w:right="155"/>
              <w:spacing w:after="0" w:line="131" w:lineRule="exact"/>
              <w:rPr>
                <w:sz w:val="20"/>
                <w:szCs w:val="20"/>
                <w:color w:val="auto"/>
              </w:rPr>
            </w:pPr>
            <w:r>
              <w:rPr>
                <w:rFonts w:ascii="Arial" w:cs="Arial" w:eastAsia="Arial" w:hAnsi="Arial"/>
                <w:sz w:val="13"/>
                <w:szCs w:val="13"/>
                <w:b w:val="1"/>
                <w:bCs w:val="1"/>
                <w:color w:val="auto"/>
              </w:rPr>
              <w:t>S/(000)</w:t>
            </w:r>
          </w:p>
        </w:tc>
        <w:tc>
          <w:tcPr>
            <w:tcW w:w="1120" w:type="dxa"/>
            <w:vAlign w:val="bottom"/>
            <w:tcBorders>
              <w:top w:val="single" w:sz="8" w:color="auto"/>
            </w:tcBorders>
          </w:tcPr>
          <w:p>
            <w:pPr>
              <w:jc w:val="right"/>
              <w:ind w:right="275"/>
              <w:spacing w:after="0" w:line="131" w:lineRule="exact"/>
              <w:rPr>
                <w:sz w:val="20"/>
                <w:szCs w:val="20"/>
                <w:color w:val="auto"/>
              </w:rPr>
            </w:pPr>
            <w:r>
              <w:rPr>
                <w:rFonts w:ascii="Arial" w:cs="Arial" w:eastAsia="Arial" w:hAnsi="Arial"/>
                <w:sz w:val="13"/>
                <w:szCs w:val="13"/>
                <w:b w:val="1"/>
                <w:bCs w:val="1"/>
                <w:color w:val="auto"/>
              </w:rPr>
              <w:t>S/(000)</w:t>
            </w:r>
          </w:p>
        </w:tc>
        <w:tc>
          <w:tcPr>
            <w:tcW w:w="940" w:type="dxa"/>
            <w:vAlign w:val="bottom"/>
            <w:tcBorders>
              <w:top w:val="single" w:sz="8" w:color="auto"/>
            </w:tcBorders>
          </w:tcPr>
          <w:p>
            <w:pPr>
              <w:jc w:val="right"/>
              <w:ind w:right="95"/>
              <w:spacing w:after="0" w:line="131" w:lineRule="exact"/>
              <w:rPr>
                <w:sz w:val="20"/>
                <w:szCs w:val="20"/>
                <w:color w:val="auto"/>
              </w:rPr>
            </w:pPr>
            <w:r>
              <w:rPr>
                <w:rFonts w:ascii="Arial" w:cs="Arial" w:eastAsia="Arial" w:hAnsi="Arial"/>
                <w:sz w:val="13"/>
                <w:szCs w:val="13"/>
                <w:b w:val="1"/>
                <w:bCs w:val="1"/>
                <w:color w:val="auto"/>
              </w:rPr>
              <w:t>S/(000)</w:t>
            </w:r>
          </w:p>
        </w:tc>
        <w:tc>
          <w:tcPr>
            <w:tcW w:w="960" w:type="dxa"/>
            <w:vAlign w:val="bottom"/>
            <w:tcBorders>
              <w:top w:val="single" w:sz="8" w:color="auto"/>
            </w:tcBorders>
          </w:tcPr>
          <w:p>
            <w:pPr>
              <w:jc w:val="right"/>
              <w:ind w:right="55"/>
              <w:spacing w:after="0" w:line="131" w:lineRule="exact"/>
              <w:rPr>
                <w:sz w:val="20"/>
                <w:szCs w:val="20"/>
                <w:color w:val="auto"/>
              </w:rPr>
            </w:pPr>
            <w:r>
              <w:rPr>
                <w:rFonts w:ascii="Arial" w:cs="Arial" w:eastAsia="Arial" w:hAnsi="Arial"/>
                <w:sz w:val="13"/>
                <w:szCs w:val="13"/>
                <w:b w:val="1"/>
                <w:bCs w:val="1"/>
                <w:color w:val="auto"/>
              </w:rPr>
              <w:t>S/(000)</w:t>
            </w:r>
          </w:p>
        </w:tc>
      </w:tr>
      <w:tr>
        <w:trPr>
          <w:trHeight w:val="147"/>
        </w:trPr>
        <w:tc>
          <w:tcPr>
            <w:tcW w:w="1120" w:type="dxa"/>
            <w:vAlign w:val="bottom"/>
          </w:tcPr>
          <w:p>
            <w:pPr>
              <w:jc w:val="right"/>
              <w:ind w:right="175"/>
              <w:spacing w:after="0" w:line="147" w:lineRule="exact"/>
              <w:rPr>
                <w:sz w:val="20"/>
                <w:szCs w:val="20"/>
                <w:color w:val="auto"/>
              </w:rPr>
            </w:pPr>
            <w:r>
              <w:rPr>
                <w:rFonts w:ascii="Arial" w:cs="Arial" w:eastAsia="Arial" w:hAnsi="Arial"/>
                <w:sz w:val="13"/>
                <w:szCs w:val="13"/>
                <w:color w:val="auto"/>
              </w:rPr>
              <w:t>8,396,418</w:t>
            </w:r>
          </w:p>
        </w:tc>
        <w:tc>
          <w:tcPr>
            <w:tcW w:w="900" w:type="dxa"/>
            <w:vAlign w:val="bottom"/>
          </w:tcPr>
          <w:p>
            <w:pPr>
              <w:jc w:val="right"/>
              <w:ind w:right="95"/>
              <w:spacing w:after="0" w:line="147" w:lineRule="exact"/>
              <w:rPr>
                <w:sz w:val="20"/>
                <w:szCs w:val="20"/>
                <w:color w:val="auto"/>
              </w:rPr>
            </w:pPr>
            <w:r>
              <w:rPr>
                <w:rFonts w:ascii="Arial" w:cs="Arial" w:eastAsia="Arial" w:hAnsi="Arial"/>
                <w:sz w:val="13"/>
                <w:szCs w:val="13"/>
                <w:color w:val="auto"/>
              </w:rPr>
              <w:t>163,555</w:t>
            </w:r>
          </w:p>
        </w:tc>
        <w:tc>
          <w:tcPr>
            <w:tcW w:w="1000" w:type="dxa"/>
            <w:vAlign w:val="bottom"/>
          </w:tcPr>
          <w:p>
            <w:pPr>
              <w:jc w:val="right"/>
              <w:ind w:right="95"/>
              <w:spacing w:after="0" w:line="147" w:lineRule="exact"/>
              <w:rPr>
                <w:sz w:val="20"/>
                <w:szCs w:val="20"/>
                <w:color w:val="auto"/>
              </w:rPr>
            </w:pPr>
            <w:r>
              <w:rPr>
                <w:rFonts w:ascii="Arial" w:cs="Arial" w:eastAsia="Arial" w:hAnsi="Arial"/>
                <w:sz w:val="13"/>
                <w:szCs w:val="13"/>
                <w:color w:val="auto"/>
              </w:rPr>
              <w:t>1,073,412</w:t>
            </w:r>
          </w:p>
        </w:tc>
        <w:tc>
          <w:tcPr>
            <w:tcW w:w="1120" w:type="dxa"/>
            <w:vAlign w:val="bottom"/>
          </w:tcPr>
          <w:p>
            <w:pPr>
              <w:jc w:val="right"/>
              <w:ind w:right="215"/>
              <w:spacing w:after="0" w:line="147" w:lineRule="exact"/>
              <w:rPr>
                <w:sz w:val="20"/>
                <w:szCs w:val="20"/>
                <w:color w:val="auto"/>
              </w:rPr>
            </w:pPr>
            <w:r>
              <w:rPr>
                <w:rFonts w:ascii="Arial" w:cs="Arial" w:eastAsia="Arial" w:hAnsi="Arial"/>
                <w:sz w:val="13"/>
                <w:szCs w:val="13"/>
                <w:color w:val="auto"/>
              </w:rPr>
              <w:t>2,274,827</w:t>
            </w:r>
          </w:p>
        </w:tc>
        <w:tc>
          <w:tcPr>
            <w:tcW w:w="940" w:type="dxa"/>
            <w:vAlign w:val="bottom"/>
          </w:tcPr>
          <w:p>
            <w:pPr>
              <w:jc w:val="right"/>
              <w:ind w:right="155"/>
              <w:spacing w:after="0" w:line="147" w:lineRule="exact"/>
              <w:rPr>
                <w:sz w:val="20"/>
                <w:szCs w:val="20"/>
                <w:color w:val="auto"/>
              </w:rPr>
            </w:pPr>
            <w:r>
              <w:rPr>
                <w:rFonts w:ascii="Arial" w:cs="Arial" w:eastAsia="Arial" w:hAnsi="Arial"/>
                <w:sz w:val="13"/>
                <w:szCs w:val="13"/>
                <w:color w:val="auto"/>
              </w:rPr>
              <w:t>14,158</w:t>
            </w:r>
          </w:p>
        </w:tc>
        <w:tc>
          <w:tcPr>
            <w:tcW w:w="1120" w:type="dxa"/>
            <w:vAlign w:val="bottom"/>
          </w:tcPr>
          <w:p>
            <w:pPr>
              <w:jc w:val="right"/>
              <w:ind w:right="235"/>
              <w:spacing w:after="0" w:line="147" w:lineRule="exact"/>
              <w:rPr>
                <w:sz w:val="20"/>
                <w:szCs w:val="20"/>
                <w:color w:val="auto"/>
              </w:rPr>
            </w:pPr>
            <w:r>
              <w:rPr>
                <w:rFonts w:ascii="Arial" w:cs="Arial" w:eastAsia="Arial" w:hAnsi="Arial"/>
                <w:sz w:val="13"/>
                <w:szCs w:val="13"/>
                <w:color w:val="auto"/>
              </w:rPr>
              <w:t>(869,455)</w:t>
            </w:r>
          </w:p>
        </w:tc>
        <w:tc>
          <w:tcPr>
            <w:tcW w:w="940" w:type="dxa"/>
            <w:vAlign w:val="bottom"/>
          </w:tcPr>
          <w:p>
            <w:pPr>
              <w:jc w:val="right"/>
              <w:ind w:right="95"/>
              <w:spacing w:after="0" w:line="147" w:lineRule="exact"/>
              <w:rPr>
                <w:sz w:val="20"/>
                <w:szCs w:val="20"/>
                <w:color w:val="auto"/>
              </w:rPr>
            </w:pPr>
            <w:r>
              <w:rPr>
                <w:rFonts w:ascii="Arial" w:cs="Arial" w:eastAsia="Arial" w:hAnsi="Arial"/>
                <w:sz w:val="13"/>
                <w:szCs w:val="13"/>
                <w:color w:val="auto"/>
              </w:rPr>
              <w:t>101,093</w:t>
            </w:r>
          </w:p>
        </w:tc>
        <w:tc>
          <w:tcPr>
            <w:tcW w:w="960" w:type="dxa"/>
            <w:vAlign w:val="bottom"/>
          </w:tcPr>
          <w:p>
            <w:pPr>
              <w:jc w:val="right"/>
              <w:ind w:right="55"/>
              <w:spacing w:after="0" w:line="147" w:lineRule="exact"/>
              <w:rPr>
                <w:sz w:val="20"/>
                <w:szCs w:val="20"/>
                <w:color w:val="auto"/>
              </w:rPr>
            </w:pPr>
            <w:r>
              <w:rPr>
                <w:rFonts w:ascii="Arial" w:cs="Arial" w:eastAsia="Arial" w:hAnsi="Arial"/>
                <w:sz w:val="13"/>
                <w:szCs w:val="13"/>
                <w:color w:val="auto"/>
              </w:rPr>
              <w:t>11,154,008</w:t>
            </w:r>
          </w:p>
        </w:tc>
      </w:tr>
      <w:tr>
        <w:trPr>
          <w:trHeight w:val="172"/>
        </w:trPr>
        <w:tc>
          <w:tcPr>
            <w:tcW w:w="1120" w:type="dxa"/>
            <w:vAlign w:val="bottom"/>
          </w:tcPr>
          <w:p>
            <w:pPr>
              <w:jc w:val="right"/>
              <w:ind w:right="175"/>
              <w:spacing w:after="0"/>
              <w:rPr>
                <w:sz w:val="20"/>
                <w:szCs w:val="20"/>
                <w:color w:val="auto"/>
              </w:rPr>
            </w:pPr>
            <w:r>
              <w:rPr>
                <w:rFonts w:ascii="Arial" w:cs="Arial" w:eastAsia="Arial" w:hAnsi="Arial"/>
                <w:sz w:val="13"/>
                <w:szCs w:val="13"/>
                <w:color w:val="auto"/>
              </w:rPr>
              <w:t>(3,855,739)</w:t>
            </w:r>
          </w:p>
        </w:tc>
        <w:tc>
          <w:tcPr>
            <w:tcW w:w="900" w:type="dxa"/>
            <w:vAlign w:val="bottom"/>
          </w:tcPr>
          <w:p>
            <w:pPr>
              <w:jc w:val="right"/>
              <w:ind w:right="95"/>
              <w:spacing w:after="0"/>
              <w:rPr>
                <w:sz w:val="20"/>
                <w:szCs w:val="20"/>
                <w:color w:val="auto"/>
              </w:rPr>
            </w:pPr>
            <w:r>
              <w:rPr>
                <w:rFonts w:ascii="Arial" w:cs="Arial" w:eastAsia="Arial" w:hAnsi="Arial"/>
                <w:sz w:val="13"/>
                <w:szCs w:val="13"/>
                <w:color w:val="auto"/>
              </w:rPr>
              <w:t>331</w:t>
            </w:r>
          </w:p>
        </w:tc>
        <w:tc>
          <w:tcPr>
            <w:tcW w:w="100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(3,855,408)</w:t>
            </w:r>
          </w:p>
        </w:tc>
      </w:tr>
      <w:tr>
        <w:trPr>
          <w:trHeight w:val="293"/>
        </w:trPr>
        <w:tc>
          <w:tcPr>
            <w:tcW w:w="1120" w:type="dxa"/>
            <w:vAlign w:val="bottom"/>
          </w:tcPr>
          <w:p>
            <w:pPr>
              <w:jc w:val="right"/>
              <w:ind w:right="175"/>
              <w:spacing w:after="0"/>
              <w:rPr>
                <w:sz w:val="20"/>
                <w:szCs w:val="20"/>
                <w:color w:val="auto"/>
              </w:rPr>
            </w:pPr>
            <w:r>
              <w:rPr>
                <w:rFonts w:ascii="Arial" w:cs="Arial" w:eastAsia="Arial" w:hAnsi="Arial"/>
                <w:sz w:val="13"/>
                <w:szCs w:val="13"/>
                <w:color w:val="auto"/>
              </w:rPr>
              <w:t>11,544</w:t>
            </w:r>
          </w:p>
        </w:tc>
        <w:tc>
          <w:tcPr>
            <w:tcW w:w="90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5"/>
              <w:spacing w:after="0"/>
              <w:rPr>
                <w:sz w:val="20"/>
                <w:szCs w:val="20"/>
                <w:color w:val="auto"/>
              </w:rPr>
            </w:pPr>
            <w:r>
              <w:rPr>
                <w:rFonts w:ascii="Arial" w:cs="Arial" w:eastAsia="Arial" w:hAnsi="Arial"/>
                <w:sz w:val="13"/>
                <w:szCs w:val="13"/>
                <w:color w:val="auto"/>
              </w:rPr>
              <w:t>772,038</w:t>
            </w:r>
          </w:p>
        </w:tc>
        <w:tc>
          <w:tcPr>
            <w:tcW w:w="1120" w:type="dxa"/>
            <w:vAlign w:val="bottom"/>
          </w:tcPr>
          <w:p>
            <w:pPr>
              <w:jc w:val="right"/>
              <w:ind w:right="215"/>
              <w:spacing w:after="0"/>
              <w:rPr>
                <w:sz w:val="20"/>
                <w:szCs w:val="20"/>
                <w:color w:val="auto"/>
              </w:rPr>
            </w:pPr>
            <w:r>
              <w:rPr>
                <w:rFonts w:ascii="Arial" w:cs="Arial" w:eastAsia="Arial" w:hAnsi="Arial"/>
                <w:sz w:val="13"/>
                <w:szCs w:val="13"/>
                <w:color w:val="auto"/>
              </w:rPr>
              <w:t>2,104,635</w:t>
            </w:r>
          </w:p>
        </w:tc>
        <w:tc>
          <w:tcPr>
            <w:tcW w:w="94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2,888,217</w:t>
            </w:r>
          </w:p>
        </w:tc>
      </w:tr>
      <w:tr>
        <w:trPr>
          <w:trHeight w:val="293"/>
        </w:trPr>
        <w:tc>
          <w:tcPr>
            <w:tcW w:w="1120" w:type="dxa"/>
            <w:vAlign w:val="bottom"/>
          </w:tcPr>
          <w:p>
            <w:pPr>
              <w:jc w:val="right"/>
              <w:ind w:right="175"/>
              <w:spacing w:after="0"/>
              <w:rPr>
                <w:sz w:val="20"/>
                <w:szCs w:val="20"/>
                <w:color w:val="auto"/>
              </w:rPr>
            </w:pPr>
            <w:r>
              <w:rPr>
                <w:rFonts w:ascii="Arial" w:cs="Arial" w:eastAsia="Arial" w:hAnsi="Arial"/>
                <w:sz w:val="13"/>
                <w:szCs w:val="13"/>
                <w:color w:val="auto"/>
              </w:rPr>
              <w:t>(592)</w:t>
            </w:r>
          </w:p>
        </w:tc>
        <w:tc>
          <w:tcPr>
            <w:tcW w:w="90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5"/>
              <w:spacing w:after="0"/>
              <w:rPr>
                <w:sz w:val="20"/>
                <w:szCs w:val="20"/>
                <w:color w:val="auto"/>
              </w:rPr>
            </w:pPr>
            <w:r>
              <w:rPr>
                <w:rFonts w:ascii="Arial" w:cs="Arial" w:eastAsia="Arial" w:hAnsi="Arial"/>
                <w:sz w:val="13"/>
                <w:szCs w:val="13"/>
                <w:color w:val="auto"/>
              </w:rPr>
              <w:t>(588,726)</w:t>
            </w:r>
          </w:p>
        </w:tc>
        <w:tc>
          <w:tcPr>
            <w:tcW w:w="1120" w:type="dxa"/>
            <w:vAlign w:val="bottom"/>
          </w:tcPr>
          <w:p>
            <w:pPr>
              <w:jc w:val="right"/>
              <w:ind w:right="215"/>
              <w:spacing w:after="0"/>
              <w:rPr>
                <w:sz w:val="20"/>
                <w:szCs w:val="20"/>
                <w:color w:val="auto"/>
              </w:rPr>
            </w:pPr>
            <w:r>
              <w:rPr>
                <w:rFonts w:ascii="Arial" w:cs="Arial" w:eastAsia="Arial" w:hAnsi="Arial"/>
                <w:sz w:val="13"/>
                <w:szCs w:val="13"/>
                <w:color w:val="auto"/>
              </w:rPr>
              <w:t>(71,098)</w:t>
            </w:r>
          </w:p>
        </w:tc>
        <w:tc>
          <w:tcPr>
            <w:tcW w:w="940" w:type="dxa"/>
            <w:vAlign w:val="bottom"/>
          </w:tcPr>
          <w:p>
            <w:pPr>
              <w:jc w:val="right"/>
              <w:ind w:right="155"/>
              <w:spacing w:after="0"/>
              <w:rPr>
                <w:sz w:val="20"/>
                <w:szCs w:val="20"/>
                <w:color w:val="auto"/>
              </w:rPr>
            </w:pPr>
            <w:r>
              <w:rPr>
                <w:rFonts w:ascii="Arial" w:cs="Arial" w:eastAsia="Arial" w:hAnsi="Arial"/>
                <w:sz w:val="13"/>
                <w:szCs w:val="13"/>
                <w:color w:val="auto"/>
              </w:rPr>
              <w:t>4,871</w:t>
            </w:r>
          </w:p>
        </w:tc>
        <w:tc>
          <w:tcPr>
            <w:tcW w:w="112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(655,545)</w:t>
            </w:r>
          </w:p>
        </w:tc>
      </w:tr>
      <w:tr>
        <w:trPr>
          <w:trHeight w:val="293"/>
        </w:trPr>
        <w:tc>
          <w:tcPr>
            <w:tcW w:w="1120" w:type="dxa"/>
            <w:vAlign w:val="bottom"/>
          </w:tcPr>
          <w:p>
            <w:pPr>
              <w:jc w:val="right"/>
              <w:ind w:right="175"/>
              <w:spacing w:after="0"/>
              <w:rPr>
                <w:sz w:val="20"/>
                <w:szCs w:val="20"/>
                <w:color w:val="auto"/>
              </w:rPr>
            </w:pPr>
            <w:r>
              <w:rPr>
                <w:rFonts w:ascii="Arial" w:cs="Arial" w:eastAsia="Arial" w:hAnsi="Arial"/>
                <w:sz w:val="13"/>
                <w:szCs w:val="13"/>
                <w:color w:val="auto"/>
              </w:rPr>
              <w:t>(8,812)</w:t>
            </w:r>
          </w:p>
        </w:tc>
        <w:tc>
          <w:tcPr>
            <w:tcW w:w="900" w:type="dxa"/>
            <w:vAlign w:val="bottom"/>
          </w:tcPr>
          <w:p>
            <w:pPr>
              <w:jc w:val="right"/>
              <w:ind w:right="95"/>
              <w:spacing w:after="0"/>
              <w:rPr>
                <w:sz w:val="20"/>
                <w:szCs w:val="20"/>
                <w:color w:val="auto"/>
              </w:rPr>
            </w:pPr>
            <w:r>
              <w:rPr>
                <w:rFonts w:ascii="Arial" w:cs="Arial" w:eastAsia="Arial" w:hAnsi="Arial"/>
                <w:sz w:val="13"/>
                <w:szCs w:val="13"/>
                <w:color w:val="auto"/>
              </w:rPr>
              <w:t>25,993</w:t>
            </w:r>
          </w:p>
        </w:tc>
        <w:tc>
          <w:tcPr>
            <w:tcW w:w="100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17,181</w:t>
            </w:r>
          </w:p>
        </w:tc>
      </w:tr>
      <w:tr>
        <w:trPr>
          <w:trHeight w:val="276"/>
        </w:trPr>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3,134</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3,134</w:t>
            </w:r>
          </w:p>
        </w:tc>
      </w:tr>
      <w:tr>
        <w:trPr>
          <w:trHeight w:val="139"/>
        </w:trPr>
        <w:tc>
          <w:tcPr>
            <w:tcW w:w="1120" w:type="dxa"/>
            <w:vAlign w:val="bottom"/>
            <w:tcBorders>
              <w:bottom w:val="single" w:sz="8" w:color="auto"/>
            </w:tcBorders>
          </w:tcPr>
          <w:p>
            <w:pPr>
              <w:jc w:val="right"/>
              <w:ind w:right="175"/>
              <w:spacing w:after="0" w:line="139" w:lineRule="exact"/>
              <w:rPr>
                <w:sz w:val="20"/>
                <w:szCs w:val="20"/>
                <w:color w:val="auto"/>
              </w:rPr>
            </w:pPr>
            <w:r>
              <w:rPr>
                <w:rFonts w:ascii="Arial" w:cs="Arial" w:eastAsia="Arial" w:hAnsi="Arial"/>
                <w:sz w:val="13"/>
                <w:szCs w:val="13"/>
                <w:color w:val="auto"/>
              </w:rPr>
              <w:t>5,274</w:t>
            </w:r>
          </w:p>
        </w:tc>
        <w:tc>
          <w:tcPr>
            <w:tcW w:w="90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25,993</w:t>
            </w:r>
          </w:p>
        </w:tc>
        <w:tc>
          <w:tcPr>
            <w:tcW w:w="100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183,312</w:t>
            </w:r>
          </w:p>
        </w:tc>
        <w:tc>
          <w:tcPr>
            <w:tcW w:w="1120" w:type="dxa"/>
            <w:vAlign w:val="bottom"/>
            <w:tcBorders>
              <w:bottom w:val="single" w:sz="8" w:color="auto"/>
            </w:tcBorders>
          </w:tcPr>
          <w:p>
            <w:pPr>
              <w:jc w:val="right"/>
              <w:ind w:right="215"/>
              <w:spacing w:after="0" w:line="139" w:lineRule="exact"/>
              <w:rPr>
                <w:sz w:val="20"/>
                <w:szCs w:val="20"/>
                <w:color w:val="auto"/>
              </w:rPr>
            </w:pPr>
            <w:r>
              <w:rPr>
                <w:rFonts w:ascii="Arial" w:cs="Arial" w:eastAsia="Arial" w:hAnsi="Arial"/>
                <w:sz w:val="13"/>
                <w:szCs w:val="13"/>
                <w:color w:val="auto"/>
              </w:rPr>
              <w:t>2,033,537</w:t>
            </w:r>
          </w:p>
        </w:tc>
        <w:tc>
          <w:tcPr>
            <w:tcW w:w="940" w:type="dxa"/>
            <w:vAlign w:val="bottom"/>
            <w:tcBorders>
              <w:bottom w:val="single" w:sz="8" w:color="auto"/>
            </w:tcBorders>
          </w:tcPr>
          <w:p>
            <w:pPr>
              <w:jc w:val="right"/>
              <w:ind w:right="155"/>
              <w:spacing w:after="0" w:line="139" w:lineRule="exact"/>
              <w:rPr>
                <w:sz w:val="20"/>
                <w:szCs w:val="20"/>
                <w:color w:val="auto"/>
              </w:rPr>
            </w:pPr>
            <w:r>
              <w:rPr>
                <w:rFonts w:ascii="Arial" w:cs="Arial" w:eastAsia="Arial" w:hAnsi="Arial"/>
                <w:sz w:val="13"/>
                <w:szCs w:val="13"/>
                <w:color w:val="auto"/>
              </w:rPr>
              <w:t>4,871</w:t>
            </w:r>
          </w:p>
        </w:tc>
        <w:tc>
          <w:tcPr>
            <w:tcW w:w="1120" w:type="dxa"/>
            <w:vAlign w:val="bottom"/>
            <w:tcBorders>
              <w:bottom w:val="single" w:sz="8" w:color="auto"/>
            </w:tcBorders>
          </w:tcPr>
          <w:p>
            <w:pPr>
              <w:jc w:val="right"/>
              <w:ind w:right="275"/>
              <w:spacing w:after="0" w:line="139"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line="139" w:lineRule="exact"/>
              <w:rPr>
                <w:sz w:val="20"/>
                <w:szCs w:val="20"/>
                <w:color w:val="auto"/>
              </w:rPr>
            </w:pPr>
            <w:r>
              <w:rPr>
                <w:rFonts w:ascii="Arial" w:cs="Arial" w:eastAsia="Arial" w:hAnsi="Arial"/>
                <w:sz w:val="13"/>
                <w:szCs w:val="13"/>
                <w:color w:val="auto"/>
              </w:rPr>
              <w:t>2,252,987</w:t>
            </w:r>
          </w:p>
        </w:tc>
      </w:tr>
      <w:tr>
        <w:trPr>
          <w:trHeight w:val="164"/>
        </w:trPr>
        <w:tc>
          <w:tcPr>
            <w:tcW w:w="1120" w:type="dxa"/>
            <w:vAlign w:val="bottom"/>
          </w:tcPr>
          <w:p>
            <w:pPr>
              <w:jc w:val="right"/>
              <w:ind w:right="175"/>
              <w:spacing w:after="0"/>
              <w:rPr>
                <w:sz w:val="20"/>
                <w:szCs w:val="20"/>
                <w:color w:val="auto"/>
              </w:rPr>
            </w:pPr>
            <w:r>
              <w:rPr>
                <w:rFonts w:ascii="Arial" w:cs="Arial" w:eastAsia="Arial" w:hAnsi="Arial"/>
                <w:sz w:val="13"/>
                <w:szCs w:val="13"/>
                <w:color w:val="auto"/>
              </w:rPr>
              <w:t>(3,850,465)</w:t>
            </w:r>
          </w:p>
        </w:tc>
        <w:tc>
          <w:tcPr>
            <w:tcW w:w="900" w:type="dxa"/>
            <w:vAlign w:val="bottom"/>
          </w:tcPr>
          <w:p>
            <w:pPr>
              <w:jc w:val="right"/>
              <w:ind w:right="95"/>
              <w:spacing w:after="0"/>
              <w:rPr>
                <w:sz w:val="20"/>
                <w:szCs w:val="20"/>
                <w:color w:val="auto"/>
              </w:rPr>
            </w:pPr>
            <w:r>
              <w:rPr>
                <w:rFonts w:ascii="Arial" w:cs="Arial" w:eastAsia="Arial" w:hAnsi="Arial"/>
                <w:sz w:val="13"/>
                <w:szCs w:val="13"/>
                <w:color w:val="auto"/>
              </w:rPr>
              <w:t>26,324</w:t>
            </w:r>
          </w:p>
        </w:tc>
        <w:tc>
          <w:tcPr>
            <w:tcW w:w="1000" w:type="dxa"/>
            <w:vAlign w:val="bottom"/>
          </w:tcPr>
          <w:p>
            <w:pPr>
              <w:jc w:val="right"/>
              <w:ind w:right="95"/>
              <w:spacing w:after="0"/>
              <w:rPr>
                <w:sz w:val="20"/>
                <w:szCs w:val="20"/>
                <w:color w:val="auto"/>
              </w:rPr>
            </w:pPr>
            <w:r>
              <w:rPr>
                <w:rFonts w:ascii="Arial" w:cs="Arial" w:eastAsia="Arial" w:hAnsi="Arial"/>
                <w:sz w:val="13"/>
                <w:szCs w:val="13"/>
                <w:color w:val="auto"/>
              </w:rPr>
              <w:t>183,312</w:t>
            </w:r>
          </w:p>
        </w:tc>
        <w:tc>
          <w:tcPr>
            <w:tcW w:w="1120" w:type="dxa"/>
            <w:vAlign w:val="bottom"/>
          </w:tcPr>
          <w:p>
            <w:pPr>
              <w:jc w:val="right"/>
              <w:ind w:right="215"/>
              <w:spacing w:after="0"/>
              <w:rPr>
                <w:sz w:val="20"/>
                <w:szCs w:val="20"/>
                <w:color w:val="auto"/>
              </w:rPr>
            </w:pPr>
            <w:r>
              <w:rPr>
                <w:rFonts w:ascii="Arial" w:cs="Arial" w:eastAsia="Arial" w:hAnsi="Arial"/>
                <w:sz w:val="13"/>
                <w:szCs w:val="13"/>
                <w:color w:val="auto"/>
              </w:rPr>
              <w:t>2,033,537</w:t>
            </w:r>
          </w:p>
        </w:tc>
        <w:tc>
          <w:tcPr>
            <w:tcW w:w="940" w:type="dxa"/>
            <w:vAlign w:val="bottom"/>
          </w:tcPr>
          <w:p>
            <w:pPr>
              <w:jc w:val="right"/>
              <w:ind w:right="155"/>
              <w:spacing w:after="0"/>
              <w:rPr>
                <w:sz w:val="20"/>
                <w:szCs w:val="20"/>
                <w:color w:val="auto"/>
              </w:rPr>
            </w:pPr>
            <w:r>
              <w:rPr>
                <w:rFonts w:ascii="Arial" w:cs="Arial" w:eastAsia="Arial" w:hAnsi="Arial"/>
                <w:sz w:val="13"/>
                <w:szCs w:val="13"/>
                <w:color w:val="auto"/>
              </w:rPr>
              <w:t>4,871</w:t>
            </w:r>
          </w:p>
        </w:tc>
        <w:tc>
          <w:tcPr>
            <w:tcW w:w="112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(1,602,421)</w:t>
            </w:r>
          </w:p>
        </w:tc>
      </w:tr>
      <w:tr>
        <w:trPr>
          <w:trHeight w:val="268"/>
        </w:trPr>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1,051,939</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(4,492)</w:t>
            </w: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140,934</w:t>
            </w: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146,732</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1,759</w:t>
            </w: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1,336,872</w:t>
            </w:r>
          </w:p>
        </w:tc>
      </w:tr>
      <w:tr>
        <w:trPr>
          <w:trHeight w:val="266"/>
        </w:trPr>
        <w:tc>
          <w:tcPr>
            <w:tcW w:w="1120" w:type="dxa"/>
            <w:vAlign w:val="bottom"/>
          </w:tcPr>
          <w:p>
            <w:pPr>
              <w:jc w:val="right"/>
              <w:ind w:right="175"/>
              <w:spacing w:after="0"/>
              <w:rPr>
                <w:sz w:val="20"/>
                <w:szCs w:val="20"/>
                <w:color w:val="auto"/>
              </w:rPr>
            </w:pPr>
            <w:r>
              <w:rPr>
                <w:rFonts w:ascii="Arial" w:cs="Arial" w:eastAsia="Arial" w:hAnsi="Arial"/>
                <w:sz w:val="13"/>
                <w:szCs w:val="13"/>
                <w:color w:val="auto"/>
              </w:rPr>
              <w:t>(2,798,526)</w:t>
            </w:r>
          </w:p>
        </w:tc>
        <w:tc>
          <w:tcPr>
            <w:tcW w:w="900" w:type="dxa"/>
            <w:vAlign w:val="bottom"/>
          </w:tcPr>
          <w:p>
            <w:pPr>
              <w:jc w:val="right"/>
              <w:ind w:right="95"/>
              <w:spacing w:after="0"/>
              <w:rPr>
                <w:sz w:val="20"/>
                <w:szCs w:val="20"/>
                <w:color w:val="auto"/>
              </w:rPr>
            </w:pPr>
            <w:r>
              <w:rPr>
                <w:rFonts w:ascii="Arial" w:cs="Arial" w:eastAsia="Arial" w:hAnsi="Arial"/>
                <w:sz w:val="13"/>
                <w:szCs w:val="13"/>
                <w:color w:val="auto"/>
              </w:rPr>
              <w:t>21,832</w:t>
            </w:r>
          </w:p>
        </w:tc>
        <w:tc>
          <w:tcPr>
            <w:tcW w:w="1000" w:type="dxa"/>
            <w:vAlign w:val="bottom"/>
          </w:tcPr>
          <w:p>
            <w:pPr>
              <w:jc w:val="right"/>
              <w:ind w:right="95"/>
              <w:spacing w:after="0"/>
              <w:rPr>
                <w:sz w:val="20"/>
                <w:szCs w:val="20"/>
                <w:color w:val="auto"/>
              </w:rPr>
            </w:pPr>
            <w:r>
              <w:rPr>
                <w:rFonts w:ascii="Arial" w:cs="Arial" w:eastAsia="Arial" w:hAnsi="Arial"/>
                <w:sz w:val="13"/>
                <w:szCs w:val="13"/>
                <w:color w:val="auto"/>
              </w:rPr>
              <w:t>324,246</w:t>
            </w:r>
          </w:p>
        </w:tc>
        <w:tc>
          <w:tcPr>
            <w:tcW w:w="1120" w:type="dxa"/>
            <w:vAlign w:val="bottom"/>
          </w:tcPr>
          <w:p>
            <w:pPr>
              <w:jc w:val="right"/>
              <w:ind w:right="215"/>
              <w:spacing w:after="0"/>
              <w:rPr>
                <w:sz w:val="20"/>
                <w:szCs w:val="20"/>
                <w:color w:val="auto"/>
              </w:rPr>
            </w:pPr>
            <w:r>
              <w:rPr>
                <w:rFonts w:ascii="Arial" w:cs="Arial" w:eastAsia="Arial" w:hAnsi="Arial"/>
                <w:sz w:val="13"/>
                <w:szCs w:val="13"/>
                <w:color w:val="auto"/>
              </w:rPr>
              <w:t>2,180,269</w:t>
            </w:r>
          </w:p>
        </w:tc>
        <w:tc>
          <w:tcPr>
            <w:tcW w:w="940" w:type="dxa"/>
            <w:vAlign w:val="bottom"/>
          </w:tcPr>
          <w:p>
            <w:pPr>
              <w:jc w:val="right"/>
              <w:ind w:right="155"/>
              <w:spacing w:after="0"/>
              <w:rPr>
                <w:sz w:val="20"/>
                <w:szCs w:val="20"/>
                <w:color w:val="auto"/>
              </w:rPr>
            </w:pPr>
            <w:r>
              <w:rPr>
                <w:rFonts w:ascii="Arial" w:cs="Arial" w:eastAsia="Arial" w:hAnsi="Arial"/>
                <w:sz w:val="13"/>
                <w:szCs w:val="13"/>
                <w:color w:val="auto"/>
              </w:rPr>
              <w:t>6,630</w:t>
            </w:r>
          </w:p>
        </w:tc>
        <w:tc>
          <w:tcPr>
            <w:tcW w:w="112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(265,549)</w:t>
            </w:r>
          </w:p>
        </w:tc>
      </w:tr>
      <w:tr>
        <w:trPr>
          <w:trHeight w:val="147"/>
        </w:trPr>
        <w:tc>
          <w:tcPr>
            <w:tcW w:w="1120" w:type="dxa"/>
            <w:vAlign w:val="bottom"/>
          </w:tcPr>
          <w:p>
            <w:pPr>
              <w:jc w:val="right"/>
              <w:ind w:right="175"/>
              <w:spacing w:after="0" w:line="147" w:lineRule="exact"/>
              <w:rPr>
                <w:sz w:val="20"/>
                <w:szCs w:val="20"/>
                <w:color w:val="auto"/>
              </w:rPr>
            </w:pPr>
            <w:r>
              <w:rPr>
                <w:rFonts w:ascii="Arial" w:cs="Arial" w:eastAsia="Arial" w:hAnsi="Arial"/>
                <w:sz w:val="13"/>
                <w:szCs w:val="13"/>
                <w:color w:val="auto"/>
              </w:rPr>
              <w:t>(901,136)</w:t>
            </w:r>
          </w:p>
        </w:tc>
        <w:tc>
          <w:tcPr>
            <w:tcW w:w="900" w:type="dxa"/>
            <w:vAlign w:val="bottom"/>
          </w:tcPr>
          <w:p>
            <w:pPr>
              <w:jc w:val="right"/>
              <w:ind w:right="95"/>
              <w:spacing w:after="0" w:line="147" w:lineRule="exact"/>
              <w:rPr>
                <w:sz w:val="20"/>
                <w:szCs w:val="20"/>
                <w:color w:val="auto"/>
              </w:rPr>
            </w:pPr>
            <w:r>
              <w:rPr>
                <w:rFonts w:ascii="Arial" w:cs="Arial" w:eastAsia="Arial" w:hAnsi="Arial"/>
                <w:sz w:val="13"/>
                <w:szCs w:val="13"/>
                <w:color w:val="auto"/>
              </w:rPr>
              <w:t>(10)</w:t>
            </w:r>
          </w:p>
        </w:tc>
        <w:tc>
          <w:tcPr>
            <w:tcW w:w="1000" w:type="dxa"/>
            <w:vAlign w:val="bottom"/>
          </w:tcPr>
          <w:p>
            <w:pPr>
              <w:jc w:val="right"/>
              <w:ind w:right="95"/>
              <w:spacing w:after="0" w:line="147" w:lineRule="exact"/>
              <w:rPr>
                <w:sz w:val="20"/>
                <w:szCs w:val="20"/>
                <w:color w:val="auto"/>
              </w:rPr>
            </w:pPr>
            <w:r>
              <w:rPr>
                <w:rFonts w:ascii="Arial" w:cs="Arial" w:eastAsia="Arial" w:hAnsi="Arial"/>
                <w:sz w:val="13"/>
                <w:szCs w:val="13"/>
                <w:color w:val="auto"/>
              </w:rPr>
              <w:t>901,131</w:t>
            </w:r>
          </w:p>
        </w:tc>
        <w:tc>
          <w:tcPr>
            <w:tcW w:w="1120" w:type="dxa"/>
            <w:vAlign w:val="bottom"/>
          </w:tcPr>
          <w:p>
            <w:pPr>
              <w:jc w:val="right"/>
              <w:ind w:right="215"/>
              <w:spacing w:after="0" w:line="147"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55"/>
              <w:spacing w:after="0" w:line="147"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5"/>
              <w:spacing w:after="0" w:line="147"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95"/>
              <w:spacing w:after="0" w:line="147"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line="147" w:lineRule="exact"/>
              <w:rPr>
                <w:sz w:val="20"/>
                <w:szCs w:val="20"/>
                <w:color w:val="auto"/>
              </w:rPr>
            </w:pPr>
            <w:r>
              <w:rPr>
                <w:rFonts w:ascii="Arial" w:cs="Arial" w:eastAsia="Arial" w:hAnsi="Arial"/>
                <w:sz w:val="13"/>
                <w:szCs w:val="13"/>
                <w:color w:val="auto"/>
              </w:rPr>
              <w:t>(15)</w:t>
            </w:r>
          </w:p>
        </w:tc>
      </w:tr>
      <w:tr>
        <w:trPr>
          <w:trHeight w:val="172"/>
        </w:trPr>
        <w:tc>
          <w:tcPr>
            <w:tcW w:w="1120" w:type="dxa"/>
            <w:vAlign w:val="bottom"/>
          </w:tcPr>
          <w:p>
            <w:pPr>
              <w:jc w:val="right"/>
              <w:ind w:right="175"/>
              <w:spacing w:after="0"/>
              <w:rPr>
                <w:sz w:val="20"/>
                <w:szCs w:val="20"/>
                <w:color w:val="auto"/>
              </w:rPr>
            </w:pPr>
            <w:r>
              <w:rPr>
                <w:rFonts w:ascii="Arial" w:cs="Arial" w:eastAsia="Arial" w:hAnsi="Arial"/>
                <w:sz w:val="13"/>
                <w:szCs w:val="13"/>
                <w:color w:val="auto"/>
              </w:rPr>
              <w:t>(163,289)</w:t>
            </w:r>
          </w:p>
        </w:tc>
        <w:tc>
          <w:tcPr>
            <w:tcW w:w="900" w:type="dxa"/>
            <w:vAlign w:val="bottom"/>
          </w:tcPr>
          <w:p>
            <w:pPr>
              <w:jc w:val="right"/>
              <w:ind w:right="95"/>
              <w:spacing w:after="0"/>
              <w:rPr>
                <w:sz w:val="20"/>
                <w:szCs w:val="20"/>
                <w:color w:val="auto"/>
              </w:rPr>
            </w:pPr>
            <w:r>
              <w:rPr>
                <w:rFonts w:ascii="Arial" w:cs="Arial" w:eastAsia="Arial" w:hAnsi="Arial"/>
                <w:sz w:val="13"/>
                <w:szCs w:val="13"/>
                <w:color w:val="auto"/>
              </w:rPr>
              <w:t>22,700</w:t>
            </w:r>
          </w:p>
        </w:tc>
        <w:tc>
          <w:tcPr>
            <w:tcW w:w="1000" w:type="dxa"/>
            <w:vAlign w:val="bottom"/>
          </w:tcPr>
          <w:p>
            <w:pPr>
              <w:jc w:val="right"/>
              <w:ind w:right="95"/>
              <w:spacing w:after="0"/>
              <w:rPr>
                <w:sz w:val="20"/>
                <w:szCs w:val="20"/>
                <w:color w:val="auto"/>
              </w:rPr>
            </w:pPr>
            <w:r>
              <w:rPr>
                <w:rFonts w:ascii="Arial" w:cs="Arial" w:eastAsia="Arial" w:hAnsi="Arial"/>
                <w:sz w:val="13"/>
                <w:szCs w:val="13"/>
                <w:color w:val="auto"/>
              </w:rPr>
              <w:t>(1,609)</w:t>
            </w:r>
          </w:p>
        </w:tc>
        <w:tc>
          <w:tcPr>
            <w:tcW w:w="1120" w:type="dxa"/>
            <w:vAlign w:val="bottom"/>
          </w:tcPr>
          <w:p>
            <w:pPr>
              <w:jc w:val="right"/>
              <w:ind w:right="215"/>
              <w:spacing w:after="0"/>
              <w:rPr>
                <w:sz w:val="20"/>
                <w:szCs w:val="20"/>
                <w:color w:val="auto"/>
              </w:rPr>
            </w:pPr>
            <w:r>
              <w:rPr>
                <w:rFonts w:ascii="Arial" w:cs="Arial" w:eastAsia="Arial" w:hAnsi="Arial"/>
                <w:sz w:val="13"/>
                <w:szCs w:val="13"/>
                <w:color w:val="auto"/>
              </w:rPr>
              <w:t>33,651</w:t>
            </w:r>
          </w:p>
        </w:tc>
        <w:tc>
          <w:tcPr>
            <w:tcW w:w="940" w:type="dxa"/>
            <w:vAlign w:val="bottom"/>
          </w:tcPr>
          <w:p>
            <w:pPr>
              <w:jc w:val="right"/>
              <w:ind w:right="155"/>
              <w:spacing w:after="0"/>
              <w:rPr>
                <w:sz w:val="20"/>
                <w:szCs w:val="20"/>
                <w:color w:val="auto"/>
              </w:rPr>
            </w:pPr>
            <w:r>
              <w:rPr>
                <w:rFonts w:ascii="Arial" w:cs="Arial" w:eastAsia="Arial" w:hAnsi="Arial"/>
                <w:sz w:val="13"/>
                <w:szCs w:val="13"/>
                <w:color w:val="auto"/>
              </w:rPr>
              <w:t>(317)</w:t>
            </w:r>
          </w:p>
        </w:tc>
        <w:tc>
          <w:tcPr>
            <w:tcW w:w="1120" w:type="dxa"/>
            <w:vAlign w:val="bottom"/>
          </w:tcPr>
          <w:p>
            <w:pPr>
              <w:jc w:val="right"/>
              <w:ind w:right="275"/>
              <w:spacing w:after="0"/>
              <w:rPr>
                <w:sz w:val="20"/>
                <w:szCs w:val="20"/>
                <w:color w:val="auto"/>
              </w:rPr>
            </w:pPr>
            <w:r>
              <w:rPr>
                <w:rFonts w:ascii="Arial" w:cs="Arial" w:eastAsia="Arial" w:hAnsi="Arial"/>
                <w:sz w:val="13"/>
                <w:szCs w:val="13"/>
                <w:color w:val="auto"/>
              </w:rPr>
              <w:t>(70,408)</w:t>
            </w: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(8,028)</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(187,300)</w:t>
            </w:r>
          </w:p>
        </w:tc>
      </w:tr>
      <w:tr>
        <w:trPr>
          <w:trHeight w:val="293"/>
        </w:trPr>
        <w:tc>
          <w:tcPr>
            <w:tcW w:w="1120" w:type="dxa"/>
            <w:vAlign w:val="bottom"/>
          </w:tcPr>
          <w:p>
            <w:pPr>
              <w:jc w:val="right"/>
              <w:ind w:right="175"/>
              <w:spacing w:after="0"/>
              <w:rPr>
                <w:sz w:val="20"/>
                <w:szCs w:val="20"/>
                <w:color w:val="auto"/>
              </w:rPr>
            </w:pPr>
            <w:r>
              <w:rPr>
                <w:rFonts w:ascii="Arial" w:cs="Arial" w:eastAsia="Arial" w:hAnsi="Arial"/>
                <w:sz w:val="13"/>
                <w:szCs w:val="13"/>
                <w:color w:val="auto"/>
              </w:rPr>
              <w:t>4,773,477</w:t>
            </w:r>
          </w:p>
        </w:tc>
        <w:tc>
          <w:tcPr>
            <w:tcW w:w="900" w:type="dxa"/>
            <w:vAlign w:val="bottom"/>
          </w:tcPr>
          <w:p>
            <w:pPr>
              <w:jc w:val="right"/>
              <w:ind w:right="95"/>
              <w:spacing w:after="0"/>
              <w:rPr>
                <w:sz w:val="20"/>
                <w:szCs w:val="20"/>
                <w:color w:val="auto"/>
              </w:rPr>
            </w:pPr>
            <w:r>
              <w:rPr>
                <w:rFonts w:ascii="Arial" w:cs="Arial" w:eastAsia="Arial" w:hAnsi="Arial"/>
                <w:sz w:val="13"/>
                <w:szCs w:val="13"/>
                <w:color w:val="auto"/>
              </w:rPr>
              <w:t>(382)</w:t>
            </w:r>
          </w:p>
        </w:tc>
        <w:tc>
          <w:tcPr>
            <w:tcW w:w="100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4,773,095</w:t>
            </w:r>
          </w:p>
        </w:tc>
      </w:tr>
      <w:tr>
        <w:trPr>
          <w:trHeight w:val="268"/>
        </w:trPr>
        <w:tc>
          <w:tcPr>
            <w:tcW w:w="112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5"/>
              <w:spacing w:after="0"/>
              <w:rPr>
                <w:sz w:val="20"/>
                <w:szCs w:val="20"/>
                <w:color w:val="auto"/>
              </w:rPr>
            </w:pPr>
            <w:r>
              <w:rPr>
                <w:rFonts w:ascii="Arial" w:cs="Arial" w:eastAsia="Arial" w:hAnsi="Arial"/>
                <w:sz w:val="13"/>
                <w:szCs w:val="13"/>
                <w:color w:val="auto"/>
              </w:rPr>
              <w:t>(1,084,324)</w:t>
            </w:r>
          </w:p>
        </w:tc>
        <w:tc>
          <w:tcPr>
            <w:tcW w:w="1120" w:type="dxa"/>
            <w:vAlign w:val="bottom"/>
          </w:tcPr>
          <w:p>
            <w:pPr>
              <w:jc w:val="right"/>
              <w:ind w:right="215"/>
              <w:spacing w:after="0"/>
              <w:rPr>
                <w:sz w:val="20"/>
                <w:szCs w:val="20"/>
                <w:color w:val="auto"/>
              </w:rPr>
            </w:pPr>
            <w:r>
              <w:rPr>
                <w:rFonts w:ascii="Arial" w:cs="Arial" w:eastAsia="Arial" w:hAnsi="Arial"/>
                <w:sz w:val="13"/>
                <w:szCs w:val="13"/>
                <w:color w:val="auto"/>
              </w:rPr>
              <w:t>(1,991,308)</w:t>
            </w:r>
          </w:p>
        </w:tc>
        <w:tc>
          <w:tcPr>
            <w:tcW w:w="94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(3,075,632)</w:t>
            </w:r>
          </w:p>
        </w:tc>
      </w:tr>
      <w:tr>
        <w:trPr>
          <w:trHeight w:val="154"/>
        </w:trPr>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(80,474)</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(80,474)</w:t>
            </w:r>
          </w:p>
        </w:tc>
      </w:tr>
      <w:tr>
        <w:trPr>
          <w:trHeight w:val="139"/>
        </w:trPr>
        <w:tc>
          <w:tcPr>
            <w:tcW w:w="1120" w:type="dxa"/>
            <w:vAlign w:val="bottom"/>
            <w:tcBorders>
              <w:bottom w:val="single" w:sz="8" w:color="auto"/>
            </w:tcBorders>
          </w:tcPr>
          <w:p>
            <w:pPr>
              <w:jc w:val="right"/>
              <w:ind w:right="175"/>
              <w:spacing w:after="0" w:line="139" w:lineRule="exact"/>
              <w:rPr>
                <w:sz w:val="20"/>
                <w:szCs w:val="20"/>
                <w:color w:val="auto"/>
              </w:rPr>
            </w:pPr>
            <w:r>
              <w:rPr>
                <w:rFonts w:ascii="Arial" w:cs="Arial" w:eastAsia="Arial" w:hAnsi="Arial"/>
                <w:sz w:val="13"/>
                <w:szCs w:val="13"/>
                <w:color w:val="auto"/>
              </w:rPr>
              <w:t>4,693,003</w:t>
            </w:r>
          </w:p>
        </w:tc>
        <w:tc>
          <w:tcPr>
            <w:tcW w:w="90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(382)</w:t>
            </w:r>
          </w:p>
        </w:tc>
        <w:tc>
          <w:tcPr>
            <w:tcW w:w="100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(1,084,324)</w:t>
            </w:r>
          </w:p>
        </w:tc>
        <w:tc>
          <w:tcPr>
            <w:tcW w:w="1120" w:type="dxa"/>
            <w:vAlign w:val="bottom"/>
            <w:tcBorders>
              <w:bottom w:val="single" w:sz="8" w:color="auto"/>
            </w:tcBorders>
          </w:tcPr>
          <w:p>
            <w:pPr>
              <w:jc w:val="right"/>
              <w:ind w:right="215"/>
              <w:spacing w:after="0" w:line="139" w:lineRule="exact"/>
              <w:rPr>
                <w:sz w:val="20"/>
                <w:szCs w:val="20"/>
                <w:color w:val="auto"/>
              </w:rPr>
            </w:pPr>
            <w:r>
              <w:rPr>
                <w:rFonts w:ascii="Arial" w:cs="Arial" w:eastAsia="Arial" w:hAnsi="Arial"/>
                <w:sz w:val="13"/>
                <w:szCs w:val="13"/>
                <w:color w:val="auto"/>
              </w:rPr>
              <w:t>(1,991,308)</w:t>
            </w:r>
          </w:p>
        </w:tc>
        <w:tc>
          <w:tcPr>
            <w:tcW w:w="940" w:type="dxa"/>
            <w:vAlign w:val="bottom"/>
            <w:tcBorders>
              <w:bottom w:val="single" w:sz="8" w:color="auto"/>
            </w:tcBorders>
          </w:tcPr>
          <w:p>
            <w:pPr>
              <w:jc w:val="right"/>
              <w:ind w:right="155"/>
              <w:spacing w:after="0" w:line="13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275"/>
              <w:spacing w:after="0" w:line="139"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line="139" w:lineRule="exact"/>
              <w:rPr>
                <w:sz w:val="20"/>
                <w:szCs w:val="20"/>
                <w:color w:val="auto"/>
              </w:rPr>
            </w:pPr>
            <w:r>
              <w:rPr>
                <w:rFonts w:ascii="Arial" w:cs="Arial" w:eastAsia="Arial" w:hAnsi="Arial"/>
                <w:sz w:val="13"/>
                <w:szCs w:val="13"/>
                <w:color w:val="auto"/>
              </w:rPr>
              <w:t>1,616,989</w:t>
            </w:r>
          </w:p>
        </w:tc>
      </w:tr>
      <w:tr>
        <w:trPr>
          <w:trHeight w:val="265"/>
        </w:trPr>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9,226,470</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207,695</w:t>
            </w: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1,212,856</w:t>
            </w: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2,497,439</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20,471</w:t>
            </w: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(939,863)</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93,065</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12,318,133</w:t>
            </w:r>
          </w:p>
        </w:tc>
      </w:tr>
    </w:tbl>
    <w:p>
      <w:pPr>
        <w:spacing w:after="0" w:line="142" w:lineRule="exact"/>
        <w:rPr>
          <w:sz w:val="20"/>
          <w:szCs w:val="20"/>
          <w:color w:val="auto"/>
        </w:rPr>
      </w:pPr>
    </w:p>
    <w:p>
      <w:pPr>
        <w:sectPr>
          <w:pgSz w:w="11900" w:h="16838" w:orient="portrait"/>
          <w:cols w:equalWidth="0" w:num="2">
            <w:col w:w="2260" w:space="60"/>
            <w:col w:w="8100"/>
          </w:cols>
          <w:pgMar w:left="900" w:top="124" w:right="579" w:bottom="1440" w:gutter="0" w:footer="0" w:header="0"/>
          <w:type w:val="continuous"/>
        </w:sectPr>
      </w:pPr>
    </w:p>
    <w:p>
      <w:pPr>
        <w:jc w:val="center"/>
        <w:ind w:right="32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41275</wp:posOffset>
            </wp:positionV>
            <wp:extent cx="714565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420"/>
          </w:cols>
          <w:pgMar w:left="900" w:top="124" w:right="579" w:bottom="1440" w:gutter="0" w:footer="0" w:header="0"/>
          <w:type w:val="continuous"/>
        </w:sectPr>
      </w:pPr>
    </w:p>
    <w:bookmarkStart w:id="87" w:name="page88"/>
    <w:bookmarkEnd w:id="87"/>
    <w:p>
      <w:pPr>
        <w:ind w:left="2120"/>
        <w:spacing w:after="0"/>
        <w:rPr>
          <w:sz w:val="20"/>
          <w:szCs w:val="20"/>
          <w:color w:val="auto"/>
        </w:rPr>
      </w:pPr>
      <w:r>
        <w:rPr>
          <w:rFonts w:ascii="Arial" w:cs="Arial" w:eastAsia="Arial" w:hAnsi="Arial"/>
          <w:sz w:val="13"/>
          <w:szCs w:val="13"/>
          <w:b w:val="1"/>
          <w:bCs w:val="1"/>
          <w:color w:val="auto"/>
        </w:rPr>
        <w:t>As of December 31, 2022</w:t>
      </w:r>
    </w:p>
    <w:p>
      <w:pPr>
        <w:spacing w:after="0" w:line="5" w:lineRule="exact"/>
        <w:rPr>
          <w:sz w:val="20"/>
          <w:szCs w:val="20"/>
          <w:color w:val="auto"/>
        </w:rPr>
      </w:pPr>
    </w:p>
    <w:tbl>
      <w:tblPr>
        <w:tblLayout w:type="fixed"/>
        <w:tblInd w:w="2120" w:type="dxa"/>
        <w:tblCellMar>
          <w:top w:w="0" w:type="dxa"/>
          <w:left w:w="0" w:type="dxa"/>
          <w:bottom w:w="0" w:type="dxa"/>
          <w:right w:w="0" w:type="dxa"/>
        </w:tblCellMar>
      </w:tblPr>
      <w:tr>
        <w:trPr>
          <w:trHeight w:val="131"/>
        </w:trPr>
        <w:tc>
          <w:tcPr>
            <w:tcW w:w="7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Liabilities for</w:t>
            </w:r>
          </w:p>
        </w:tc>
        <w:tc>
          <w:tcPr>
            <w:tcW w:w="1980" w:type="dxa"/>
            <w:vAlign w:val="bottom"/>
            <w:tcBorders>
              <w:top w:val="single" w:sz="8" w:color="auto"/>
            </w:tcBorders>
            <w:gridSpan w:val="3"/>
          </w:tcPr>
          <w:p>
            <w:pPr>
              <w:ind w:left="80"/>
              <w:spacing w:after="0" w:line="131" w:lineRule="exact"/>
              <w:rPr>
                <w:sz w:val="20"/>
                <w:szCs w:val="20"/>
                <w:color w:val="auto"/>
              </w:rPr>
            </w:pPr>
            <w:r>
              <w:rPr>
                <w:rFonts w:ascii="Arial" w:cs="Arial" w:eastAsia="Arial" w:hAnsi="Arial"/>
                <w:sz w:val="13"/>
                <w:szCs w:val="13"/>
                <w:b w:val="1"/>
                <w:bCs w:val="1"/>
                <w:color w:val="auto"/>
              </w:rPr>
              <w:t>Liabilities for incurred claims</w:t>
            </w:r>
          </w:p>
        </w:tc>
        <w:tc>
          <w:tcPr>
            <w:tcW w:w="9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76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Remaining coverage</w:t>
            </w:r>
          </w:p>
        </w:tc>
        <w:tc>
          <w:tcPr>
            <w:tcW w:w="1020" w:type="dxa"/>
            <w:vAlign w:val="bottom"/>
          </w:tcPr>
          <w:p>
            <w:pPr>
              <w:ind w:left="100"/>
              <w:spacing w:after="0" w:line="147" w:lineRule="exact"/>
              <w:rPr>
                <w:sz w:val="20"/>
                <w:szCs w:val="20"/>
                <w:color w:val="auto"/>
              </w:rPr>
            </w:pPr>
            <w:r>
              <w:rPr>
                <w:rFonts w:ascii="Arial" w:cs="Arial" w:eastAsia="Arial" w:hAnsi="Arial"/>
                <w:sz w:val="13"/>
                <w:szCs w:val="13"/>
                <w:b w:val="1"/>
                <w:bCs w:val="1"/>
                <w:color w:val="auto"/>
              </w:rPr>
              <w:t>incurred</w:t>
            </w:r>
          </w:p>
        </w:tc>
        <w:tc>
          <w:tcPr>
            <w:tcW w:w="1980" w:type="dxa"/>
            <w:vAlign w:val="bottom"/>
            <w:gridSpan w:val="3"/>
          </w:tcPr>
          <w:p>
            <w:pPr>
              <w:ind w:left="80"/>
              <w:spacing w:after="0" w:line="147" w:lineRule="exact"/>
              <w:rPr>
                <w:sz w:val="20"/>
                <w:szCs w:val="20"/>
                <w:color w:val="auto"/>
              </w:rPr>
            </w:pPr>
            <w:r>
              <w:rPr>
                <w:rFonts w:ascii="Arial" w:cs="Arial" w:eastAsia="Arial" w:hAnsi="Arial"/>
                <w:sz w:val="13"/>
                <w:szCs w:val="13"/>
                <w:b w:val="1"/>
                <w:bCs w:val="1"/>
                <w:color w:val="auto"/>
              </w:rPr>
              <w:t>for contracts measured by</w:t>
            </w:r>
          </w:p>
        </w:tc>
        <w:tc>
          <w:tcPr>
            <w:tcW w:w="920" w:type="dxa"/>
            <w:vAlign w:val="bottom"/>
          </w:tcPr>
          <w:p>
            <w:pPr>
              <w:ind w:left="100"/>
              <w:spacing w:after="0" w:line="147" w:lineRule="exact"/>
              <w:rPr>
                <w:sz w:val="20"/>
                <w:szCs w:val="20"/>
                <w:color w:val="auto"/>
              </w:rPr>
            </w:pPr>
            <w:r>
              <w:rPr>
                <w:rFonts w:ascii="Arial" w:cs="Arial" w:eastAsia="Arial" w:hAnsi="Arial"/>
                <w:sz w:val="13"/>
                <w:szCs w:val="13"/>
                <w:b w:val="1"/>
                <w:bCs w:val="1"/>
                <w:color w:val="auto"/>
              </w:rPr>
              <w:t>Accounts</w:t>
            </w:r>
          </w:p>
        </w:tc>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liabilities</w:t>
            </w:r>
          </w:p>
        </w:tc>
        <w:tc>
          <w:tcPr>
            <w:tcW w:w="980" w:type="dxa"/>
            <w:vAlign w:val="bottom"/>
            <w:tcBorders>
              <w:bottom w:val="single" w:sz="8" w:color="auto"/>
            </w:tcBorders>
          </w:tcPr>
          <w:p>
            <w:pPr>
              <w:spacing w:after="0"/>
              <w:rPr>
                <w:sz w:val="13"/>
                <w:szCs w:val="13"/>
                <w:color w:val="auto"/>
              </w:rPr>
            </w:pPr>
          </w:p>
        </w:tc>
        <w:tc>
          <w:tcPr>
            <w:tcW w:w="1020" w:type="dxa"/>
            <w:vAlign w:val="bottom"/>
          </w:tcPr>
          <w:p>
            <w:pPr>
              <w:ind w:left="100"/>
              <w:spacing w:after="0"/>
              <w:rPr>
                <w:sz w:val="20"/>
                <w:szCs w:val="20"/>
                <w:color w:val="auto"/>
              </w:rPr>
            </w:pPr>
            <w:r>
              <w:rPr>
                <w:rFonts w:ascii="Arial" w:cs="Arial" w:eastAsia="Arial" w:hAnsi="Arial"/>
                <w:sz w:val="13"/>
                <w:szCs w:val="13"/>
                <w:b w:val="1"/>
                <w:bCs w:val="1"/>
                <w:color w:val="auto"/>
              </w:rPr>
              <w:t>claims for</w:t>
            </w: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PAA</w:t>
            </w:r>
          </w:p>
        </w:tc>
        <w:tc>
          <w:tcPr>
            <w:tcW w:w="960" w:type="dxa"/>
            <w:vAlign w:val="bottom"/>
            <w:tcBorders>
              <w:bottom w:val="single" w:sz="8" w:color="auto"/>
            </w:tcBorders>
          </w:tcPr>
          <w:p>
            <w:pPr>
              <w:spacing w:after="0"/>
              <w:rPr>
                <w:sz w:val="13"/>
                <w:szCs w:val="13"/>
                <w:color w:val="auto"/>
              </w:rPr>
            </w:pPr>
          </w:p>
        </w:tc>
        <w:tc>
          <w:tcPr>
            <w:tcW w:w="920" w:type="dxa"/>
            <w:vAlign w:val="bottom"/>
          </w:tcPr>
          <w:p>
            <w:pPr>
              <w:ind w:left="100"/>
              <w:spacing w:after="0"/>
              <w:rPr>
                <w:sz w:val="20"/>
                <w:szCs w:val="20"/>
                <w:color w:val="auto"/>
              </w:rPr>
            </w:pPr>
            <w:r>
              <w:rPr>
                <w:rFonts w:ascii="Arial" w:cs="Arial" w:eastAsia="Arial" w:hAnsi="Arial"/>
                <w:sz w:val="13"/>
                <w:szCs w:val="13"/>
                <w:b w:val="1"/>
                <w:bCs w:val="1"/>
                <w:color w:val="auto"/>
              </w:rPr>
              <w:t>receivable</w:t>
            </w:r>
          </w:p>
        </w:tc>
        <w:tc>
          <w:tcPr>
            <w:tcW w:w="1220" w:type="dxa"/>
            <w:vAlign w:val="bottom"/>
          </w:tcPr>
          <w:p>
            <w:pPr>
              <w:ind w:left="180"/>
              <w:spacing w:after="0"/>
              <w:rPr>
                <w:sz w:val="20"/>
                <w:szCs w:val="20"/>
                <w:color w:val="auto"/>
              </w:rPr>
            </w:pPr>
            <w:r>
              <w:rPr>
                <w:rFonts w:ascii="Arial" w:cs="Arial" w:eastAsia="Arial" w:hAnsi="Arial"/>
                <w:sz w:val="13"/>
                <w:szCs w:val="13"/>
                <w:b w:val="1"/>
                <w:bCs w:val="1"/>
                <w:color w:val="auto"/>
              </w:rPr>
              <w:t>Debts to</w:t>
            </w:r>
          </w:p>
        </w:tc>
        <w:tc>
          <w:tcPr>
            <w:tcW w:w="1100" w:type="dxa"/>
            <w:vAlign w:val="bottom"/>
          </w:tcPr>
          <w:p>
            <w:pPr>
              <w:ind w:lef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9"/>
        </w:trPr>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rPr>
              <w:t>Excluding</w:t>
            </w:r>
          </w:p>
        </w:tc>
        <w:tc>
          <w:tcPr>
            <w:tcW w:w="980" w:type="dxa"/>
            <w:vAlign w:val="bottom"/>
          </w:tcPr>
          <w:p>
            <w:pPr>
              <w:spacing w:after="0"/>
              <w:rPr>
                <w:sz w:val="10"/>
                <w:szCs w:val="10"/>
                <w:color w:val="auto"/>
              </w:rPr>
            </w:pPr>
          </w:p>
        </w:tc>
        <w:tc>
          <w:tcPr>
            <w:tcW w:w="102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contracts not</w:t>
            </w:r>
          </w:p>
        </w:tc>
        <w:tc>
          <w:tcPr>
            <w:tcW w:w="10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Present value</w:t>
            </w:r>
          </w:p>
        </w:tc>
        <w:tc>
          <w:tcPr>
            <w:tcW w:w="960" w:type="dxa"/>
            <w:vAlign w:val="bottom"/>
          </w:tcPr>
          <w:p>
            <w:pPr>
              <w:spacing w:after="0"/>
              <w:rPr>
                <w:sz w:val="10"/>
                <w:szCs w:val="10"/>
                <w:color w:val="auto"/>
              </w:rPr>
            </w:pPr>
          </w:p>
        </w:tc>
        <w:tc>
          <w:tcPr>
            <w:tcW w:w="92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for</w:t>
            </w:r>
          </w:p>
        </w:tc>
        <w:tc>
          <w:tcPr>
            <w:tcW w:w="122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intermediaries,</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80" w:type="dxa"/>
            <w:vAlign w:val="bottom"/>
            <w:vMerge w:val="continue"/>
          </w:tcPr>
          <w:p>
            <w:pPr>
              <w:spacing w:after="0"/>
              <w:rPr>
                <w:sz w:val="6"/>
                <w:szCs w:val="6"/>
                <w:color w:val="auto"/>
              </w:rPr>
            </w:pPr>
          </w:p>
        </w:tc>
        <w:tc>
          <w:tcPr>
            <w:tcW w:w="980" w:type="dxa"/>
            <w:vAlign w:val="bottom"/>
            <w:vMerge w:val="restart"/>
          </w:tcPr>
          <w:p>
            <w:pPr>
              <w:ind w:left="100"/>
              <w:spacing w:after="0" w:line="147" w:lineRule="exact"/>
              <w:rPr>
                <w:sz w:val="20"/>
                <w:szCs w:val="20"/>
                <w:color w:val="auto"/>
              </w:rPr>
            </w:pPr>
            <w:r>
              <w:rPr>
                <w:rFonts w:ascii="Arial" w:cs="Arial" w:eastAsia="Arial" w:hAnsi="Arial"/>
                <w:sz w:val="13"/>
                <w:szCs w:val="13"/>
                <w:b w:val="1"/>
                <w:bCs w:val="1"/>
                <w:color w:val="auto"/>
              </w:rPr>
              <w:t>Loss</w:t>
            </w:r>
          </w:p>
        </w:tc>
        <w:tc>
          <w:tcPr>
            <w:tcW w:w="1020" w:type="dxa"/>
            <w:vAlign w:val="bottom"/>
            <w:vMerge w:val="restart"/>
          </w:tcPr>
          <w:p>
            <w:pPr>
              <w:ind w:left="100"/>
              <w:spacing w:after="0" w:line="147" w:lineRule="exact"/>
              <w:rPr>
                <w:sz w:val="20"/>
                <w:szCs w:val="20"/>
                <w:color w:val="auto"/>
              </w:rPr>
            </w:pPr>
            <w:r>
              <w:rPr>
                <w:rFonts w:ascii="Arial" w:cs="Arial" w:eastAsia="Arial" w:hAnsi="Arial"/>
                <w:sz w:val="13"/>
                <w:szCs w:val="13"/>
                <w:b w:val="1"/>
                <w:bCs w:val="1"/>
                <w:color w:val="auto"/>
              </w:rPr>
              <w:t>measured by</w:t>
            </w:r>
          </w:p>
        </w:tc>
        <w:tc>
          <w:tcPr>
            <w:tcW w:w="1020" w:type="dxa"/>
            <w:vAlign w:val="bottom"/>
            <w:gridSpan w:val="2"/>
            <w:vMerge w:val="continue"/>
          </w:tcPr>
          <w:p>
            <w:pPr>
              <w:spacing w:after="0"/>
              <w:rPr>
                <w:sz w:val="6"/>
                <w:szCs w:val="6"/>
                <w:color w:val="auto"/>
              </w:rPr>
            </w:pPr>
          </w:p>
        </w:tc>
        <w:tc>
          <w:tcPr>
            <w:tcW w:w="960" w:type="dxa"/>
            <w:vAlign w:val="bottom"/>
            <w:vMerge w:val="restart"/>
          </w:tcPr>
          <w:p>
            <w:pPr>
              <w:ind w:left="60"/>
              <w:spacing w:after="0" w:line="147" w:lineRule="exact"/>
              <w:rPr>
                <w:sz w:val="20"/>
                <w:szCs w:val="20"/>
                <w:color w:val="auto"/>
              </w:rPr>
            </w:pPr>
            <w:r>
              <w:rPr>
                <w:rFonts w:ascii="Arial" w:cs="Arial" w:eastAsia="Arial" w:hAnsi="Arial"/>
                <w:sz w:val="13"/>
                <w:szCs w:val="13"/>
                <w:b w:val="1"/>
                <w:bCs w:val="1"/>
                <w:color w:val="auto"/>
              </w:rPr>
              <w:t>Risk</w:t>
            </w:r>
          </w:p>
        </w:tc>
        <w:tc>
          <w:tcPr>
            <w:tcW w:w="920" w:type="dxa"/>
            <w:vAlign w:val="bottom"/>
            <w:vMerge w:val="restart"/>
          </w:tcPr>
          <w:p>
            <w:pPr>
              <w:ind w:left="100"/>
              <w:spacing w:after="0" w:line="147" w:lineRule="exact"/>
              <w:rPr>
                <w:sz w:val="20"/>
                <w:szCs w:val="20"/>
                <w:color w:val="auto"/>
              </w:rPr>
            </w:pPr>
            <w:r>
              <w:rPr>
                <w:rFonts w:ascii="Arial" w:cs="Arial" w:eastAsia="Arial" w:hAnsi="Arial"/>
                <w:sz w:val="13"/>
                <w:szCs w:val="13"/>
                <w:b w:val="1"/>
                <w:bCs w:val="1"/>
                <w:color w:val="auto"/>
              </w:rPr>
              <w:t>insurance</w:t>
            </w:r>
          </w:p>
        </w:tc>
        <w:tc>
          <w:tcPr>
            <w:tcW w:w="1220" w:type="dxa"/>
            <w:vAlign w:val="bottom"/>
            <w:vMerge w:val="restart"/>
          </w:tcPr>
          <w:p>
            <w:pPr>
              <w:ind w:left="180"/>
              <w:spacing w:after="0" w:line="147" w:lineRule="exact"/>
              <w:rPr>
                <w:sz w:val="20"/>
                <w:szCs w:val="20"/>
                <w:color w:val="auto"/>
              </w:rPr>
            </w:pPr>
            <w:r>
              <w:rPr>
                <w:rFonts w:ascii="Arial" w:cs="Arial" w:eastAsia="Arial" w:hAnsi="Arial"/>
                <w:sz w:val="13"/>
                <w:szCs w:val="13"/>
                <w:b w:val="1"/>
                <w:bCs w:val="1"/>
                <w:color w:val="auto"/>
              </w:rPr>
              <w:t>marketers and</w:t>
            </w: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rPr>
              <w:t>loss</w:t>
            </w:r>
          </w:p>
        </w:tc>
        <w:tc>
          <w:tcPr>
            <w:tcW w:w="9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of future cash</w:t>
            </w:r>
          </w:p>
        </w:tc>
        <w:tc>
          <w:tcPr>
            <w:tcW w:w="9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780" w:type="dxa"/>
            <w:vAlign w:val="bottom"/>
            <w:vMerge w:val="continue"/>
          </w:tcPr>
          <w:p>
            <w:pPr>
              <w:spacing w:after="0"/>
              <w:rPr>
                <w:sz w:val="11"/>
                <w:szCs w:val="11"/>
                <w:color w:val="auto"/>
              </w:rPr>
            </w:pPr>
          </w:p>
        </w:tc>
        <w:tc>
          <w:tcPr>
            <w:tcW w:w="980" w:type="dxa"/>
            <w:vAlign w:val="bottom"/>
          </w:tcPr>
          <w:p>
            <w:pPr>
              <w:ind w:left="100"/>
              <w:spacing w:after="0" w:line="130" w:lineRule="exact"/>
              <w:rPr>
                <w:sz w:val="20"/>
                <w:szCs w:val="20"/>
                <w:color w:val="auto"/>
              </w:rPr>
            </w:pPr>
            <w:r>
              <w:rPr>
                <w:rFonts w:ascii="Arial" w:cs="Arial" w:eastAsia="Arial" w:hAnsi="Arial"/>
                <w:sz w:val="13"/>
                <w:szCs w:val="13"/>
                <w:b w:val="1"/>
                <w:bCs w:val="1"/>
                <w:color w:val="auto"/>
              </w:rPr>
              <w:t>component</w:t>
            </w:r>
          </w:p>
        </w:tc>
        <w:tc>
          <w:tcPr>
            <w:tcW w:w="1020" w:type="dxa"/>
            <w:vAlign w:val="bottom"/>
          </w:tcPr>
          <w:p>
            <w:pPr>
              <w:ind w:left="100"/>
              <w:spacing w:after="0" w:line="130" w:lineRule="exact"/>
              <w:rPr>
                <w:sz w:val="20"/>
                <w:szCs w:val="20"/>
                <w:color w:val="auto"/>
              </w:rPr>
            </w:pPr>
            <w:r>
              <w:rPr>
                <w:rFonts w:ascii="Arial" w:cs="Arial" w:eastAsia="Arial" w:hAnsi="Arial"/>
                <w:sz w:val="13"/>
                <w:szCs w:val="13"/>
                <w:b w:val="1"/>
                <w:bCs w:val="1"/>
                <w:color w:val="auto"/>
              </w:rPr>
              <w:t>PAA</w:t>
            </w:r>
          </w:p>
        </w:tc>
        <w:tc>
          <w:tcPr>
            <w:tcW w:w="1020" w:type="dxa"/>
            <w:vAlign w:val="bottom"/>
            <w:gridSpan w:val="2"/>
            <w:vMerge w:val="continue"/>
          </w:tcPr>
          <w:p>
            <w:pPr>
              <w:spacing w:after="0"/>
              <w:rPr>
                <w:sz w:val="11"/>
                <w:szCs w:val="11"/>
                <w:color w:val="auto"/>
              </w:rPr>
            </w:pPr>
          </w:p>
        </w:tc>
        <w:tc>
          <w:tcPr>
            <w:tcW w:w="960" w:type="dxa"/>
            <w:vAlign w:val="bottom"/>
          </w:tcPr>
          <w:p>
            <w:pPr>
              <w:ind w:left="60"/>
              <w:spacing w:after="0" w:line="130" w:lineRule="exact"/>
              <w:rPr>
                <w:sz w:val="20"/>
                <w:szCs w:val="20"/>
                <w:color w:val="auto"/>
              </w:rPr>
            </w:pPr>
            <w:r>
              <w:rPr>
                <w:rFonts w:ascii="Arial" w:cs="Arial" w:eastAsia="Arial" w:hAnsi="Arial"/>
                <w:sz w:val="13"/>
                <w:szCs w:val="13"/>
                <w:b w:val="1"/>
                <w:bCs w:val="1"/>
                <w:color w:val="auto"/>
              </w:rPr>
              <w:t>adjustment</w:t>
            </w:r>
          </w:p>
        </w:tc>
        <w:tc>
          <w:tcPr>
            <w:tcW w:w="920" w:type="dxa"/>
            <w:vAlign w:val="bottom"/>
          </w:tcPr>
          <w:p>
            <w:pPr>
              <w:ind w:left="100"/>
              <w:spacing w:after="0" w:line="130" w:lineRule="exact"/>
              <w:rPr>
                <w:sz w:val="20"/>
                <w:szCs w:val="20"/>
                <w:color w:val="auto"/>
              </w:rPr>
            </w:pPr>
            <w:r>
              <w:rPr>
                <w:rFonts w:ascii="Arial" w:cs="Arial" w:eastAsia="Arial" w:hAnsi="Arial"/>
                <w:sz w:val="13"/>
                <w:szCs w:val="13"/>
                <w:b w:val="1"/>
                <w:bCs w:val="1"/>
                <w:color w:val="auto"/>
              </w:rPr>
              <w:t>contracts</w:t>
            </w:r>
          </w:p>
        </w:tc>
        <w:tc>
          <w:tcPr>
            <w:tcW w:w="1220" w:type="dxa"/>
            <w:vAlign w:val="bottom"/>
          </w:tcPr>
          <w:p>
            <w:pPr>
              <w:ind w:left="180"/>
              <w:spacing w:after="0" w:line="130" w:lineRule="exact"/>
              <w:rPr>
                <w:sz w:val="20"/>
                <w:szCs w:val="20"/>
                <w:color w:val="auto"/>
              </w:rPr>
            </w:pPr>
            <w:r>
              <w:rPr>
                <w:rFonts w:ascii="Arial" w:cs="Arial" w:eastAsia="Arial" w:hAnsi="Arial"/>
                <w:sz w:val="13"/>
                <w:szCs w:val="13"/>
                <w:b w:val="1"/>
                <w:bCs w:val="1"/>
                <w:color w:val="auto"/>
              </w:rPr>
              <w:t>auxiliaries</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20"/>
                <w:szCs w:val="20"/>
                <w:color w:val="auto"/>
              </w:rPr>
            </w:pPr>
            <w:r>
              <w:rPr>
                <w:rFonts w:ascii="Arial" w:cs="Arial" w:eastAsia="Arial" w:hAnsi="Arial"/>
                <w:sz w:val="13"/>
                <w:szCs w:val="13"/>
                <w:b w:val="1"/>
                <w:bCs w:val="1"/>
                <w:color w:val="auto"/>
              </w:rPr>
              <w:t>component</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flows</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20"/>
          </w:cols>
          <w:pgMar w:left="1200" w:top="132" w:right="57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Balances as of January 1 </w:t>
      </w:r>
      <w:r>
        <w:rPr>
          <w:rFonts w:ascii="Arial" w:cs="Arial" w:eastAsia="Arial" w:hAnsi="Arial"/>
          <w:sz w:val="13"/>
          <w:szCs w:val="13"/>
          <w:color w:val="auto"/>
        </w:rPr>
        <w:t>Insurance income Claims incurred and other insurance service expenses Adjustments relating to the past to liabilities for incurred claims Losses and recoveries for losses in onerous contracts Amortization of insurance acquisition cash flows Insurance service expenses</w:t>
      </w:r>
    </w:p>
    <w:p>
      <w:pPr>
        <w:spacing w:after="0" w:line="154" w:lineRule="exact"/>
        <w:rPr>
          <w:sz w:val="20"/>
          <w:szCs w:val="20"/>
          <w:color w:val="auto"/>
        </w:rPr>
      </w:pPr>
    </w:p>
    <w:p>
      <w:pPr>
        <w:ind w:right="40"/>
        <w:spacing w:after="0" w:line="235" w:lineRule="auto"/>
        <w:rPr>
          <w:sz w:val="20"/>
          <w:szCs w:val="20"/>
          <w:color w:val="auto"/>
        </w:rPr>
      </w:pPr>
      <w:r>
        <w:rPr>
          <w:rFonts w:ascii="Arial" w:cs="Arial" w:eastAsia="Arial" w:hAnsi="Arial"/>
          <w:sz w:val="13"/>
          <w:szCs w:val="13"/>
          <w:b w:val="1"/>
          <w:bCs w:val="1"/>
          <w:color w:val="auto"/>
        </w:rPr>
        <w:t xml:space="preserve">Result of the insurance service </w:t>
      </w:r>
      <w:r>
        <w:rPr>
          <w:rFonts w:ascii="Arial" w:cs="Arial" w:eastAsia="Arial" w:hAnsi="Arial"/>
          <w:sz w:val="13"/>
          <w:szCs w:val="13"/>
          <w:color w:val="auto"/>
        </w:rPr>
        <w:t>Net financial expenses for insurance contracts</w:t>
      </w:r>
    </w:p>
    <w:p>
      <w:pPr>
        <w:spacing w:after="0" w:line="1" w:lineRule="exact"/>
        <w:rPr>
          <w:sz w:val="20"/>
          <w:szCs w:val="20"/>
          <w:color w:val="auto"/>
        </w:rPr>
      </w:pPr>
    </w:p>
    <w:p>
      <w:pPr>
        <w:ind w:right="340"/>
        <w:spacing w:after="0" w:line="235" w:lineRule="auto"/>
        <w:rPr>
          <w:sz w:val="20"/>
          <w:szCs w:val="20"/>
          <w:color w:val="auto"/>
        </w:rPr>
      </w:pPr>
      <w:r>
        <w:rPr>
          <w:rFonts w:ascii="Arial" w:cs="Arial" w:eastAsia="Arial" w:hAnsi="Arial"/>
          <w:sz w:val="13"/>
          <w:szCs w:val="13"/>
          <w:color w:val="auto"/>
        </w:rPr>
        <w:t>Total changes in the income statement</w:t>
      </w:r>
    </w:p>
    <w:p>
      <w:pPr>
        <w:ind w:right="580"/>
        <w:spacing w:after="0" w:line="235" w:lineRule="auto"/>
        <w:rPr>
          <w:sz w:val="20"/>
          <w:szCs w:val="20"/>
          <w:color w:val="auto"/>
        </w:rPr>
      </w:pPr>
      <w:r>
        <w:rPr>
          <w:rFonts w:ascii="Arial" w:cs="Arial" w:eastAsia="Arial" w:hAnsi="Arial"/>
          <w:sz w:val="13"/>
          <w:szCs w:val="13"/>
          <w:color w:val="auto"/>
        </w:rPr>
        <w:t>Investment components Other changes Cash Flow:</w:t>
      </w:r>
    </w:p>
    <w:p>
      <w:pPr>
        <w:spacing w:after="0" w:line="236" w:lineRule="auto"/>
        <w:rPr>
          <w:sz w:val="20"/>
          <w:szCs w:val="20"/>
          <w:color w:val="auto"/>
        </w:rPr>
      </w:pPr>
      <w:r>
        <w:rPr>
          <w:rFonts w:ascii="Arial" w:cs="Arial" w:eastAsia="Arial" w:hAnsi="Arial"/>
          <w:sz w:val="13"/>
          <w:szCs w:val="13"/>
          <w:color w:val="auto"/>
        </w:rPr>
        <w:t>Premiums received.</w:t>
      </w:r>
    </w:p>
    <w:p>
      <w:pPr>
        <w:spacing w:after="0" w:line="235" w:lineRule="auto"/>
        <w:rPr>
          <w:sz w:val="20"/>
          <w:szCs w:val="20"/>
          <w:color w:val="auto"/>
        </w:rPr>
      </w:pPr>
      <w:r>
        <w:rPr>
          <w:rFonts w:ascii="Arial" w:cs="Arial" w:eastAsia="Arial" w:hAnsi="Arial"/>
          <w:sz w:val="13"/>
          <w:szCs w:val="13"/>
          <w:color w:val="auto"/>
        </w:rPr>
        <w:t>Claims and other service</w:t>
      </w:r>
    </w:p>
    <w:p>
      <w:pPr>
        <w:spacing w:after="0" w:line="236" w:lineRule="auto"/>
        <w:rPr>
          <w:sz w:val="20"/>
          <w:szCs w:val="20"/>
          <w:color w:val="auto"/>
        </w:rPr>
      </w:pPr>
      <w:r>
        <w:rPr>
          <w:rFonts w:ascii="Arial" w:cs="Arial" w:eastAsia="Arial" w:hAnsi="Arial"/>
          <w:sz w:val="13"/>
          <w:szCs w:val="13"/>
          <w:color w:val="auto"/>
        </w:rPr>
        <w:t>expenses paid.</w:t>
      </w:r>
    </w:p>
    <w:p>
      <w:pPr>
        <w:ind w:right="60"/>
        <w:spacing w:after="0" w:line="245" w:lineRule="auto"/>
        <w:rPr>
          <w:sz w:val="20"/>
          <w:szCs w:val="20"/>
          <w:color w:val="auto"/>
        </w:rPr>
      </w:pPr>
      <w:r>
        <w:rPr>
          <w:rFonts w:ascii="Arial" w:cs="Arial" w:eastAsia="Arial" w:hAnsi="Arial"/>
          <w:sz w:val="13"/>
          <w:szCs w:val="13"/>
          <w:color w:val="auto"/>
        </w:rPr>
        <w:t xml:space="preserve">Insurance acquisition cash flows. </w:t>
      </w:r>
      <w:r>
        <w:rPr>
          <w:rFonts w:ascii="Arial" w:cs="Arial" w:eastAsia="Arial" w:hAnsi="Arial"/>
          <w:sz w:val="13"/>
          <w:szCs w:val="13"/>
          <w:b w:val="1"/>
          <w:bCs w:val="1"/>
          <w:color w:val="auto"/>
        </w:rPr>
        <w:t>Net Cash Flow</w:t>
      </w:r>
    </w:p>
    <w:p>
      <w:pPr>
        <w:ind w:right="340"/>
        <w:spacing w:after="0" w:line="261" w:lineRule="auto"/>
        <w:rPr>
          <w:sz w:val="20"/>
          <w:szCs w:val="20"/>
          <w:color w:val="auto"/>
        </w:rPr>
      </w:pPr>
      <w:r>
        <w:rPr>
          <w:rFonts w:ascii="Arial" w:cs="Arial" w:eastAsia="Arial" w:hAnsi="Arial"/>
          <w:sz w:val="13"/>
          <w:szCs w:val="13"/>
          <w:b w:val="1"/>
          <w:bCs w:val="1"/>
          <w:color w:val="auto"/>
        </w:rPr>
        <w:t>Balances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1060" w:type="dxa"/>
            <w:vAlign w:val="bottom"/>
            <w:tcBorders>
              <w:top w:val="single" w:sz="8" w:color="auto"/>
            </w:tcBorders>
          </w:tcPr>
          <w:p>
            <w:pPr>
              <w:jc w:val="right"/>
              <w:ind w:right="295"/>
              <w:spacing w:after="0" w:line="131" w:lineRule="exact"/>
              <w:rPr>
                <w:sz w:val="20"/>
                <w:szCs w:val="20"/>
                <w:color w:val="auto"/>
              </w:rPr>
            </w:pPr>
            <w:r>
              <w:rPr>
                <w:rFonts w:ascii="Arial" w:cs="Arial" w:eastAsia="Arial" w:hAnsi="Arial"/>
                <w:sz w:val="13"/>
                <w:szCs w:val="13"/>
                <w:b w:val="1"/>
                <w:bCs w:val="1"/>
                <w:color w:val="auto"/>
              </w:rPr>
              <w:t>S/(000)</w:t>
            </w:r>
          </w:p>
        </w:tc>
        <w:tc>
          <w:tcPr>
            <w:tcW w:w="980" w:type="dxa"/>
            <w:vAlign w:val="bottom"/>
            <w:tcBorders>
              <w:top w:val="single" w:sz="8" w:color="auto"/>
            </w:tcBorders>
          </w:tcPr>
          <w:p>
            <w:pPr>
              <w:jc w:val="right"/>
              <w:ind w:right="295"/>
              <w:spacing w:after="0" w:line="131" w:lineRule="exact"/>
              <w:rPr>
                <w:sz w:val="20"/>
                <w:szCs w:val="20"/>
                <w:color w:val="auto"/>
              </w:rPr>
            </w:pPr>
            <w:r>
              <w:rPr>
                <w:rFonts w:ascii="Arial" w:cs="Arial" w:eastAsia="Arial" w:hAnsi="Arial"/>
                <w:sz w:val="13"/>
                <w:szCs w:val="13"/>
                <w:b w:val="1"/>
                <w:bCs w:val="1"/>
                <w:color w:val="auto"/>
              </w:rPr>
              <w:t>S/(000)</w:t>
            </w:r>
          </w:p>
        </w:tc>
        <w:tc>
          <w:tcPr>
            <w:tcW w:w="980" w:type="dxa"/>
            <w:vAlign w:val="bottom"/>
            <w:tcBorders>
              <w:top w:val="single" w:sz="8" w:color="auto"/>
            </w:tcBorders>
          </w:tcPr>
          <w:p>
            <w:pPr>
              <w:jc w:val="right"/>
              <w:ind w:right="275"/>
              <w:spacing w:after="0" w:line="131" w:lineRule="exact"/>
              <w:rPr>
                <w:sz w:val="20"/>
                <w:szCs w:val="20"/>
                <w:color w:val="auto"/>
              </w:rPr>
            </w:pPr>
            <w:r>
              <w:rPr>
                <w:rFonts w:ascii="Arial" w:cs="Arial" w:eastAsia="Arial" w:hAnsi="Arial"/>
                <w:sz w:val="13"/>
                <w:szCs w:val="13"/>
                <w:b w:val="1"/>
                <w:bCs w:val="1"/>
                <w:color w:val="auto"/>
              </w:rPr>
              <w:t>S/(000)</w:t>
            </w:r>
          </w:p>
        </w:tc>
        <w:tc>
          <w:tcPr>
            <w:tcW w:w="1040" w:type="dxa"/>
            <w:vAlign w:val="bottom"/>
            <w:tcBorders>
              <w:top w:val="single" w:sz="8" w:color="auto"/>
            </w:tcBorders>
          </w:tcPr>
          <w:p>
            <w:pPr>
              <w:jc w:val="right"/>
              <w:ind w:right="315"/>
              <w:spacing w:after="0" w:line="131" w:lineRule="exact"/>
              <w:rPr>
                <w:sz w:val="20"/>
                <w:szCs w:val="20"/>
                <w:color w:val="auto"/>
              </w:rPr>
            </w:pPr>
            <w:r>
              <w:rPr>
                <w:rFonts w:ascii="Arial" w:cs="Arial" w:eastAsia="Arial" w:hAnsi="Arial"/>
                <w:sz w:val="13"/>
                <w:szCs w:val="13"/>
                <w:b w:val="1"/>
                <w:bCs w:val="1"/>
                <w:color w:val="auto"/>
              </w:rPr>
              <w:t>S/(000)</w:t>
            </w:r>
          </w:p>
        </w:tc>
        <w:tc>
          <w:tcPr>
            <w:tcW w:w="1000" w:type="dxa"/>
            <w:vAlign w:val="bottom"/>
            <w:tcBorders>
              <w:top w:val="single" w:sz="8" w:color="auto"/>
            </w:tcBorders>
          </w:tcPr>
          <w:p>
            <w:pPr>
              <w:jc w:val="right"/>
              <w:ind w:right="315"/>
              <w:spacing w:after="0" w:line="131" w:lineRule="exact"/>
              <w:rPr>
                <w:sz w:val="20"/>
                <w:szCs w:val="20"/>
                <w:color w:val="auto"/>
              </w:rPr>
            </w:pPr>
            <w:r>
              <w:rPr>
                <w:rFonts w:ascii="Arial" w:cs="Arial" w:eastAsia="Arial" w:hAnsi="Arial"/>
                <w:sz w:val="13"/>
                <w:szCs w:val="13"/>
                <w:b w:val="1"/>
                <w:bCs w:val="1"/>
                <w:color w:val="auto"/>
              </w:rPr>
              <w:t>S/(000)</w:t>
            </w:r>
          </w:p>
        </w:tc>
        <w:tc>
          <w:tcPr>
            <w:tcW w:w="1060" w:type="dxa"/>
            <w:vAlign w:val="bottom"/>
            <w:tcBorders>
              <w:top w:val="single" w:sz="8" w:color="auto"/>
            </w:tcBorders>
          </w:tcPr>
          <w:p>
            <w:pPr>
              <w:jc w:val="right"/>
              <w:ind w:right="375"/>
              <w:spacing w:after="0" w:line="131" w:lineRule="exact"/>
              <w:rPr>
                <w:sz w:val="20"/>
                <w:szCs w:val="20"/>
                <w:color w:val="auto"/>
              </w:rPr>
            </w:pPr>
            <w:r>
              <w:rPr>
                <w:rFonts w:ascii="Arial" w:cs="Arial" w:eastAsia="Arial" w:hAnsi="Arial"/>
                <w:sz w:val="13"/>
                <w:szCs w:val="13"/>
                <w:b w:val="1"/>
                <w:bCs w:val="1"/>
                <w:color w:val="auto"/>
              </w:rPr>
              <w:t>S/(000)</w:t>
            </w:r>
          </w:p>
        </w:tc>
        <w:tc>
          <w:tcPr>
            <w:tcW w:w="1020" w:type="dxa"/>
            <w:vAlign w:val="bottom"/>
            <w:tcBorders>
              <w:top w:val="single" w:sz="8" w:color="auto"/>
            </w:tcBorders>
          </w:tcPr>
          <w:p>
            <w:pPr>
              <w:jc w:val="right"/>
              <w:ind w:right="335"/>
              <w:spacing w:after="0" w:line="131" w:lineRule="exact"/>
              <w:rPr>
                <w:sz w:val="20"/>
                <w:szCs w:val="20"/>
                <w:color w:val="auto"/>
              </w:rPr>
            </w:pPr>
            <w:r>
              <w:rPr>
                <w:rFonts w:ascii="Arial" w:cs="Arial" w:eastAsia="Arial" w:hAnsi="Arial"/>
                <w:sz w:val="13"/>
                <w:szCs w:val="13"/>
                <w:b w:val="1"/>
                <w:bCs w:val="1"/>
                <w:color w:val="auto"/>
              </w:rPr>
              <w:t>S/(000)</w:t>
            </w:r>
          </w:p>
        </w:tc>
        <w:tc>
          <w:tcPr>
            <w:tcW w:w="960" w:type="dxa"/>
            <w:vAlign w:val="bottom"/>
            <w:tcBorders>
              <w:top w:val="single" w:sz="8" w:color="auto"/>
            </w:tcBorders>
          </w:tcPr>
          <w:p>
            <w:pPr>
              <w:jc w:val="right"/>
              <w:ind w:right="235"/>
              <w:spacing w:after="0" w:line="131" w:lineRule="exact"/>
              <w:rPr>
                <w:sz w:val="20"/>
                <w:szCs w:val="20"/>
                <w:color w:val="auto"/>
              </w:rPr>
            </w:pPr>
            <w:r>
              <w:rPr>
                <w:rFonts w:ascii="Arial" w:cs="Arial" w:eastAsia="Arial" w:hAnsi="Arial"/>
                <w:sz w:val="13"/>
                <w:szCs w:val="13"/>
                <w:b w:val="1"/>
                <w:bCs w:val="1"/>
                <w:color w:val="auto"/>
              </w:rPr>
              <w:t>S/(000)</w:t>
            </w:r>
          </w:p>
        </w:tc>
      </w:tr>
      <w:tr>
        <w:trPr>
          <w:trHeight w:val="147"/>
        </w:trPr>
        <w:tc>
          <w:tcPr>
            <w:tcW w:w="1060" w:type="dxa"/>
            <w:vAlign w:val="bottom"/>
          </w:tcPr>
          <w:p>
            <w:pPr>
              <w:jc w:val="right"/>
              <w:ind w:right="115"/>
              <w:spacing w:after="0" w:line="147" w:lineRule="exact"/>
              <w:rPr>
                <w:sz w:val="20"/>
                <w:szCs w:val="20"/>
                <w:color w:val="auto"/>
              </w:rPr>
            </w:pPr>
            <w:r>
              <w:rPr>
                <w:rFonts w:ascii="Arial" w:cs="Arial" w:eastAsia="Arial" w:hAnsi="Arial"/>
                <w:sz w:val="13"/>
                <w:szCs w:val="13"/>
                <w:color w:val="auto"/>
              </w:rPr>
              <w:t>9,246,468</w:t>
            </w:r>
          </w:p>
        </w:tc>
        <w:tc>
          <w:tcPr>
            <w:tcW w:w="980" w:type="dxa"/>
            <w:vAlign w:val="bottom"/>
          </w:tcPr>
          <w:p>
            <w:pPr>
              <w:jc w:val="right"/>
              <w:ind w:right="115"/>
              <w:spacing w:after="0" w:line="147" w:lineRule="exact"/>
              <w:rPr>
                <w:sz w:val="20"/>
                <w:szCs w:val="20"/>
                <w:color w:val="auto"/>
              </w:rPr>
            </w:pPr>
            <w:r>
              <w:rPr>
                <w:rFonts w:ascii="Arial" w:cs="Arial" w:eastAsia="Arial" w:hAnsi="Arial"/>
                <w:sz w:val="13"/>
                <w:szCs w:val="13"/>
                <w:color w:val="auto"/>
              </w:rPr>
              <w:t>135,365</w:t>
            </w:r>
          </w:p>
        </w:tc>
        <w:tc>
          <w:tcPr>
            <w:tcW w:w="980" w:type="dxa"/>
            <w:vAlign w:val="bottom"/>
          </w:tcPr>
          <w:p>
            <w:pPr>
              <w:jc w:val="right"/>
              <w:ind w:right="95"/>
              <w:spacing w:after="0" w:line="147" w:lineRule="exact"/>
              <w:rPr>
                <w:sz w:val="20"/>
                <w:szCs w:val="20"/>
                <w:color w:val="auto"/>
              </w:rPr>
            </w:pPr>
            <w:r>
              <w:rPr>
                <w:rFonts w:ascii="Arial" w:cs="Arial" w:eastAsia="Arial" w:hAnsi="Arial"/>
                <w:sz w:val="13"/>
                <w:szCs w:val="13"/>
                <w:color w:val="auto"/>
              </w:rPr>
              <w:t>994,581</w:t>
            </w:r>
          </w:p>
        </w:tc>
        <w:tc>
          <w:tcPr>
            <w:tcW w:w="1040" w:type="dxa"/>
            <w:vAlign w:val="bottom"/>
          </w:tcPr>
          <w:p>
            <w:pPr>
              <w:jc w:val="right"/>
              <w:ind w:right="135"/>
              <w:spacing w:after="0" w:line="147" w:lineRule="exact"/>
              <w:rPr>
                <w:sz w:val="20"/>
                <w:szCs w:val="20"/>
                <w:color w:val="auto"/>
              </w:rPr>
            </w:pPr>
            <w:r>
              <w:rPr>
                <w:rFonts w:ascii="Arial" w:cs="Arial" w:eastAsia="Arial" w:hAnsi="Arial"/>
                <w:sz w:val="13"/>
                <w:szCs w:val="13"/>
                <w:color w:val="auto"/>
              </w:rPr>
              <w:t>2,357,336</w:t>
            </w:r>
          </w:p>
        </w:tc>
        <w:tc>
          <w:tcPr>
            <w:tcW w:w="1000" w:type="dxa"/>
            <w:vAlign w:val="bottom"/>
          </w:tcPr>
          <w:p>
            <w:pPr>
              <w:jc w:val="right"/>
              <w:ind w:right="135"/>
              <w:spacing w:after="0" w:line="147" w:lineRule="exact"/>
              <w:rPr>
                <w:sz w:val="20"/>
                <w:szCs w:val="20"/>
                <w:color w:val="auto"/>
              </w:rPr>
            </w:pPr>
            <w:r>
              <w:rPr>
                <w:rFonts w:ascii="Arial" w:cs="Arial" w:eastAsia="Arial" w:hAnsi="Arial"/>
                <w:sz w:val="13"/>
                <w:szCs w:val="13"/>
                <w:color w:val="auto"/>
              </w:rPr>
              <w:t>14,383</w:t>
            </w:r>
          </w:p>
        </w:tc>
        <w:tc>
          <w:tcPr>
            <w:tcW w:w="1060" w:type="dxa"/>
            <w:vAlign w:val="bottom"/>
          </w:tcPr>
          <w:p>
            <w:pPr>
              <w:jc w:val="right"/>
              <w:ind w:right="155"/>
              <w:spacing w:after="0" w:line="147" w:lineRule="exact"/>
              <w:rPr>
                <w:sz w:val="20"/>
                <w:szCs w:val="20"/>
                <w:color w:val="auto"/>
              </w:rPr>
            </w:pPr>
            <w:r>
              <w:rPr>
                <w:rFonts w:ascii="Arial" w:cs="Arial" w:eastAsia="Arial" w:hAnsi="Arial"/>
                <w:sz w:val="13"/>
                <w:szCs w:val="13"/>
                <w:color w:val="auto"/>
              </w:rPr>
              <w:t>(916,859)</w:t>
            </w:r>
          </w:p>
        </w:tc>
        <w:tc>
          <w:tcPr>
            <w:tcW w:w="1020" w:type="dxa"/>
            <w:vAlign w:val="bottom"/>
          </w:tcPr>
          <w:p>
            <w:pPr>
              <w:jc w:val="right"/>
              <w:ind w:right="95"/>
              <w:spacing w:after="0" w:line="147" w:lineRule="exact"/>
              <w:rPr>
                <w:sz w:val="20"/>
                <w:szCs w:val="20"/>
                <w:color w:val="auto"/>
              </w:rPr>
            </w:pPr>
            <w:r>
              <w:rPr>
                <w:rFonts w:ascii="Arial" w:cs="Arial" w:eastAsia="Arial" w:hAnsi="Arial"/>
                <w:sz w:val="13"/>
                <w:szCs w:val="13"/>
                <w:color w:val="auto"/>
              </w:rPr>
              <w:t>89,700</w:t>
            </w:r>
          </w:p>
        </w:tc>
        <w:tc>
          <w:tcPr>
            <w:tcW w:w="960" w:type="dxa"/>
            <w:vAlign w:val="bottom"/>
          </w:tcPr>
          <w:p>
            <w:pPr>
              <w:jc w:val="right"/>
              <w:ind w:right="55"/>
              <w:spacing w:after="0" w:line="147" w:lineRule="exact"/>
              <w:rPr>
                <w:sz w:val="20"/>
                <w:szCs w:val="20"/>
                <w:color w:val="auto"/>
              </w:rPr>
            </w:pPr>
            <w:r>
              <w:rPr>
                <w:rFonts w:ascii="Arial" w:cs="Arial" w:eastAsia="Arial" w:hAnsi="Arial"/>
                <w:sz w:val="13"/>
                <w:szCs w:val="13"/>
                <w:color w:val="auto"/>
              </w:rPr>
              <w:t>11,920,974</w:t>
            </w:r>
          </w:p>
        </w:tc>
      </w:tr>
      <w:tr>
        <w:trPr>
          <w:trHeight w:val="172"/>
        </w:trPr>
        <w:tc>
          <w:tcPr>
            <w:tcW w:w="1060" w:type="dxa"/>
            <w:vAlign w:val="bottom"/>
          </w:tcPr>
          <w:p>
            <w:pPr>
              <w:jc w:val="right"/>
              <w:ind w:right="115"/>
              <w:spacing w:after="0"/>
              <w:rPr>
                <w:sz w:val="20"/>
                <w:szCs w:val="20"/>
                <w:color w:val="auto"/>
              </w:rPr>
            </w:pPr>
            <w:r>
              <w:rPr>
                <w:rFonts w:ascii="Arial" w:cs="Arial" w:eastAsia="Arial" w:hAnsi="Arial"/>
                <w:sz w:val="13"/>
                <w:szCs w:val="13"/>
                <w:color w:val="auto"/>
              </w:rPr>
              <w:t>(3,533,270)</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(3,533,270)</w:t>
            </w:r>
          </w:p>
        </w:tc>
      </w:tr>
      <w:tr>
        <w:trPr>
          <w:trHeight w:val="293"/>
        </w:trPr>
        <w:tc>
          <w:tcPr>
            <w:tcW w:w="1060" w:type="dxa"/>
            <w:vAlign w:val="bottom"/>
          </w:tcPr>
          <w:p>
            <w:pPr>
              <w:jc w:val="right"/>
              <w:ind w:right="115"/>
              <w:spacing w:after="0"/>
              <w:rPr>
                <w:sz w:val="20"/>
                <w:szCs w:val="20"/>
                <w:color w:val="auto"/>
              </w:rPr>
            </w:pPr>
            <w:r>
              <w:rPr>
                <w:rFonts w:ascii="Arial" w:cs="Arial" w:eastAsia="Arial" w:hAnsi="Arial"/>
                <w:sz w:val="13"/>
                <w:szCs w:val="13"/>
                <w:color w:val="auto"/>
              </w:rPr>
              <w:t>1,953</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5"/>
              <w:spacing w:after="0"/>
              <w:rPr>
                <w:sz w:val="20"/>
                <w:szCs w:val="20"/>
                <w:color w:val="auto"/>
              </w:rPr>
            </w:pPr>
            <w:r>
              <w:rPr>
                <w:rFonts w:ascii="Arial" w:cs="Arial" w:eastAsia="Arial" w:hAnsi="Arial"/>
                <w:sz w:val="13"/>
                <w:szCs w:val="13"/>
                <w:color w:val="auto"/>
              </w:rPr>
              <w:t>554,692</w:t>
            </w:r>
          </w:p>
        </w:tc>
        <w:tc>
          <w:tcPr>
            <w:tcW w:w="1040" w:type="dxa"/>
            <w:vAlign w:val="bottom"/>
          </w:tcPr>
          <w:p>
            <w:pPr>
              <w:jc w:val="right"/>
              <w:ind w:right="135"/>
              <w:spacing w:after="0"/>
              <w:rPr>
                <w:sz w:val="20"/>
                <w:szCs w:val="20"/>
                <w:color w:val="auto"/>
              </w:rPr>
            </w:pPr>
            <w:r>
              <w:rPr>
                <w:rFonts w:ascii="Arial" w:cs="Arial" w:eastAsia="Arial" w:hAnsi="Arial"/>
                <w:sz w:val="13"/>
                <w:szCs w:val="13"/>
                <w:color w:val="auto"/>
              </w:rPr>
              <w:t>6,266</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562,911</w:t>
            </w:r>
          </w:p>
        </w:tc>
      </w:tr>
      <w:tr>
        <w:trPr>
          <w:trHeight w:val="293"/>
        </w:trPr>
        <w:tc>
          <w:tcPr>
            <w:tcW w:w="1060" w:type="dxa"/>
            <w:vAlign w:val="bottom"/>
          </w:tcPr>
          <w:p>
            <w:pPr>
              <w:jc w:val="right"/>
              <w:ind w:right="115"/>
              <w:spacing w:after="0"/>
              <w:rPr>
                <w:sz w:val="20"/>
                <w:szCs w:val="20"/>
                <w:color w:val="auto"/>
              </w:rPr>
            </w:pPr>
            <w:r>
              <w:rPr>
                <w:rFonts w:ascii="Arial" w:cs="Arial" w:eastAsia="Arial" w:hAnsi="Arial"/>
                <w:sz w:val="13"/>
                <w:szCs w:val="13"/>
                <w:color w:val="auto"/>
              </w:rPr>
              <w:t>(13,440)</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5"/>
              <w:spacing w:after="0"/>
              <w:rPr>
                <w:sz w:val="20"/>
                <w:szCs w:val="20"/>
                <w:color w:val="auto"/>
              </w:rPr>
            </w:pPr>
            <w:r>
              <w:rPr>
                <w:rFonts w:ascii="Arial" w:cs="Arial" w:eastAsia="Arial" w:hAnsi="Arial"/>
                <w:sz w:val="13"/>
                <w:szCs w:val="13"/>
                <w:color w:val="auto"/>
              </w:rPr>
              <w:t>(262,588)</w:t>
            </w:r>
          </w:p>
        </w:tc>
        <w:tc>
          <w:tcPr>
            <w:tcW w:w="1040" w:type="dxa"/>
            <w:vAlign w:val="bottom"/>
          </w:tcPr>
          <w:p>
            <w:pPr>
              <w:jc w:val="right"/>
              <w:ind w:right="135"/>
              <w:spacing w:after="0"/>
              <w:rPr>
                <w:sz w:val="20"/>
                <w:szCs w:val="20"/>
                <w:color w:val="auto"/>
              </w:rPr>
            </w:pPr>
            <w:r>
              <w:rPr>
                <w:rFonts w:ascii="Arial" w:cs="Arial" w:eastAsia="Arial" w:hAnsi="Arial"/>
                <w:sz w:val="13"/>
                <w:szCs w:val="13"/>
                <w:color w:val="auto"/>
              </w:rPr>
              <w:t>1,836,194</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(425)</w:t>
            </w:r>
          </w:p>
        </w:tc>
        <w:tc>
          <w:tcPr>
            <w:tcW w:w="10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1,559,741</w:t>
            </w:r>
          </w:p>
        </w:tc>
      </w:tr>
      <w:tr>
        <w:trPr>
          <w:trHeight w:val="293"/>
        </w:trPr>
        <w:tc>
          <w:tcPr>
            <w:tcW w:w="106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92,530</w:t>
            </w:r>
          </w:p>
        </w:tc>
        <w:tc>
          <w:tcPr>
            <w:tcW w:w="98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92,530</w:t>
            </w:r>
          </w:p>
        </w:tc>
      </w:tr>
      <w:tr>
        <w:trPr>
          <w:trHeight w:val="276"/>
        </w:trPr>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15,741</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15,741</w:t>
            </w:r>
          </w:p>
        </w:tc>
      </w:tr>
      <w:tr>
        <w:trPr>
          <w:trHeight w:val="139"/>
        </w:trPr>
        <w:tc>
          <w:tcPr>
            <w:tcW w:w="106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color w:val="auto"/>
              </w:rPr>
              <w:t>4,254</w:t>
            </w:r>
          </w:p>
        </w:tc>
        <w:tc>
          <w:tcPr>
            <w:tcW w:w="98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color w:val="auto"/>
              </w:rPr>
              <w:t>92,530</w:t>
            </w:r>
          </w:p>
        </w:tc>
        <w:tc>
          <w:tcPr>
            <w:tcW w:w="98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292,104</w:t>
            </w:r>
          </w:p>
        </w:tc>
        <w:tc>
          <w:tcPr>
            <w:tcW w:w="104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color w:val="auto"/>
              </w:rPr>
              <w:t>1,842,460</w:t>
            </w:r>
          </w:p>
        </w:tc>
        <w:tc>
          <w:tcPr>
            <w:tcW w:w="100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color w:val="auto"/>
              </w:rPr>
              <w:t>(425)</w:t>
            </w:r>
          </w:p>
        </w:tc>
        <w:tc>
          <w:tcPr>
            <w:tcW w:w="1060" w:type="dxa"/>
            <w:vAlign w:val="bottom"/>
            <w:tcBorders>
              <w:bottom w:val="single" w:sz="8" w:color="auto"/>
            </w:tcBorders>
          </w:tcPr>
          <w:p>
            <w:pPr>
              <w:jc w:val="right"/>
              <w:ind w:right="195"/>
              <w:spacing w:after="0" w:line="139"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line="139" w:lineRule="exact"/>
              <w:rPr>
                <w:sz w:val="20"/>
                <w:szCs w:val="20"/>
                <w:color w:val="auto"/>
              </w:rPr>
            </w:pPr>
            <w:r>
              <w:rPr>
                <w:rFonts w:ascii="Arial" w:cs="Arial" w:eastAsia="Arial" w:hAnsi="Arial"/>
                <w:sz w:val="13"/>
                <w:szCs w:val="13"/>
                <w:color w:val="auto"/>
              </w:rPr>
              <w:t>2,230,923</w:t>
            </w:r>
          </w:p>
        </w:tc>
      </w:tr>
      <w:tr>
        <w:trPr>
          <w:trHeight w:val="164"/>
        </w:trPr>
        <w:tc>
          <w:tcPr>
            <w:tcW w:w="1060" w:type="dxa"/>
            <w:vAlign w:val="bottom"/>
          </w:tcPr>
          <w:p>
            <w:pPr>
              <w:jc w:val="right"/>
              <w:ind w:right="115"/>
              <w:spacing w:after="0"/>
              <w:rPr>
                <w:sz w:val="20"/>
                <w:szCs w:val="20"/>
                <w:color w:val="auto"/>
              </w:rPr>
            </w:pPr>
            <w:r>
              <w:rPr>
                <w:rFonts w:ascii="Arial" w:cs="Arial" w:eastAsia="Arial" w:hAnsi="Arial"/>
                <w:sz w:val="13"/>
                <w:szCs w:val="13"/>
                <w:color w:val="auto"/>
              </w:rPr>
              <w:t>(3,529,016)</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92,530</w:t>
            </w:r>
          </w:p>
        </w:tc>
        <w:tc>
          <w:tcPr>
            <w:tcW w:w="980" w:type="dxa"/>
            <w:vAlign w:val="bottom"/>
          </w:tcPr>
          <w:p>
            <w:pPr>
              <w:jc w:val="right"/>
              <w:ind w:right="95"/>
              <w:spacing w:after="0"/>
              <w:rPr>
                <w:sz w:val="20"/>
                <w:szCs w:val="20"/>
                <w:color w:val="auto"/>
              </w:rPr>
            </w:pPr>
            <w:r>
              <w:rPr>
                <w:rFonts w:ascii="Arial" w:cs="Arial" w:eastAsia="Arial" w:hAnsi="Arial"/>
                <w:sz w:val="13"/>
                <w:szCs w:val="13"/>
                <w:color w:val="auto"/>
              </w:rPr>
              <w:t>292,104</w:t>
            </w:r>
          </w:p>
        </w:tc>
        <w:tc>
          <w:tcPr>
            <w:tcW w:w="1040" w:type="dxa"/>
            <w:vAlign w:val="bottom"/>
          </w:tcPr>
          <w:p>
            <w:pPr>
              <w:jc w:val="right"/>
              <w:ind w:right="135"/>
              <w:spacing w:after="0"/>
              <w:rPr>
                <w:sz w:val="20"/>
                <w:szCs w:val="20"/>
                <w:color w:val="auto"/>
              </w:rPr>
            </w:pPr>
            <w:r>
              <w:rPr>
                <w:rFonts w:ascii="Arial" w:cs="Arial" w:eastAsia="Arial" w:hAnsi="Arial"/>
                <w:sz w:val="13"/>
                <w:szCs w:val="13"/>
                <w:color w:val="auto"/>
              </w:rPr>
              <w:t>1,842,460</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(425)</w:t>
            </w:r>
          </w:p>
        </w:tc>
        <w:tc>
          <w:tcPr>
            <w:tcW w:w="10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(1,302,347)</w:t>
            </w:r>
          </w:p>
        </w:tc>
      </w:tr>
      <w:tr>
        <w:trPr>
          <w:trHeight w:val="268"/>
        </w:trPr>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(793,873)</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(9,058)</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(29,644)</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(40,648)</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338</w:t>
            </w: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(872,885)</w:t>
            </w:r>
          </w:p>
        </w:tc>
      </w:tr>
      <w:tr>
        <w:trPr>
          <w:trHeight w:val="266"/>
        </w:trPr>
        <w:tc>
          <w:tcPr>
            <w:tcW w:w="1060" w:type="dxa"/>
            <w:vAlign w:val="bottom"/>
          </w:tcPr>
          <w:p>
            <w:pPr>
              <w:jc w:val="right"/>
              <w:ind w:right="115"/>
              <w:spacing w:after="0"/>
              <w:rPr>
                <w:sz w:val="20"/>
                <w:szCs w:val="20"/>
                <w:color w:val="auto"/>
              </w:rPr>
            </w:pPr>
            <w:r>
              <w:rPr>
                <w:rFonts w:ascii="Arial" w:cs="Arial" w:eastAsia="Arial" w:hAnsi="Arial"/>
                <w:sz w:val="13"/>
                <w:szCs w:val="13"/>
                <w:color w:val="auto"/>
              </w:rPr>
              <w:t>(4,322,889)</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83,472</w:t>
            </w:r>
          </w:p>
        </w:tc>
        <w:tc>
          <w:tcPr>
            <w:tcW w:w="980" w:type="dxa"/>
            <w:vAlign w:val="bottom"/>
          </w:tcPr>
          <w:p>
            <w:pPr>
              <w:jc w:val="right"/>
              <w:ind w:right="95"/>
              <w:spacing w:after="0"/>
              <w:rPr>
                <w:sz w:val="20"/>
                <w:szCs w:val="20"/>
                <w:color w:val="auto"/>
              </w:rPr>
            </w:pPr>
            <w:r>
              <w:rPr>
                <w:rFonts w:ascii="Arial" w:cs="Arial" w:eastAsia="Arial" w:hAnsi="Arial"/>
                <w:sz w:val="13"/>
                <w:szCs w:val="13"/>
                <w:color w:val="auto"/>
              </w:rPr>
              <w:t>262,460</w:t>
            </w:r>
          </w:p>
        </w:tc>
        <w:tc>
          <w:tcPr>
            <w:tcW w:w="1040" w:type="dxa"/>
            <w:vAlign w:val="bottom"/>
          </w:tcPr>
          <w:p>
            <w:pPr>
              <w:jc w:val="right"/>
              <w:ind w:right="135"/>
              <w:spacing w:after="0"/>
              <w:rPr>
                <w:sz w:val="20"/>
                <w:szCs w:val="20"/>
                <w:color w:val="auto"/>
              </w:rPr>
            </w:pPr>
            <w:r>
              <w:rPr>
                <w:rFonts w:ascii="Arial" w:cs="Arial" w:eastAsia="Arial" w:hAnsi="Arial"/>
                <w:sz w:val="13"/>
                <w:szCs w:val="13"/>
                <w:color w:val="auto"/>
              </w:rPr>
              <w:t>1,801,812</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(87)</w:t>
            </w:r>
          </w:p>
        </w:tc>
        <w:tc>
          <w:tcPr>
            <w:tcW w:w="10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(2,175,232)</w:t>
            </w:r>
          </w:p>
        </w:tc>
      </w:tr>
      <w:tr>
        <w:trPr>
          <w:trHeight w:val="147"/>
        </w:trPr>
        <w:tc>
          <w:tcPr>
            <w:tcW w:w="1060" w:type="dxa"/>
            <w:vAlign w:val="bottom"/>
          </w:tcPr>
          <w:p>
            <w:pPr>
              <w:jc w:val="right"/>
              <w:ind w:right="115"/>
              <w:spacing w:after="0" w:line="147" w:lineRule="exact"/>
              <w:rPr>
                <w:sz w:val="20"/>
                <w:szCs w:val="20"/>
                <w:color w:val="auto"/>
              </w:rPr>
            </w:pPr>
            <w:r>
              <w:rPr>
                <w:rFonts w:ascii="Arial" w:cs="Arial" w:eastAsia="Arial" w:hAnsi="Arial"/>
                <w:sz w:val="13"/>
                <w:szCs w:val="13"/>
                <w:color w:val="auto"/>
              </w:rPr>
              <w:t>(658,211)</w:t>
            </w:r>
          </w:p>
        </w:tc>
        <w:tc>
          <w:tcPr>
            <w:tcW w:w="980" w:type="dxa"/>
            <w:vAlign w:val="bottom"/>
          </w:tcPr>
          <w:p>
            <w:pPr>
              <w:jc w:val="right"/>
              <w:ind w:right="115"/>
              <w:spacing w:after="0" w:line="147"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95"/>
              <w:spacing w:after="0" w:line="147" w:lineRule="exact"/>
              <w:rPr>
                <w:sz w:val="20"/>
                <w:szCs w:val="20"/>
                <w:color w:val="auto"/>
              </w:rPr>
            </w:pPr>
            <w:r>
              <w:rPr>
                <w:rFonts w:ascii="Arial" w:cs="Arial" w:eastAsia="Arial" w:hAnsi="Arial"/>
                <w:sz w:val="13"/>
                <w:szCs w:val="13"/>
                <w:color w:val="auto"/>
              </w:rPr>
              <w:t>658,211</w:t>
            </w:r>
          </w:p>
        </w:tc>
        <w:tc>
          <w:tcPr>
            <w:tcW w:w="1040" w:type="dxa"/>
            <w:vAlign w:val="bottom"/>
          </w:tcPr>
          <w:p>
            <w:pPr>
              <w:jc w:val="right"/>
              <w:ind w:right="135"/>
              <w:spacing w:after="0" w:line="147"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35"/>
              <w:spacing w:after="0" w:line="147"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95"/>
              <w:spacing w:after="0" w:line="147"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95"/>
              <w:spacing w:after="0" w:line="147"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line="147" w:lineRule="exact"/>
              <w:rPr>
                <w:sz w:val="20"/>
                <w:szCs w:val="20"/>
                <w:color w:val="auto"/>
              </w:rPr>
            </w:pPr>
            <w:r>
              <w:rPr>
                <w:rFonts w:ascii="Arial" w:cs="Arial" w:eastAsia="Arial" w:hAnsi="Arial"/>
                <w:sz w:val="13"/>
                <w:szCs w:val="13"/>
                <w:color w:val="auto"/>
              </w:rPr>
              <w:t>-</w:t>
            </w:r>
          </w:p>
        </w:tc>
      </w:tr>
      <w:tr>
        <w:trPr>
          <w:trHeight w:val="172"/>
        </w:trPr>
        <w:tc>
          <w:tcPr>
            <w:tcW w:w="1060" w:type="dxa"/>
            <w:vAlign w:val="bottom"/>
          </w:tcPr>
          <w:p>
            <w:pPr>
              <w:jc w:val="right"/>
              <w:ind w:right="115"/>
              <w:spacing w:after="0"/>
              <w:rPr>
                <w:sz w:val="20"/>
                <w:szCs w:val="20"/>
                <w:color w:val="auto"/>
              </w:rPr>
            </w:pPr>
            <w:r>
              <w:rPr>
                <w:rFonts w:ascii="Arial" w:cs="Arial" w:eastAsia="Arial" w:hAnsi="Arial"/>
                <w:sz w:val="13"/>
                <w:szCs w:val="13"/>
                <w:color w:val="auto"/>
              </w:rPr>
              <w:t>357,096</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(55,282)</w:t>
            </w:r>
          </w:p>
        </w:tc>
        <w:tc>
          <w:tcPr>
            <w:tcW w:w="980" w:type="dxa"/>
            <w:vAlign w:val="bottom"/>
          </w:tcPr>
          <w:p>
            <w:pPr>
              <w:jc w:val="right"/>
              <w:ind w:right="95"/>
              <w:spacing w:after="0"/>
              <w:rPr>
                <w:sz w:val="20"/>
                <w:szCs w:val="20"/>
                <w:color w:val="auto"/>
              </w:rPr>
            </w:pPr>
            <w:r>
              <w:rPr>
                <w:rFonts w:ascii="Arial" w:cs="Arial" w:eastAsia="Arial" w:hAnsi="Arial"/>
                <w:sz w:val="13"/>
                <w:szCs w:val="13"/>
                <w:color w:val="auto"/>
              </w:rPr>
              <w:t>(3,221)</w:t>
            </w:r>
          </w:p>
        </w:tc>
        <w:tc>
          <w:tcPr>
            <w:tcW w:w="1040" w:type="dxa"/>
            <w:vAlign w:val="bottom"/>
          </w:tcPr>
          <w:p>
            <w:pPr>
              <w:jc w:val="right"/>
              <w:ind w:right="135"/>
              <w:spacing w:after="0"/>
              <w:rPr>
                <w:sz w:val="20"/>
                <w:szCs w:val="20"/>
                <w:color w:val="auto"/>
              </w:rPr>
            </w:pPr>
            <w:r>
              <w:rPr>
                <w:rFonts w:ascii="Arial" w:cs="Arial" w:eastAsia="Arial" w:hAnsi="Arial"/>
                <w:sz w:val="13"/>
                <w:szCs w:val="13"/>
                <w:color w:val="auto"/>
              </w:rPr>
              <w:t>16,583</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(138)</w:t>
            </w:r>
          </w:p>
        </w:tc>
        <w:tc>
          <w:tcPr>
            <w:tcW w:w="1060" w:type="dxa"/>
            <w:vAlign w:val="bottom"/>
          </w:tcPr>
          <w:p>
            <w:pPr>
              <w:jc w:val="right"/>
              <w:ind w:right="195"/>
              <w:spacing w:after="0"/>
              <w:rPr>
                <w:sz w:val="20"/>
                <w:szCs w:val="20"/>
                <w:color w:val="auto"/>
              </w:rPr>
            </w:pPr>
            <w:r>
              <w:rPr>
                <w:rFonts w:ascii="Arial" w:cs="Arial" w:eastAsia="Arial" w:hAnsi="Arial"/>
                <w:sz w:val="13"/>
                <w:szCs w:val="13"/>
                <w:color w:val="auto"/>
              </w:rPr>
              <w:t>178</w:t>
            </w:r>
          </w:p>
        </w:tc>
        <w:tc>
          <w:tcPr>
            <w:tcW w:w="1020" w:type="dxa"/>
            <w:vAlign w:val="bottom"/>
          </w:tcPr>
          <w:p>
            <w:pPr>
              <w:jc w:val="right"/>
              <w:ind w:right="95"/>
              <w:spacing w:after="0"/>
              <w:rPr>
                <w:sz w:val="20"/>
                <w:szCs w:val="20"/>
                <w:color w:val="auto"/>
              </w:rPr>
            </w:pPr>
            <w:r>
              <w:rPr>
                <w:rFonts w:ascii="Arial" w:cs="Arial" w:eastAsia="Arial" w:hAnsi="Arial"/>
                <w:sz w:val="13"/>
                <w:szCs w:val="13"/>
                <w:color w:val="auto"/>
              </w:rPr>
              <w:t>(61)</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315,155</w:t>
            </w:r>
          </w:p>
        </w:tc>
      </w:tr>
      <w:tr>
        <w:trPr>
          <w:trHeight w:val="293"/>
        </w:trPr>
        <w:tc>
          <w:tcPr>
            <w:tcW w:w="1060" w:type="dxa"/>
            <w:vAlign w:val="bottom"/>
          </w:tcPr>
          <w:p>
            <w:pPr>
              <w:jc w:val="right"/>
              <w:ind w:right="115"/>
              <w:spacing w:after="0"/>
              <w:rPr>
                <w:sz w:val="20"/>
                <w:szCs w:val="20"/>
                <w:color w:val="auto"/>
              </w:rPr>
            </w:pPr>
            <w:r>
              <w:rPr>
                <w:rFonts w:ascii="Arial" w:cs="Arial" w:eastAsia="Arial" w:hAnsi="Arial"/>
                <w:sz w:val="13"/>
                <w:szCs w:val="13"/>
                <w:color w:val="auto"/>
              </w:rPr>
              <w:t>3,849,115</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5"/>
              <w:spacing w:after="0"/>
              <w:rPr>
                <w:sz w:val="20"/>
                <w:szCs w:val="20"/>
                <w:color w:val="auto"/>
              </w:rPr>
            </w:pPr>
            <w:r>
              <w:rPr>
                <w:rFonts w:ascii="Arial" w:cs="Arial" w:eastAsia="Arial" w:hAnsi="Arial"/>
                <w:sz w:val="13"/>
                <w:szCs w:val="13"/>
                <w:color w:val="auto"/>
              </w:rPr>
              <w:t>47,226</w:t>
            </w:r>
          </w:p>
        </w:tc>
        <w:tc>
          <w:tcPr>
            <w:tcW w:w="1020" w:type="dxa"/>
            <w:vAlign w:val="bottom"/>
          </w:tcPr>
          <w:p>
            <w:pPr>
              <w:jc w:val="right"/>
              <w:ind w:right="95"/>
              <w:spacing w:after="0"/>
              <w:rPr>
                <w:sz w:val="20"/>
                <w:szCs w:val="20"/>
                <w:color w:val="auto"/>
              </w:rPr>
            </w:pPr>
            <w:r>
              <w:rPr>
                <w:rFonts w:ascii="Arial" w:cs="Arial" w:eastAsia="Arial" w:hAnsi="Arial"/>
                <w:sz w:val="13"/>
                <w:szCs w:val="13"/>
                <w:color w:val="auto"/>
              </w:rPr>
              <w:t>11,454</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3,907,795</w:t>
            </w:r>
          </w:p>
        </w:tc>
      </w:tr>
      <w:tr>
        <w:trPr>
          <w:trHeight w:val="268"/>
        </w:trPr>
        <w:tc>
          <w:tcPr>
            <w:tcW w:w="106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5"/>
              <w:spacing w:after="0"/>
              <w:rPr>
                <w:sz w:val="20"/>
                <w:szCs w:val="20"/>
                <w:color w:val="auto"/>
              </w:rPr>
            </w:pPr>
            <w:r>
              <w:rPr>
                <w:rFonts w:ascii="Arial" w:cs="Arial" w:eastAsia="Arial" w:hAnsi="Arial"/>
                <w:sz w:val="13"/>
                <w:szCs w:val="13"/>
                <w:color w:val="auto"/>
              </w:rPr>
              <w:t>(838,619)</w:t>
            </w:r>
          </w:p>
        </w:tc>
        <w:tc>
          <w:tcPr>
            <w:tcW w:w="1040" w:type="dxa"/>
            <w:vAlign w:val="bottom"/>
          </w:tcPr>
          <w:p>
            <w:pPr>
              <w:jc w:val="right"/>
              <w:ind w:right="135"/>
              <w:spacing w:after="0"/>
              <w:rPr>
                <w:sz w:val="20"/>
                <w:szCs w:val="20"/>
                <w:color w:val="auto"/>
              </w:rPr>
            </w:pPr>
            <w:r>
              <w:rPr>
                <w:rFonts w:ascii="Arial" w:cs="Arial" w:eastAsia="Arial" w:hAnsi="Arial"/>
                <w:sz w:val="13"/>
                <w:szCs w:val="13"/>
                <w:color w:val="auto"/>
              </w:rPr>
              <w:t>(1,900,904)</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(2,739,523)</w:t>
            </w:r>
          </w:p>
        </w:tc>
      </w:tr>
      <w:tr>
        <w:trPr>
          <w:trHeight w:val="154"/>
        </w:trPr>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(75,161)</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(75,161)</w:t>
            </w:r>
          </w:p>
        </w:tc>
      </w:tr>
      <w:tr>
        <w:trPr>
          <w:trHeight w:val="139"/>
        </w:trPr>
        <w:tc>
          <w:tcPr>
            <w:tcW w:w="106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color w:val="auto"/>
              </w:rPr>
              <w:t>3,773,954</w:t>
            </w:r>
          </w:p>
        </w:tc>
        <w:tc>
          <w:tcPr>
            <w:tcW w:w="98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(838,619)</w:t>
            </w:r>
          </w:p>
        </w:tc>
        <w:tc>
          <w:tcPr>
            <w:tcW w:w="104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color w:val="auto"/>
              </w:rPr>
              <w:t>(1,900,904)</w:t>
            </w:r>
          </w:p>
        </w:tc>
        <w:tc>
          <w:tcPr>
            <w:tcW w:w="100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95"/>
              <w:spacing w:after="0" w:line="139" w:lineRule="exact"/>
              <w:rPr>
                <w:sz w:val="20"/>
                <w:szCs w:val="20"/>
                <w:color w:val="auto"/>
              </w:rPr>
            </w:pPr>
            <w:r>
              <w:rPr>
                <w:rFonts w:ascii="Arial" w:cs="Arial" w:eastAsia="Arial" w:hAnsi="Arial"/>
                <w:sz w:val="13"/>
                <w:szCs w:val="13"/>
                <w:color w:val="auto"/>
              </w:rPr>
              <w:t>47,226</w:t>
            </w:r>
          </w:p>
        </w:tc>
        <w:tc>
          <w:tcPr>
            <w:tcW w:w="1020" w:type="dxa"/>
            <w:vAlign w:val="bottom"/>
            <w:tcBorders>
              <w:bottom w:val="single" w:sz="8" w:color="auto"/>
            </w:tcBorders>
          </w:tcPr>
          <w:p>
            <w:pPr>
              <w:jc w:val="right"/>
              <w:ind w:right="95"/>
              <w:spacing w:after="0" w:line="139" w:lineRule="exact"/>
              <w:rPr>
                <w:sz w:val="20"/>
                <w:szCs w:val="20"/>
                <w:color w:val="auto"/>
              </w:rPr>
            </w:pPr>
            <w:r>
              <w:rPr>
                <w:rFonts w:ascii="Arial" w:cs="Arial" w:eastAsia="Arial" w:hAnsi="Arial"/>
                <w:sz w:val="13"/>
                <w:szCs w:val="13"/>
                <w:color w:val="auto"/>
              </w:rPr>
              <w:t>11,454</w:t>
            </w:r>
          </w:p>
        </w:tc>
        <w:tc>
          <w:tcPr>
            <w:tcW w:w="960" w:type="dxa"/>
            <w:vAlign w:val="bottom"/>
            <w:tcBorders>
              <w:bottom w:val="single" w:sz="8" w:color="auto"/>
            </w:tcBorders>
          </w:tcPr>
          <w:p>
            <w:pPr>
              <w:jc w:val="right"/>
              <w:ind w:right="55"/>
              <w:spacing w:after="0" w:line="139" w:lineRule="exact"/>
              <w:rPr>
                <w:sz w:val="20"/>
                <w:szCs w:val="20"/>
                <w:color w:val="auto"/>
              </w:rPr>
            </w:pPr>
            <w:r>
              <w:rPr>
                <w:rFonts w:ascii="Arial" w:cs="Arial" w:eastAsia="Arial" w:hAnsi="Arial"/>
                <w:sz w:val="13"/>
                <w:szCs w:val="13"/>
                <w:color w:val="auto"/>
              </w:rPr>
              <w:t>1,093,111</w:t>
            </w:r>
          </w:p>
        </w:tc>
      </w:tr>
      <w:tr>
        <w:trPr>
          <w:trHeight w:val="265"/>
        </w:trPr>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8,396,418</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163,555</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1,073,412</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2,274,827</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14,158</w:t>
            </w: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(869,455)</w:t>
            </w: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101,093</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11,154,008</w:t>
            </w:r>
          </w:p>
        </w:tc>
      </w:tr>
    </w:tbl>
    <w:p>
      <w:pPr>
        <w:spacing w:after="0" w:line="142" w:lineRule="exact"/>
        <w:rPr>
          <w:sz w:val="20"/>
          <w:szCs w:val="20"/>
          <w:color w:val="auto"/>
        </w:rPr>
      </w:pPr>
    </w:p>
    <w:p>
      <w:pPr>
        <w:sectPr>
          <w:pgSz w:w="11900" w:h="16838" w:orient="portrait"/>
          <w:cols w:equalWidth="0" w:num="2">
            <w:col w:w="1960" w:space="60"/>
            <w:col w:w="8100"/>
          </w:cols>
          <w:pgMar w:left="1200" w:top="132" w:right="579" w:bottom="1440" w:gutter="0" w:footer="0" w:header="0"/>
          <w:type w:val="continuous"/>
        </w:sectPr>
      </w:pPr>
    </w:p>
    <w:p>
      <w:pPr>
        <w:ind w:left="464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41275</wp:posOffset>
            </wp:positionV>
            <wp:extent cx="714565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20"/>
          </w:cols>
          <w:pgMar w:left="1200" w:top="132" w:right="57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15"/>
        </w:trPr>
        <w:tc>
          <w:tcPr>
            <w:tcW w:w="5180" w:type="dxa"/>
            <w:vAlign w:val="bottom"/>
          </w:tcPr>
          <w:p>
            <w:pPr>
              <w:ind w:left="580"/>
              <w:spacing w:after="0"/>
              <w:rPr>
                <w:sz w:val="20"/>
                <w:szCs w:val="20"/>
                <w:color w:val="auto"/>
              </w:rPr>
            </w:pPr>
            <w:r>
              <w:rPr>
                <w:rFonts w:ascii="Arial" w:cs="Arial" w:eastAsia="Arial" w:hAnsi="Arial"/>
                <w:sz w:val="16"/>
                <w:szCs w:val="16"/>
                <w:color w:val="auto"/>
              </w:rPr>
              <w:t>c)  The components of the movement are presented below:</w:t>
            </w: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5180" w:type="dxa"/>
            <w:vAlign w:val="bottom"/>
          </w:tcPr>
          <w:p>
            <w:pPr>
              <w:spacing w:after="0"/>
              <w:rPr>
                <w:sz w:val="24"/>
                <w:szCs w:val="24"/>
                <w:color w:val="auto"/>
              </w:rPr>
            </w:pPr>
          </w:p>
        </w:tc>
        <w:tc>
          <w:tcPr>
            <w:tcW w:w="26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As of December 31, 2023</w:t>
            </w: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1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Present</w:t>
            </w:r>
          </w:p>
        </w:tc>
        <w:tc>
          <w:tcPr>
            <w:tcW w:w="1380" w:type="dxa"/>
            <w:vAlign w:val="bottom"/>
          </w:tcPr>
          <w:p>
            <w:pPr>
              <w:spacing w:after="0"/>
              <w:rPr>
                <w:sz w:val="16"/>
                <w:szCs w:val="16"/>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CSM</w:t>
            </w:r>
          </w:p>
        </w:tc>
        <w:tc>
          <w:tcPr>
            <w:tcW w:w="132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Total</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6"/>
                <w:szCs w:val="16"/>
                <w:b w:val="1"/>
                <w:bCs w:val="1"/>
                <w:color w:val="auto"/>
              </w:rPr>
              <w:t>value of</w:t>
            </w: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6"/>
                <w:szCs w:val="16"/>
                <w:b w:val="1"/>
                <w:bCs w:val="1"/>
                <w:color w:val="auto"/>
              </w:rPr>
              <w:t>future cash</w:t>
            </w:r>
          </w:p>
        </w:tc>
        <w:tc>
          <w:tcPr>
            <w:tcW w:w="1380" w:type="dxa"/>
            <w:vAlign w:val="bottom"/>
          </w:tcPr>
          <w:p>
            <w:pPr>
              <w:ind w:left="140"/>
              <w:spacing w:after="0"/>
              <w:rPr>
                <w:sz w:val="20"/>
                <w:szCs w:val="20"/>
                <w:color w:val="auto"/>
              </w:rPr>
            </w:pPr>
            <w:r>
              <w:rPr>
                <w:rFonts w:ascii="Arial" w:cs="Arial" w:eastAsia="Arial" w:hAnsi="Arial"/>
                <w:sz w:val="16"/>
                <w:szCs w:val="16"/>
                <w:b w:val="1"/>
                <w:bCs w:val="1"/>
                <w:color w:val="auto"/>
              </w:rPr>
              <w:t>Risk</w:t>
            </w: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80" w:type="dxa"/>
            <w:vAlign w:val="bottom"/>
          </w:tcPr>
          <w:p>
            <w:pPr>
              <w:spacing w:after="0"/>
              <w:rPr>
                <w:sz w:val="17"/>
                <w:szCs w:val="17"/>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flows</w:t>
            </w: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adjustment</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contracts</w:t>
            </w:r>
          </w:p>
        </w:tc>
        <w:tc>
          <w:tcPr>
            <w:tcW w:w="132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6"/>
                <w:szCs w:val="16"/>
                <w:b w:val="1"/>
                <w:bCs w:val="1"/>
                <w:color w:val="auto"/>
              </w:rPr>
              <w:t>S/(000)</w:t>
            </w:r>
          </w:p>
        </w:tc>
        <w:tc>
          <w:tcPr>
            <w:tcW w:w="1380" w:type="dxa"/>
            <w:vAlign w:val="bottom"/>
          </w:tcPr>
          <w:p>
            <w:pPr>
              <w:jc w:val="right"/>
              <w:ind w:right="359"/>
              <w:spacing w:after="0"/>
              <w:rPr>
                <w:sz w:val="20"/>
                <w:szCs w:val="20"/>
                <w:color w:val="auto"/>
              </w:rPr>
            </w:pPr>
            <w:r>
              <w:rPr>
                <w:rFonts w:ascii="Arial" w:cs="Arial" w:eastAsia="Arial" w:hAnsi="Arial"/>
                <w:sz w:val="16"/>
                <w:szCs w:val="16"/>
                <w:b w:val="1"/>
                <w:bCs w:val="1"/>
                <w:color w:val="auto"/>
              </w:rPr>
              <w:t>S/(000)</w:t>
            </w:r>
          </w:p>
        </w:tc>
        <w:tc>
          <w:tcPr>
            <w:tcW w:w="13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S/(000)</w:t>
            </w: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S/(000)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180" w:type="dxa"/>
            <w:vAlign w:val="bottom"/>
          </w:tcPr>
          <w:p>
            <w:pPr>
              <w:ind w:left="880"/>
              <w:spacing w:after="0"/>
              <w:rPr>
                <w:sz w:val="20"/>
                <w:szCs w:val="20"/>
                <w:color w:val="auto"/>
              </w:rPr>
            </w:pPr>
            <w:r>
              <w:rPr>
                <w:rFonts w:ascii="Arial" w:cs="Arial" w:eastAsia="Arial" w:hAnsi="Arial"/>
                <w:sz w:val="16"/>
                <w:szCs w:val="16"/>
                <w:b w:val="1"/>
                <w:bCs w:val="1"/>
                <w:color w:val="auto"/>
              </w:rPr>
              <w:t>Balances as of January 1</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7,186,948</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254,151</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1,154,236</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8,595,335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Changes in the statement of income:</w:t>
            </w: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Changes in estimates that adjust the CSM</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50,644</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(97,658)</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39,919</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(7,095)</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Changes in estimates that result in losses and recoveries</w:t>
            </w: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for contract losses onerous</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4,483</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(10,842)</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(5,615)</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(11,974)</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880"/>
              <w:spacing w:after="0"/>
              <w:rPr>
                <w:sz w:val="20"/>
                <w:szCs w:val="20"/>
                <w:color w:val="auto"/>
              </w:rPr>
            </w:pPr>
            <w:r>
              <w:rPr>
                <w:rFonts w:ascii="Arial" w:cs="Arial" w:eastAsia="Arial" w:hAnsi="Arial"/>
                <w:sz w:val="16"/>
                <w:szCs w:val="16"/>
                <w:color w:val="auto"/>
              </w:rPr>
              <w:t>Initial recognition contracts</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(94,546)</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8,226</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106,833</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20,513</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180" w:type="dxa"/>
            <w:vAlign w:val="bottom"/>
          </w:tcPr>
          <w:p>
            <w:pPr>
              <w:ind w:left="880"/>
              <w:spacing w:after="0" w:line="159" w:lineRule="exact"/>
              <w:rPr>
                <w:sz w:val="20"/>
                <w:szCs w:val="20"/>
                <w:color w:val="auto"/>
              </w:rPr>
            </w:pPr>
            <w:r>
              <w:rPr>
                <w:rFonts w:ascii="Arial" w:cs="Arial" w:eastAsia="Arial" w:hAnsi="Arial"/>
                <w:sz w:val="16"/>
                <w:szCs w:val="16"/>
                <w:b w:val="1"/>
                <w:bCs w:val="1"/>
                <w:color w:val="auto"/>
              </w:rPr>
              <w:t>Changes Related to Future Services</w:t>
            </w:r>
          </w:p>
        </w:tc>
        <w:tc>
          <w:tcPr>
            <w:tcW w:w="1260" w:type="dxa"/>
            <w:vAlign w:val="bottom"/>
          </w:tcPr>
          <w:p>
            <w:pPr>
              <w:jc w:val="right"/>
              <w:ind w:right="79"/>
              <w:spacing w:after="0" w:line="159" w:lineRule="exact"/>
              <w:rPr>
                <w:sz w:val="20"/>
                <w:szCs w:val="20"/>
                <w:color w:val="auto"/>
              </w:rPr>
            </w:pPr>
            <w:r>
              <w:rPr>
                <w:rFonts w:ascii="Arial" w:cs="Arial" w:eastAsia="Arial" w:hAnsi="Arial"/>
                <w:sz w:val="16"/>
                <w:szCs w:val="16"/>
                <w:color w:val="auto"/>
              </w:rPr>
              <w:t>(39,419)</w:t>
            </w:r>
          </w:p>
        </w:tc>
        <w:tc>
          <w:tcPr>
            <w:tcW w:w="1380" w:type="dxa"/>
            <w:vAlign w:val="bottom"/>
          </w:tcPr>
          <w:p>
            <w:pPr>
              <w:jc w:val="right"/>
              <w:ind w:right="99"/>
              <w:spacing w:after="0" w:line="159" w:lineRule="exact"/>
              <w:rPr>
                <w:sz w:val="20"/>
                <w:szCs w:val="20"/>
                <w:color w:val="auto"/>
              </w:rPr>
            </w:pPr>
            <w:r>
              <w:rPr>
                <w:rFonts w:ascii="Arial" w:cs="Arial" w:eastAsia="Arial" w:hAnsi="Arial"/>
                <w:sz w:val="16"/>
                <w:szCs w:val="16"/>
                <w:color w:val="auto"/>
              </w:rPr>
              <w:t>(100,274)</w:t>
            </w:r>
          </w:p>
        </w:tc>
        <w:tc>
          <w:tcPr>
            <w:tcW w:w="1300" w:type="dxa"/>
            <w:vAlign w:val="bottom"/>
            <w:gridSpan w:val="2"/>
          </w:tcPr>
          <w:p>
            <w:pPr>
              <w:jc w:val="right"/>
              <w:ind w:right="160"/>
              <w:spacing w:after="0" w:line="159" w:lineRule="exact"/>
              <w:rPr>
                <w:sz w:val="20"/>
                <w:szCs w:val="20"/>
                <w:color w:val="auto"/>
              </w:rPr>
            </w:pPr>
            <w:r>
              <w:rPr>
                <w:rFonts w:ascii="Arial" w:cs="Arial" w:eastAsia="Arial" w:hAnsi="Arial"/>
                <w:sz w:val="16"/>
                <w:szCs w:val="16"/>
                <w:color w:val="auto"/>
              </w:rPr>
              <w:t>141,137</w:t>
            </w:r>
          </w:p>
        </w:tc>
        <w:tc>
          <w:tcPr>
            <w:tcW w:w="1320" w:type="dxa"/>
            <w:vAlign w:val="bottom"/>
          </w:tcPr>
          <w:p>
            <w:pPr>
              <w:jc w:val="right"/>
              <w:ind w:right="39"/>
              <w:spacing w:after="0" w:line="159" w:lineRule="exact"/>
              <w:rPr>
                <w:sz w:val="20"/>
                <w:szCs w:val="20"/>
                <w:color w:val="auto"/>
              </w:rPr>
            </w:pPr>
            <w:r>
              <w:rPr>
                <w:rFonts w:ascii="Arial" w:cs="Arial" w:eastAsia="Arial" w:hAnsi="Arial"/>
                <w:sz w:val="16"/>
                <w:szCs w:val="16"/>
                <w:color w:val="auto"/>
              </w:rPr>
              <w:t>1,444</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CSM recognized for services provided</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(128,639)</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(128,639)</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Changes in the risk adjustment recognized for the expired</w:t>
            </w: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risk</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(22,759)</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(22,759)</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880"/>
              <w:spacing w:after="0"/>
              <w:rPr>
                <w:sz w:val="20"/>
                <w:szCs w:val="20"/>
                <w:color w:val="auto"/>
              </w:rPr>
            </w:pPr>
            <w:r>
              <w:rPr>
                <w:rFonts w:ascii="Arial" w:cs="Arial" w:eastAsia="Arial" w:hAnsi="Arial"/>
                <w:sz w:val="16"/>
                <w:szCs w:val="16"/>
                <w:color w:val="auto"/>
              </w:rPr>
              <w:t>Experience Adjustments</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871,245</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174</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871,424</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180" w:type="dxa"/>
            <w:vAlign w:val="bottom"/>
          </w:tcPr>
          <w:p>
            <w:pPr>
              <w:ind w:left="880"/>
              <w:spacing w:after="0" w:line="159" w:lineRule="exact"/>
              <w:rPr>
                <w:sz w:val="20"/>
                <w:szCs w:val="20"/>
                <w:color w:val="auto"/>
              </w:rPr>
            </w:pPr>
            <w:r>
              <w:rPr>
                <w:rFonts w:ascii="Arial" w:cs="Arial" w:eastAsia="Arial" w:hAnsi="Arial"/>
                <w:sz w:val="16"/>
                <w:szCs w:val="16"/>
                <w:b w:val="1"/>
                <w:bCs w:val="1"/>
                <w:color w:val="auto"/>
              </w:rPr>
              <w:t>Changes Related to Current Services</w:t>
            </w:r>
          </w:p>
        </w:tc>
        <w:tc>
          <w:tcPr>
            <w:tcW w:w="1260" w:type="dxa"/>
            <w:vAlign w:val="bottom"/>
          </w:tcPr>
          <w:p>
            <w:pPr>
              <w:jc w:val="right"/>
              <w:ind w:right="59"/>
              <w:spacing w:after="0" w:line="159" w:lineRule="exact"/>
              <w:rPr>
                <w:sz w:val="20"/>
                <w:szCs w:val="20"/>
                <w:color w:val="auto"/>
              </w:rPr>
            </w:pPr>
            <w:r>
              <w:rPr>
                <w:rFonts w:ascii="Arial" w:cs="Arial" w:eastAsia="Arial" w:hAnsi="Arial"/>
                <w:sz w:val="16"/>
                <w:szCs w:val="16"/>
                <w:color w:val="auto"/>
              </w:rPr>
              <w:t>871,245</w:t>
            </w:r>
          </w:p>
        </w:tc>
        <w:tc>
          <w:tcPr>
            <w:tcW w:w="1380" w:type="dxa"/>
            <w:vAlign w:val="bottom"/>
          </w:tcPr>
          <w:p>
            <w:pPr>
              <w:jc w:val="right"/>
              <w:ind w:right="99"/>
              <w:spacing w:after="0" w:line="159" w:lineRule="exact"/>
              <w:rPr>
                <w:sz w:val="20"/>
                <w:szCs w:val="20"/>
                <w:color w:val="auto"/>
              </w:rPr>
            </w:pPr>
            <w:r>
              <w:rPr>
                <w:rFonts w:ascii="Arial" w:cs="Arial" w:eastAsia="Arial" w:hAnsi="Arial"/>
                <w:sz w:val="16"/>
                <w:szCs w:val="16"/>
                <w:color w:val="auto"/>
              </w:rPr>
              <w:t>(22,754)</w:t>
            </w:r>
          </w:p>
        </w:tc>
        <w:tc>
          <w:tcPr>
            <w:tcW w:w="1300" w:type="dxa"/>
            <w:vAlign w:val="bottom"/>
            <w:gridSpan w:val="2"/>
          </w:tcPr>
          <w:p>
            <w:pPr>
              <w:jc w:val="right"/>
              <w:ind w:right="160"/>
              <w:spacing w:after="0" w:line="159" w:lineRule="exact"/>
              <w:rPr>
                <w:sz w:val="20"/>
                <w:szCs w:val="20"/>
                <w:color w:val="auto"/>
              </w:rPr>
            </w:pPr>
            <w:r>
              <w:rPr>
                <w:rFonts w:ascii="Arial" w:cs="Arial" w:eastAsia="Arial" w:hAnsi="Arial"/>
                <w:sz w:val="16"/>
                <w:szCs w:val="16"/>
                <w:color w:val="auto"/>
              </w:rPr>
              <w:t>(128,465)</w:t>
            </w:r>
          </w:p>
        </w:tc>
        <w:tc>
          <w:tcPr>
            <w:tcW w:w="1320" w:type="dxa"/>
            <w:vAlign w:val="bottom"/>
          </w:tcPr>
          <w:p>
            <w:pPr>
              <w:jc w:val="right"/>
              <w:ind w:right="39"/>
              <w:spacing w:after="0" w:line="159" w:lineRule="exact"/>
              <w:rPr>
                <w:sz w:val="20"/>
                <w:szCs w:val="20"/>
                <w:color w:val="auto"/>
              </w:rPr>
            </w:pPr>
            <w:r>
              <w:rPr>
                <w:rFonts w:ascii="Arial" w:cs="Arial" w:eastAsia="Arial" w:hAnsi="Arial"/>
                <w:sz w:val="16"/>
                <w:szCs w:val="16"/>
                <w:color w:val="auto"/>
              </w:rPr>
              <w:t>720,026</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880"/>
              <w:spacing w:after="0"/>
              <w:rPr>
                <w:sz w:val="20"/>
                <w:szCs w:val="20"/>
                <w:color w:val="auto"/>
              </w:rPr>
            </w:pPr>
            <w:r>
              <w:rPr>
                <w:rFonts w:ascii="Arial" w:cs="Arial" w:eastAsia="Arial" w:hAnsi="Arial"/>
                <w:sz w:val="16"/>
                <w:szCs w:val="16"/>
                <w:color w:val="auto"/>
              </w:rPr>
              <w:t>Adjustments to liabilities for incurred claims</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(764,140)</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9,443</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(754,697)</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Changes related to past services</w:t>
            </w:r>
          </w:p>
        </w:tc>
        <w:tc>
          <w:tcPr>
            <w:tcW w:w="1260" w:type="dxa"/>
            <w:vAlign w:val="bottom"/>
            <w:tcBorders>
              <w:bottom w:val="single" w:sz="8" w:color="auto"/>
            </w:tcBorders>
          </w:tcPr>
          <w:p>
            <w:pPr>
              <w:jc w:val="right"/>
              <w:ind w:right="59"/>
              <w:spacing w:after="0" w:line="175" w:lineRule="exact"/>
              <w:rPr>
                <w:sz w:val="20"/>
                <w:szCs w:val="20"/>
                <w:color w:val="auto"/>
              </w:rPr>
            </w:pPr>
            <w:r>
              <w:rPr>
                <w:rFonts w:ascii="Arial" w:cs="Arial" w:eastAsia="Arial" w:hAnsi="Arial"/>
                <w:sz w:val="16"/>
                <w:szCs w:val="16"/>
                <w:color w:val="auto"/>
              </w:rPr>
              <w:t>(764,140)</w:t>
            </w:r>
          </w:p>
        </w:tc>
        <w:tc>
          <w:tcPr>
            <w:tcW w:w="1380" w:type="dxa"/>
            <w:vAlign w:val="bottom"/>
            <w:tcBorders>
              <w:bottom w:val="single" w:sz="8" w:color="auto"/>
            </w:tcBorders>
          </w:tcPr>
          <w:p>
            <w:pPr>
              <w:jc w:val="right"/>
              <w:ind w:right="99"/>
              <w:spacing w:after="0" w:line="175" w:lineRule="exact"/>
              <w:rPr>
                <w:sz w:val="20"/>
                <w:szCs w:val="20"/>
                <w:color w:val="auto"/>
              </w:rPr>
            </w:pPr>
            <w:r>
              <w:rPr>
                <w:rFonts w:ascii="Arial" w:cs="Arial" w:eastAsia="Arial" w:hAnsi="Arial"/>
                <w:sz w:val="16"/>
                <w:szCs w:val="16"/>
                <w:color w:val="auto"/>
              </w:rPr>
              <w:t>9,443</w:t>
            </w:r>
          </w:p>
        </w:tc>
        <w:tc>
          <w:tcPr>
            <w:tcW w:w="1300" w:type="dxa"/>
            <w:vAlign w:val="bottom"/>
            <w:tcBorders>
              <w:bottom w:val="single" w:sz="8" w:color="auto"/>
            </w:tcBorders>
            <w:gridSpan w:val="2"/>
          </w:tcPr>
          <w:p>
            <w:pPr>
              <w:jc w:val="right"/>
              <w:ind w:right="160"/>
              <w:spacing w:after="0" w:line="175"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line="175" w:lineRule="exact"/>
              <w:rPr>
                <w:sz w:val="20"/>
                <w:szCs w:val="20"/>
                <w:color w:val="auto"/>
              </w:rPr>
            </w:pPr>
            <w:r>
              <w:rPr>
                <w:rFonts w:ascii="Arial" w:cs="Arial" w:eastAsia="Arial" w:hAnsi="Arial"/>
                <w:sz w:val="16"/>
                <w:szCs w:val="16"/>
                <w:color w:val="auto"/>
              </w:rPr>
              <w:t>(754,697)</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180" w:type="dxa"/>
            <w:vAlign w:val="bottom"/>
          </w:tcPr>
          <w:p>
            <w:pPr>
              <w:ind w:left="880"/>
              <w:spacing w:after="0" w:line="159" w:lineRule="exact"/>
              <w:rPr>
                <w:sz w:val="20"/>
                <w:szCs w:val="20"/>
                <w:color w:val="auto"/>
              </w:rPr>
            </w:pPr>
            <w:r>
              <w:rPr>
                <w:rFonts w:ascii="Arial" w:cs="Arial" w:eastAsia="Arial" w:hAnsi="Arial"/>
                <w:sz w:val="16"/>
                <w:szCs w:val="16"/>
                <w:b w:val="1"/>
                <w:bCs w:val="1"/>
                <w:color w:val="auto"/>
              </w:rPr>
              <w:t>Result of the insurance service</w:t>
            </w:r>
          </w:p>
        </w:tc>
        <w:tc>
          <w:tcPr>
            <w:tcW w:w="1260" w:type="dxa"/>
            <w:vAlign w:val="bottom"/>
          </w:tcPr>
          <w:p>
            <w:pPr>
              <w:jc w:val="right"/>
              <w:ind w:right="59"/>
              <w:spacing w:after="0" w:line="159" w:lineRule="exact"/>
              <w:rPr>
                <w:sz w:val="20"/>
                <w:szCs w:val="20"/>
                <w:color w:val="auto"/>
              </w:rPr>
            </w:pPr>
            <w:r>
              <w:rPr>
                <w:rFonts w:ascii="Arial" w:cs="Arial" w:eastAsia="Arial" w:hAnsi="Arial"/>
                <w:sz w:val="16"/>
                <w:szCs w:val="16"/>
                <w:color w:val="auto"/>
              </w:rPr>
              <w:t>67,686</w:t>
            </w:r>
          </w:p>
        </w:tc>
        <w:tc>
          <w:tcPr>
            <w:tcW w:w="1380" w:type="dxa"/>
            <w:vAlign w:val="bottom"/>
          </w:tcPr>
          <w:p>
            <w:pPr>
              <w:jc w:val="right"/>
              <w:ind w:right="99"/>
              <w:spacing w:after="0" w:line="159" w:lineRule="exact"/>
              <w:rPr>
                <w:sz w:val="20"/>
                <w:szCs w:val="20"/>
                <w:color w:val="auto"/>
              </w:rPr>
            </w:pPr>
            <w:r>
              <w:rPr>
                <w:rFonts w:ascii="Arial" w:cs="Arial" w:eastAsia="Arial" w:hAnsi="Arial"/>
                <w:sz w:val="16"/>
                <w:szCs w:val="16"/>
                <w:color w:val="auto"/>
              </w:rPr>
              <w:t>(113,585)</w:t>
            </w:r>
          </w:p>
        </w:tc>
        <w:tc>
          <w:tcPr>
            <w:tcW w:w="1300" w:type="dxa"/>
            <w:vAlign w:val="bottom"/>
            <w:gridSpan w:val="2"/>
          </w:tcPr>
          <w:p>
            <w:pPr>
              <w:jc w:val="right"/>
              <w:ind w:right="160"/>
              <w:spacing w:after="0" w:line="159" w:lineRule="exact"/>
              <w:rPr>
                <w:sz w:val="20"/>
                <w:szCs w:val="20"/>
                <w:color w:val="auto"/>
              </w:rPr>
            </w:pPr>
            <w:r>
              <w:rPr>
                <w:rFonts w:ascii="Arial" w:cs="Arial" w:eastAsia="Arial" w:hAnsi="Arial"/>
                <w:sz w:val="16"/>
                <w:szCs w:val="16"/>
                <w:color w:val="auto"/>
              </w:rPr>
              <w:t>12,672</w:t>
            </w:r>
          </w:p>
        </w:tc>
        <w:tc>
          <w:tcPr>
            <w:tcW w:w="1320" w:type="dxa"/>
            <w:vAlign w:val="bottom"/>
          </w:tcPr>
          <w:p>
            <w:pPr>
              <w:jc w:val="right"/>
              <w:ind w:right="39"/>
              <w:spacing w:after="0" w:line="159" w:lineRule="exact"/>
              <w:rPr>
                <w:sz w:val="20"/>
                <w:szCs w:val="20"/>
                <w:color w:val="auto"/>
              </w:rPr>
            </w:pPr>
            <w:r>
              <w:rPr>
                <w:rFonts w:ascii="Arial" w:cs="Arial" w:eastAsia="Arial" w:hAnsi="Arial"/>
                <w:sz w:val="16"/>
                <w:szCs w:val="16"/>
                <w:color w:val="auto"/>
              </w:rPr>
              <w:t>(33,227)</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880"/>
              <w:spacing w:after="0"/>
              <w:rPr>
                <w:sz w:val="20"/>
                <w:szCs w:val="20"/>
                <w:color w:val="auto"/>
              </w:rPr>
            </w:pPr>
            <w:r>
              <w:rPr>
                <w:rFonts w:ascii="Arial" w:cs="Arial" w:eastAsia="Arial" w:hAnsi="Arial"/>
                <w:sz w:val="16"/>
                <w:szCs w:val="16"/>
                <w:color w:val="auto"/>
              </w:rPr>
              <w:t>Net financial expenses for insurance contracts</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1,140,937</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7,125</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40,142</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1,188,204</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180" w:type="dxa"/>
            <w:vAlign w:val="bottom"/>
          </w:tcPr>
          <w:p>
            <w:pPr>
              <w:ind w:left="880"/>
              <w:spacing w:after="0" w:line="159" w:lineRule="exact"/>
              <w:rPr>
                <w:sz w:val="20"/>
                <w:szCs w:val="20"/>
                <w:color w:val="auto"/>
              </w:rPr>
            </w:pPr>
            <w:r>
              <w:rPr>
                <w:rFonts w:ascii="Arial" w:cs="Arial" w:eastAsia="Arial" w:hAnsi="Arial"/>
                <w:sz w:val="16"/>
                <w:szCs w:val="16"/>
                <w:b w:val="1"/>
                <w:bCs w:val="1"/>
                <w:color w:val="auto"/>
              </w:rPr>
              <w:t>Total changes in the income statement</w:t>
            </w:r>
          </w:p>
        </w:tc>
        <w:tc>
          <w:tcPr>
            <w:tcW w:w="1260" w:type="dxa"/>
            <w:vAlign w:val="bottom"/>
          </w:tcPr>
          <w:p>
            <w:pPr>
              <w:jc w:val="right"/>
              <w:ind w:right="59"/>
              <w:spacing w:after="0" w:line="159" w:lineRule="exact"/>
              <w:rPr>
                <w:sz w:val="20"/>
                <w:szCs w:val="20"/>
                <w:color w:val="auto"/>
              </w:rPr>
            </w:pPr>
            <w:r>
              <w:rPr>
                <w:rFonts w:ascii="Arial" w:cs="Arial" w:eastAsia="Arial" w:hAnsi="Arial"/>
                <w:sz w:val="16"/>
                <w:szCs w:val="16"/>
                <w:color w:val="auto"/>
              </w:rPr>
              <w:t>1,208,623</w:t>
            </w:r>
          </w:p>
        </w:tc>
        <w:tc>
          <w:tcPr>
            <w:tcW w:w="1380" w:type="dxa"/>
            <w:vAlign w:val="bottom"/>
          </w:tcPr>
          <w:p>
            <w:pPr>
              <w:jc w:val="right"/>
              <w:ind w:right="99"/>
              <w:spacing w:after="0" w:line="159" w:lineRule="exact"/>
              <w:rPr>
                <w:sz w:val="20"/>
                <w:szCs w:val="20"/>
                <w:color w:val="auto"/>
              </w:rPr>
            </w:pPr>
            <w:r>
              <w:rPr>
                <w:rFonts w:ascii="Arial" w:cs="Arial" w:eastAsia="Arial" w:hAnsi="Arial"/>
                <w:sz w:val="16"/>
                <w:szCs w:val="16"/>
                <w:color w:val="auto"/>
              </w:rPr>
              <w:t>(106,460)</w:t>
            </w:r>
          </w:p>
        </w:tc>
        <w:tc>
          <w:tcPr>
            <w:tcW w:w="1300" w:type="dxa"/>
            <w:vAlign w:val="bottom"/>
            <w:gridSpan w:val="2"/>
          </w:tcPr>
          <w:p>
            <w:pPr>
              <w:jc w:val="right"/>
              <w:ind w:right="160"/>
              <w:spacing w:after="0" w:line="159" w:lineRule="exact"/>
              <w:rPr>
                <w:sz w:val="20"/>
                <w:szCs w:val="20"/>
                <w:color w:val="auto"/>
              </w:rPr>
            </w:pPr>
            <w:r>
              <w:rPr>
                <w:rFonts w:ascii="Arial" w:cs="Arial" w:eastAsia="Arial" w:hAnsi="Arial"/>
                <w:sz w:val="16"/>
                <w:szCs w:val="16"/>
                <w:color w:val="auto"/>
              </w:rPr>
              <w:t>52,814</w:t>
            </w:r>
          </w:p>
        </w:tc>
        <w:tc>
          <w:tcPr>
            <w:tcW w:w="1320" w:type="dxa"/>
            <w:vAlign w:val="bottom"/>
          </w:tcPr>
          <w:p>
            <w:pPr>
              <w:jc w:val="right"/>
              <w:ind w:right="39"/>
              <w:spacing w:after="0" w:line="159" w:lineRule="exact"/>
              <w:rPr>
                <w:sz w:val="20"/>
                <w:szCs w:val="20"/>
                <w:color w:val="auto"/>
              </w:rPr>
            </w:pPr>
            <w:r>
              <w:rPr>
                <w:rFonts w:ascii="Arial" w:cs="Arial" w:eastAsia="Arial" w:hAnsi="Arial"/>
                <w:sz w:val="16"/>
                <w:szCs w:val="16"/>
                <w:color w:val="auto"/>
              </w:rPr>
              <w:t>1,154,977</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Other changes</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(100,717)</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(3,484)</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(21,294)</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(125,495)</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Cash flow:</w:t>
            </w: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Premiums collected</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1,091,817</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1,091,817</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Benefits and expenses paid</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(1,085,630)</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(1,085,630)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880"/>
              <w:spacing w:after="0"/>
              <w:rPr>
                <w:sz w:val="20"/>
                <w:szCs w:val="20"/>
                <w:color w:val="auto"/>
              </w:rPr>
            </w:pPr>
            <w:r>
              <w:rPr>
                <w:rFonts w:ascii="Arial" w:cs="Arial" w:eastAsia="Arial" w:hAnsi="Arial"/>
                <w:sz w:val="16"/>
                <w:szCs w:val="16"/>
                <w:color w:val="auto"/>
              </w:rPr>
              <w:t>Acquisition fees paid</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(80,474)</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16,484</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(63,990)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Net cash flow</w:t>
            </w:r>
          </w:p>
        </w:tc>
        <w:tc>
          <w:tcPr>
            <w:tcW w:w="1260" w:type="dxa"/>
            <w:vAlign w:val="bottom"/>
            <w:tcBorders>
              <w:bottom w:val="single" w:sz="8" w:color="auto"/>
            </w:tcBorders>
          </w:tcPr>
          <w:p>
            <w:pPr>
              <w:jc w:val="right"/>
              <w:ind w:right="79"/>
              <w:spacing w:after="0" w:line="175" w:lineRule="exact"/>
              <w:rPr>
                <w:sz w:val="20"/>
                <w:szCs w:val="20"/>
                <w:color w:val="auto"/>
              </w:rPr>
            </w:pPr>
            <w:r>
              <w:rPr>
                <w:rFonts w:ascii="Arial" w:cs="Arial" w:eastAsia="Arial" w:hAnsi="Arial"/>
                <w:sz w:val="16"/>
                <w:szCs w:val="16"/>
                <w:color w:val="auto"/>
              </w:rPr>
              <w:t>(74,287)</w:t>
            </w:r>
          </w:p>
        </w:tc>
        <w:tc>
          <w:tcPr>
            <w:tcW w:w="1380" w:type="dxa"/>
            <w:vAlign w:val="bottom"/>
            <w:tcBorders>
              <w:bottom w:val="single" w:sz="8" w:color="auto"/>
            </w:tcBorders>
          </w:tcPr>
          <w:p>
            <w:pPr>
              <w:jc w:val="right"/>
              <w:ind w:right="99"/>
              <w:spacing w:after="0" w:line="175"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jc w:val="right"/>
              <w:ind w:right="160"/>
              <w:spacing w:after="0" w:line="175" w:lineRule="exact"/>
              <w:rPr>
                <w:sz w:val="20"/>
                <w:szCs w:val="20"/>
                <w:color w:val="auto"/>
              </w:rPr>
            </w:pPr>
            <w:r>
              <w:rPr>
                <w:rFonts w:ascii="Arial" w:cs="Arial" w:eastAsia="Arial" w:hAnsi="Arial"/>
                <w:sz w:val="16"/>
                <w:szCs w:val="16"/>
                <w:color w:val="auto"/>
              </w:rPr>
              <w:t>16,484</w:t>
            </w:r>
          </w:p>
        </w:tc>
        <w:tc>
          <w:tcPr>
            <w:tcW w:w="1320" w:type="dxa"/>
            <w:vAlign w:val="bottom"/>
            <w:tcBorders>
              <w:bottom w:val="single" w:sz="8" w:color="auto"/>
            </w:tcBorders>
          </w:tcPr>
          <w:p>
            <w:pPr>
              <w:jc w:val="right"/>
              <w:ind w:right="39"/>
              <w:spacing w:after="0" w:line="175" w:lineRule="exact"/>
              <w:rPr>
                <w:sz w:val="20"/>
                <w:szCs w:val="20"/>
                <w:color w:val="auto"/>
              </w:rPr>
            </w:pPr>
            <w:r>
              <w:rPr>
                <w:rFonts w:ascii="Arial" w:cs="Arial" w:eastAsia="Arial" w:hAnsi="Arial"/>
                <w:sz w:val="16"/>
                <w:szCs w:val="16"/>
                <w:color w:val="auto"/>
              </w:rPr>
              <w:t>(57,803)</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Balances at the end of the period</w:t>
            </w:r>
          </w:p>
        </w:tc>
        <w:tc>
          <w:tcPr>
            <w:tcW w:w="1260" w:type="dxa"/>
            <w:vAlign w:val="bottom"/>
            <w:tcBorders>
              <w:bottom w:val="single" w:sz="8" w:color="auto"/>
            </w:tcBorders>
          </w:tcPr>
          <w:p>
            <w:pPr>
              <w:jc w:val="right"/>
              <w:ind w:right="59"/>
              <w:spacing w:after="0" w:line="175" w:lineRule="exact"/>
              <w:rPr>
                <w:sz w:val="20"/>
                <w:szCs w:val="20"/>
                <w:color w:val="auto"/>
              </w:rPr>
            </w:pPr>
            <w:r>
              <w:rPr>
                <w:rFonts w:ascii="Arial" w:cs="Arial" w:eastAsia="Arial" w:hAnsi="Arial"/>
                <w:sz w:val="16"/>
                <w:szCs w:val="16"/>
                <w:b w:val="1"/>
                <w:bCs w:val="1"/>
                <w:color w:val="auto"/>
              </w:rPr>
              <w:t>8,220,567</w:t>
            </w:r>
          </w:p>
        </w:tc>
        <w:tc>
          <w:tcPr>
            <w:tcW w:w="1380" w:type="dxa"/>
            <w:vAlign w:val="bottom"/>
            <w:tcBorders>
              <w:bottom w:val="single" w:sz="8" w:color="auto"/>
            </w:tcBorders>
          </w:tcPr>
          <w:p>
            <w:pPr>
              <w:jc w:val="right"/>
              <w:ind w:right="99"/>
              <w:spacing w:after="0" w:line="175" w:lineRule="exact"/>
              <w:rPr>
                <w:sz w:val="20"/>
                <w:szCs w:val="20"/>
                <w:color w:val="auto"/>
              </w:rPr>
            </w:pPr>
            <w:r>
              <w:rPr>
                <w:rFonts w:ascii="Arial" w:cs="Arial" w:eastAsia="Arial" w:hAnsi="Arial"/>
                <w:sz w:val="16"/>
                <w:szCs w:val="16"/>
                <w:b w:val="1"/>
                <w:bCs w:val="1"/>
                <w:color w:val="auto"/>
              </w:rPr>
              <w:t>144,207</w:t>
            </w:r>
          </w:p>
        </w:tc>
        <w:tc>
          <w:tcPr>
            <w:tcW w:w="1300" w:type="dxa"/>
            <w:vAlign w:val="bottom"/>
            <w:tcBorders>
              <w:bottom w:val="single" w:sz="8" w:color="auto"/>
            </w:tcBorders>
            <w:gridSpan w:val="2"/>
          </w:tcPr>
          <w:p>
            <w:pPr>
              <w:jc w:val="right"/>
              <w:ind w:right="160"/>
              <w:spacing w:after="0" w:line="175" w:lineRule="exact"/>
              <w:rPr>
                <w:sz w:val="20"/>
                <w:szCs w:val="20"/>
                <w:color w:val="auto"/>
              </w:rPr>
            </w:pPr>
            <w:r>
              <w:rPr>
                <w:rFonts w:ascii="Arial" w:cs="Arial" w:eastAsia="Arial" w:hAnsi="Arial"/>
                <w:sz w:val="16"/>
                <w:szCs w:val="16"/>
                <w:b w:val="1"/>
                <w:bCs w:val="1"/>
                <w:color w:val="auto"/>
              </w:rPr>
              <w:t>1,202,240</w:t>
            </w:r>
          </w:p>
        </w:tc>
        <w:tc>
          <w:tcPr>
            <w:tcW w:w="1320" w:type="dxa"/>
            <w:vAlign w:val="bottom"/>
            <w:tcBorders>
              <w:bottom w:val="single" w:sz="8" w:color="auto"/>
            </w:tcBorders>
          </w:tcPr>
          <w:p>
            <w:pPr>
              <w:jc w:val="right"/>
              <w:ind w:right="39"/>
              <w:spacing w:after="0" w:line="175" w:lineRule="exact"/>
              <w:rPr>
                <w:sz w:val="20"/>
                <w:szCs w:val="20"/>
                <w:color w:val="auto"/>
              </w:rPr>
            </w:pPr>
            <w:r>
              <w:rPr>
                <w:rFonts w:ascii="Arial" w:cs="Arial" w:eastAsia="Arial" w:hAnsi="Arial"/>
                <w:sz w:val="16"/>
                <w:szCs w:val="16"/>
                <w:b w:val="1"/>
                <w:bCs w:val="1"/>
                <w:color w:val="auto"/>
              </w:rPr>
              <w:t>9,567,014</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518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Arial" w:cs="Arial" w:eastAsia="Arial" w:hAnsi="Arial"/>
                <w:sz w:val="16"/>
                <w:szCs w:val="16"/>
                <w:color w:val="auto"/>
              </w:rPr>
              <w:t>86</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180" w:type="dxa"/>
            <w:vAlign w:val="bottom"/>
          </w:tcPr>
          <w:p>
            <w:pPr>
              <w:spacing w:after="0"/>
              <w:rPr>
                <w:sz w:val="17"/>
                <w:szCs w:val="17"/>
                <w:color w:val="auto"/>
              </w:rPr>
            </w:pPr>
          </w:p>
        </w:tc>
        <w:tc>
          <w:tcPr>
            <w:tcW w:w="26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As of December 31, 2022</w:t>
            </w:r>
          </w:p>
        </w:tc>
        <w:tc>
          <w:tcPr>
            <w:tcW w:w="1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1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Present</w:t>
            </w:r>
          </w:p>
        </w:tc>
        <w:tc>
          <w:tcPr>
            <w:tcW w:w="1380" w:type="dxa"/>
            <w:vAlign w:val="bottom"/>
          </w:tcPr>
          <w:p>
            <w:pPr>
              <w:spacing w:after="0"/>
              <w:rPr>
                <w:sz w:val="16"/>
                <w:szCs w:val="16"/>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CSM</w:t>
            </w:r>
          </w:p>
        </w:tc>
        <w:tc>
          <w:tcPr>
            <w:tcW w:w="132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Total</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6"/>
                <w:szCs w:val="16"/>
                <w:b w:val="1"/>
                <w:bCs w:val="1"/>
                <w:color w:val="auto"/>
              </w:rPr>
              <w:t>value of</w:t>
            </w: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6"/>
                <w:szCs w:val="16"/>
                <w:b w:val="1"/>
                <w:bCs w:val="1"/>
                <w:color w:val="auto"/>
              </w:rPr>
              <w:t>future cash</w:t>
            </w:r>
          </w:p>
        </w:tc>
        <w:tc>
          <w:tcPr>
            <w:tcW w:w="1380" w:type="dxa"/>
            <w:vAlign w:val="bottom"/>
          </w:tcPr>
          <w:p>
            <w:pPr>
              <w:ind w:left="140"/>
              <w:spacing w:after="0"/>
              <w:rPr>
                <w:sz w:val="20"/>
                <w:szCs w:val="20"/>
                <w:color w:val="auto"/>
              </w:rPr>
            </w:pPr>
            <w:r>
              <w:rPr>
                <w:rFonts w:ascii="Arial" w:cs="Arial" w:eastAsia="Arial" w:hAnsi="Arial"/>
                <w:sz w:val="16"/>
                <w:szCs w:val="16"/>
                <w:b w:val="1"/>
                <w:bCs w:val="1"/>
                <w:color w:val="auto"/>
              </w:rPr>
              <w:t>Risk</w:t>
            </w: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80" w:type="dxa"/>
            <w:vAlign w:val="bottom"/>
          </w:tcPr>
          <w:p>
            <w:pPr>
              <w:spacing w:after="0"/>
              <w:rPr>
                <w:sz w:val="17"/>
                <w:szCs w:val="17"/>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flows</w:t>
            </w: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adjustment</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contracts</w:t>
            </w:r>
          </w:p>
        </w:tc>
        <w:tc>
          <w:tcPr>
            <w:tcW w:w="132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180" w:type="dxa"/>
            <w:vAlign w:val="bottom"/>
          </w:tcPr>
          <w:p>
            <w:pPr>
              <w:spacing w:after="0"/>
              <w:rPr>
                <w:sz w:val="13"/>
                <w:szCs w:val="13"/>
                <w:color w:val="auto"/>
              </w:rPr>
            </w:pPr>
          </w:p>
        </w:tc>
        <w:tc>
          <w:tcPr>
            <w:tcW w:w="1260" w:type="dxa"/>
            <w:vAlign w:val="bottom"/>
          </w:tcPr>
          <w:p>
            <w:pPr>
              <w:ind w:left="340"/>
              <w:spacing w:after="0" w:line="159" w:lineRule="exact"/>
              <w:rPr>
                <w:sz w:val="20"/>
                <w:szCs w:val="20"/>
                <w:color w:val="auto"/>
              </w:rPr>
            </w:pPr>
            <w:r>
              <w:rPr>
                <w:rFonts w:ascii="Arial" w:cs="Arial" w:eastAsia="Arial" w:hAnsi="Arial"/>
                <w:sz w:val="16"/>
                <w:szCs w:val="16"/>
                <w:b w:val="1"/>
                <w:bCs w:val="1"/>
                <w:color w:val="auto"/>
              </w:rPr>
              <w:t>S/(000)</w:t>
            </w:r>
          </w:p>
        </w:tc>
        <w:tc>
          <w:tcPr>
            <w:tcW w:w="1380" w:type="dxa"/>
            <w:vAlign w:val="bottom"/>
          </w:tcPr>
          <w:p>
            <w:pPr>
              <w:jc w:val="right"/>
              <w:ind w:right="359"/>
              <w:spacing w:after="0" w:line="159" w:lineRule="exact"/>
              <w:rPr>
                <w:sz w:val="20"/>
                <w:szCs w:val="20"/>
                <w:color w:val="auto"/>
              </w:rPr>
            </w:pPr>
            <w:r>
              <w:rPr>
                <w:rFonts w:ascii="Arial" w:cs="Arial" w:eastAsia="Arial" w:hAnsi="Arial"/>
                <w:sz w:val="16"/>
                <w:szCs w:val="16"/>
                <w:b w:val="1"/>
                <w:bCs w:val="1"/>
                <w:color w:val="auto"/>
              </w:rPr>
              <w:t>S/(000)</w:t>
            </w:r>
          </w:p>
        </w:tc>
        <w:tc>
          <w:tcPr>
            <w:tcW w:w="1300" w:type="dxa"/>
            <w:vAlign w:val="bottom"/>
            <w:gridSpan w:val="2"/>
          </w:tcPr>
          <w:p>
            <w:pPr>
              <w:jc w:val="right"/>
              <w:ind w:right="400"/>
              <w:spacing w:after="0" w:line="159" w:lineRule="exact"/>
              <w:rPr>
                <w:sz w:val="20"/>
                <w:szCs w:val="20"/>
                <w:color w:val="auto"/>
              </w:rPr>
            </w:pPr>
            <w:r>
              <w:rPr>
                <w:rFonts w:ascii="Arial" w:cs="Arial" w:eastAsia="Arial" w:hAnsi="Arial"/>
                <w:sz w:val="16"/>
                <w:szCs w:val="16"/>
                <w:b w:val="1"/>
                <w:bCs w:val="1"/>
                <w:color w:val="auto"/>
              </w:rPr>
              <w:t>S/(000)</w:t>
            </w:r>
          </w:p>
        </w:tc>
        <w:tc>
          <w:tcPr>
            <w:tcW w:w="1320" w:type="dxa"/>
            <w:vAlign w:val="bottom"/>
          </w:tcPr>
          <w:p>
            <w:pPr>
              <w:jc w:val="right"/>
              <w:ind w:right="299"/>
              <w:spacing w:after="0" w:line="159" w:lineRule="exact"/>
              <w:rPr>
                <w:sz w:val="20"/>
                <w:szCs w:val="20"/>
                <w:color w:val="auto"/>
              </w:rPr>
            </w:pPr>
            <w:r>
              <w:rPr>
                <w:rFonts w:ascii="Arial" w:cs="Arial" w:eastAsia="Arial" w:hAnsi="Arial"/>
                <w:sz w:val="16"/>
                <w:szCs w:val="16"/>
                <w:b w:val="1"/>
                <w:bCs w:val="1"/>
                <w:color w:val="auto"/>
              </w:rPr>
              <w:t>S/(000)</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b w:val="1"/>
                <w:bCs w:val="1"/>
                <w:color w:val="auto"/>
              </w:rPr>
              <w:t>Balances as of January 1</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7,789,688</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284,348</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1,292,358</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9,366,394</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Changes in the statement of income:</w:t>
            </w: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Changes in estimates that adjust the CSM</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167,426</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10,241</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(147,298)</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30,369</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Changes in estimates that result in losses and recoveries</w:t>
            </w: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for contract losses onerous</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65,410</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279</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65,689</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880"/>
              <w:spacing w:after="0"/>
              <w:rPr>
                <w:sz w:val="20"/>
                <w:szCs w:val="20"/>
                <w:color w:val="auto"/>
              </w:rPr>
            </w:pPr>
            <w:r>
              <w:rPr>
                <w:rFonts w:ascii="Arial" w:cs="Arial" w:eastAsia="Arial" w:hAnsi="Arial"/>
                <w:sz w:val="16"/>
                <w:szCs w:val="16"/>
                <w:color w:val="auto"/>
              </w:rPr>
              <w:t>Initial recognition contracts</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(116,222)</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10,178</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120,623</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14,579</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180" w:type="dxa"/>
            <w:vAlign w:val="bottom"/>
          </w:tcPr>
          <w:p>
            <w:pPr>
              <w:ind w:left="880"/>
              <w:spacing w:after="0" w:line="159" w:lineRule="exact"/>
              <w:rPr>
                <w:sz w:val="20"/>
                <w:szCs w:val="20"/>
                <w:color w:val="auto"/>
              </w:rPr>
            </w:pPr>
            <w:r>
              <w:rPr>
                <w:rFonts w:ascii="Arial" w:cs="Arial" w:eastAsia="Arial" w:hAnsi="Arial"/>
                <w:sz w:val="16"/>
                <w:szCs w:val="16"/>
                <w:b w:val="1"/>
                <w:bCs w:val="1"/>
                <w:color w:val="auto"/>
              </w:rPr>
              <w:t>Changes Related to Future Services</w:t>
            </w:r>
          </w:p>
        </w:tc>
        <w:tc>
          <w:tcPr>
            <w:tcW w:w="1260" w:type="dxa"/>
            <w:vAlign w:val="bottom"/>
          </w:tcPr>
          <w:p>
            <w:pPr>
              <w:jc w:val="right"/>
              <w:ind w:right="79"/>
              <w:spacing w:after="0" w:line="159" w:lineRule="exact"/>
              <w:rPr>
                <w:sz w:val="20"/>
                <w:szCs w:val="20"/>
                <w:color w:val="auto"/>
              </w:rPr>
            </w:pPr>
            <w:r>
              <w:rPr>
                <w:rFonts w:ascii="Arial" w:cs="Arial" w:eastAsia="Arial" w:hAnsi="Arial"/>
                <w:sz w:val="16"/>
                <w:szCs w:val="16"/>
                <w:color w:val="auto"/>
              </w:rPr>
              <w:t>116,614</w:t>
            </w:r>
          </w:p>
        </w:tc>
        <w:tc>
          <w:tcPr>
            <w:tcW w:w="1380" w:type="dxa"/>
            <w:vAlign w:val="bottom"/>
          </w:tcPr>
          <w:p>
            <w:pPr>
              <w:jc w:val="right"/>
              <w:ind w:right="99"/>
              <w:spacing w:after="0" w:line="159" w:lineRule="exact"/>
              <w:rPr>
                <w:sz w:val="20"/>
                <w:szCs w:val="20"/>
                <w:color w:val="auto"/>
              </w:rPr>
            </w:pPr>
            <w:r>
              <w:rPr>
                <w:rFonts w:ascii="Arial" w:cs="Arial" w:eastAsia="Arial" w:hAnsi="Arial"/>
                <w:sz w:val="16"/>
                <w:szCs w:val="16"/>
                <w:color w:val="auto"/>
              </w:rPr>
              <w:t>20,698</w:t>
            </w:r>
          </w:p>
        </w:tc>
        <w:tc>
          <w:tcPr>
            <w:tcW w:w="1300" w:type="dxa"/>
            <w:vAlign w:val="bottom"/>
            <w:gridSpan w:val="2"/>
          </w:tcPr>
          <w:p>
            <w:pPr>
              <w:jc w:val="right"/>
              <w:ind w:right="160"/>
              <w:spacing w:after="0" w:line="159" w:lineRule="exact"/>
              <w:rPr>
                <w:sz w:val="20"/>
                <w:szCs w:val="20"/>
                <w:color w:val="auto"/>
              </w:rPr>
            </w:pPr>
            <w:r>
              <w:rPr>
                <w:rFonts w:ascii="Arial" w:cs="Arial" w:eastAsia="Arial" w:hAnsi="Arial"/>
                <w:sz w:val="16"/>
                <w:szCs w:val="16"/>
                <w:color w:val="auto"/>
              </w:rPr>
              <w:t>(26,675)</w:t>
            </w:r>
          </w:p>
        </w:tc>
        <w:tc>
          <w:tcPr>
            <w:tcW w:w="1320" w:type="dxa"/>
            <w:vAlign w:val="bottom"/>
          </w:tcPr>
          <w:p>
            <w:pPr>
              <w:jc w:val="right"/>
              <w:ind w:right="39"/>
              <w:spacing w:after="0" w:line="159" w:lineRule="exact"/>
              <w:rPr>
                <w:sz w:val="20"/>
                <w:szCs w:val="20"/>
                <w:color w:val="auto"/>
              </w:rPr>
            </w:pPr>
            <w:r>
              <w:rPr>
                <w:rFonts w:ascii="Arial" w:cs="Arial" w:eastAsia="Arial" w:hAnsi="Arial"/>
                <w:sz w:val="16"/>
                <w:szCs w:val="16"/>
                <w:color w:val="auto"/>
              </w:rPr>
              <w:t>110,637</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CSM recognized for services provided</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(114,272)</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(114,272)</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Changes in the risk adjustment recognized for the expired</w:t>
            </w: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risk</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(15,379)</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(15,379)</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880"/>
              <w:spacing w:after="0"/>
              <w:rPr>
                <w:sz w:val="20"/>
                <w:szCs w:val="20"/>
                <w:color w:val="auto"/>
              </w:rPr>
            </w:pPr>
            <w:r>
              <w:rPr>
                <w:rFonts w:ascii="Arial" w:cs="Arial" w:eastAsia="Arial" w:hAnsi="Arial"/>
                <w:sz w:val="16"/>
                <w:szCs w:val="16"/>
                <w:color w:val="auto"/>
              </w:rPr>
              <w:t>Experience Adjustments</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667,764</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667,764</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180" w:type="dxa"/>
            <w:vAlign w:val="bottom"/>
          </w:tcPr>
          <w:p>
            <w:pPr>
              <w:ind w:left="880"/>
              <w:spacing w:after="0" w:line="159" w:lineRule="exact"/>
              <w:rPr>
                <w:sz w:val="20"/>
                <w:szCs w:val="20"/>
                <w:color w:val="auto"/>
              </w:rPr>
            </w:pPr>
            <w:r>
              <w:rPr>
                <w:rFonts w:ascii="Arial" w:cs="Arial" w:eastAsia="Arial" w:hAnsi="Arial"/>
                <w:sz w:val="16"/>
                <w:szCs w:val="16"/>
                <w:b w:val="1"/>
                <w:bCs w:val="1"/>
                <w:color w:val="auto"/>
              </w:rPr>
              <w:t>Changes Related to Current Services</w:t>
            </w:r>
          </w:p>
        </w:tc>
        <w:tc>
          <w:tcPr>
            <w:tcW w:w="1260" w:type="dxa"/>
            <w:vAlign w:val="bottom"/>
          </w:tcPr>
          <w:p>
            <w:pPr>
              <w:jc w:val="right"/>
              <w:ind w:right="59"/>
              <w:spacing w:after="0" w:line="159" w:lineRule="exact"/>
              <w:rPr>
                <w:sz w:val="20"/>
                <w:szCs w:val="20"/>
                <w:color w:val="auto"/>
              </w:rPr>
            </w:pPr>
            <w:r>
              <w:rPr>
                <w:rFonts w:ascii="Arial" w:cs="Arial" w:eastAsia="Arial" w:hAnsi="Arial"/>
                <w:sz w:val="16"/>
                <w:szCs w:val="16"/>
                <w:color w:val="auto"/>
              </w:rPr>
              <w:t>667,764</w:t>
            </w:r>
          </w:p>
        </w:tc>
        <w:tc>
          <w:tcPr>
            <w:tcW w:w="1380" w:type="dxa"/>
            <w:vAlign w:val="bottom"/>
          </w:tcPr>
          <w:p>
            <w:pPr>
              <w:jc w:val="right"/>
              <w:ind w:right="99"/>
              <w:spacing w:after="0" w:line="159" w:lineRule="exact"/>
              <w:rPr>
                <w:sz w:val="20"/>
                <w:szCs w:val="20"/>
                <w:color w:val="auto"/>
              </w:rPr>
            </w:pPr>
            <w:r>
              <w:rPr>
                <w:rFonts w:ascii="Arial" w:cs="Arial" w:eastAsia="Arial" w:hAnsi="Arial"/>
                <w:sz w:val="16"/>
                <w:szCs w:val="16"/>
                <w:color w:val="auto"/>
              </w:rPr>
              <w:t>(15,379)</w:t>
            </w:r>
          </w:p>
        </w:tc>
        <w:tc>
          <w:tcPr>
            <w:tcW w:w="1300" w:type="dxa"/>
            <w:vAlign w:val="bottom"/>
            <w:gridSpan w:val="2"/>
          </w:tcPr>
          <w:p>
            <w:pPr>
              <w:jc w:val="right"/>
              <w:ind w:right="160"/>
              <w:spacing w:after="0" w:line="159" w:lineRule="exact"/>
              <w:rPr>
                <w:sz w:val="20"/>
                <w:szCs w:val="20"/>
                <w:color w:val="auto"/>
              </w:rPr>
            </w:pPr>
            <w:r>
              <w:rPr>
                <w:rFonts w:ascii="Arial" w:cs="Arial" w:eastAsia="Arial" w:hAnsi="Arial"/>
                <w:sz w:val="16"/>
                <w:szCs w:val="16"/>
                <w:color w:val="auto"/>
              </w:rPr>
              <w:t>(114,272)</w:t>
            </w:r>
          </w:p>
        </w:tc>
        <w:tc>
          <w:tcPr>
            <w:tcW w:w="1320" w:type="dxa"/>
            <w:vAlign w:val="bottom"/>
          </w:tcPr>
          <w:p>
            <w:pPr>
              <w:jc w:val="right"/>
              <w:ind w:right="39"/>
              <w:spacing w:after="0" w:line="159" w:lineRule="exact"/>
              <w:rPr>
                <w:sz w:val="20"/>
                <w:szCs w:val="20"/>
                <w:color w:val="auto"/>
              </w:rPr>
            </w:pPr>
            <w:r>
              <w:rPr>
                <w:rFonts w:ascii="Arial" w:cs="Arial" w:eastAsia="Arial" w:hAnsi="Arial"/>
                <w:sz w:val="16"/>
                <w:szCs w:val="16"/>
                <w:color w:val="auto"/>
              </w:rPr>
              <w:t>538,113</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880"/>
              <w:spacing w:after="0"/>
              <w:rPr>
                <w:sz w:val="20"/>
                <w:szCs w:val="20"/>
                <w:color w:val="auto"/>
              </w:rPr>
            </w:pPr>
            <w:r>
              <w:rPr>
                <w:rFonts w:ascii="Arial" w:cs="Arial" w:eastAsia="Arial" w:hAnsi="Arial"/>
                <w:sz w:val="16"/>
                <w:szCs w:val="16"/>
                <w:color w:val="auto"/>
              </w:rPr>
              <w:t>Adjustments to liabilities for incurred claims</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(442,907)</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1,316</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(441,591)</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Changes related to past services</w:t>
            </w:r>
          </w:p>
        </w:tc>
        <w:tc>
          <w:tcPr>
            <w:tcW w:w="1260" w:type="dxa"/>
            <w:vAlign w:val="bottom"/>
            <w:tcBorders>
              <w:bottom w:val="single" w:sz="8" w:color="auto"/>
            </w:tcBorders>
          </w:tcPr>
          <w:p>
            <w:pPr>
              <w:jc w:val="right"/>
              <w:ind w:right="59"/>
              <w:spacing w:after="0" w:line="175" w:lineRule="exact"/>
              <w:rPr>
                <w:sz w:val="20"/>
                <w:szCs w:val="20"/>
                <w:color w:val="auto"/>
              </w:rPr>
            </w:pPr>
            <w:r>
              <w:rPr>
                <w:rFonts w:ascii="Arial" w:cs="Arial" w:eastAsia="Arial" w:hAnsi="Arial"/>
                <w:sz w:val="16"/>
                <w:szCs w:val="16"/>
                <w:color w:val="auto"/>
              </w:rPr>
              <w:t>(442,907)</w:t>
            </w:r>
          </w:p>
        </w:tc>
        <w:tc>
          <w:tcPr>
            <w:tcW w:w="1380" w:type="dxa"/>
            <w:vAlign w:val="bottom"/>
            <w:tcBorders>
              <w:bottom w:val="single" w:sz="8" w:color="auto"/>
            </w:tcBorders>
          </w:tcPr>
          <w:p>
            <w:pPr>
              <w:jc w:val="right"/>
              <w:ind w:right="99"/>
              <w:spacing w:after="0" w:line="175" w:lineRule="exact"/>
              <w:rPr>
                <w:sz w:val="20"/>
                <w:szCs w:val="20"/>
                <w:color w:val="auto"/>
              </w:rPr>
            </w:pPr>
            <w:r>
              <w:rPr>
                <w:rFonts w:ascii="Arial" w:cs="Arial" w:eastAsia="Arial" w:hAnsi="Arial"/>
                <w:sz w:val="16"/>
                <w:szCs w:val="16"/>
                <w:color w:val="auto"/>
              </w:rPr>
              <w:t>1,316</w:t>
            </w:r>
          </w:p>
        </w:tc>
        <w:tc>
          <w:tcPr>
            <w:tcW w:w="1300" w:type="dxa"/>
            <w:vAlign w:val="bottom"/>
            <w:tcBorders>
              <w:bottom w:val="single" w:sz="8" w:color="auto"/>
            </w:tcBorders>
            <w:gridSpan w:val="2"/>
          </w:tcPr>
          <w:p>
            <w:pPr>
              <w:jc w:val="right"/>
              <w:ind w:right="160"/>
              <w:spacing w:after="0" w:line="175"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line="175" w:lineRule="exact"/>
              <w:rPr>
                <w:sz w:val="20"/>
                <w:szCs w:val="20"/>
                <w:color w:val="auto"/>
              </w:rPr>
            </w:pPr>
            <w:r>
              <w:rPr>
                <w:rFonts w:ascii="Arial" w:cs="Arial" w:eastAsia="Arial" w:hAnsi="Arial"/>
                <w:sz w:val="16"/>
                <w:szCs w:val="16"/>
                <w:color w:val="auto"/>
              </w:rPr>
              <w:t>(441,591)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180" w:type="dxa"/>
            <w:vAlign w:val="bottom"/>
          </w:tcPr>
          <w:p>
            <w:pPr>
              <w:ind w:left="880"/>
              <w:spacing w:after="0" w:line="159" w:lineRule="exact"/>
              <w:rPr>
                <w:sz w:val="20"/>
                <w:szCs w:val="20"/>
                <w:color w:val="auto"/>
              </w:rPr>
            </w:pPr>
            <w:r>
              <w:rPr>
                <w:rFonts w:ascii="Arial" w:cs="Arial" w:eastAsia="Arial" w:hAnsi="Arial"/>
                <w:sz w:val="16"/>
                <w:szCs w:val="16"/>
                <w:b w:val="1"/>
                <w:bCs w:val="1"/>
                <w:color w:val="auto"/>
              </w:rPr>
              <w:t>Result of the insurance service</w:t>
            </w:r>
          </w:p>
        </w:tc>
        <w:tc>
          <w:tcPr>
            <w:tcW w:w="1260" w:type="dxa"/>
            <w:vAlign w:val="bottom"/>
          </w:tcPr>
          <w:p>
            <w:pPr>
              <w:jc w:val="right"/>
              <w:ind w:right="59"/>
              <w:spacing w:after="0" w:line="159" w:lineRule="exact"/>
              <w:rPr>
                <w:sz w:val="20"/>
                <w:szCs w:val="20"/>
                <w:color w:val="auto"/>
              </w:rPr>
            </w:pPr>
            <w:r>
              <w:rPr>
                <w:rFonts w:ascii="Arial" w:cs="Arial" w:eastAsia="Arial" w:hAnsi="Arial"/>
                <w:sz w:val="16"/>
                <w:szCs w:val="16"/>
                <w:color w:val="auto"/>
              </w:rPr>
              <w:t>341,471</w:t>
            </w:r>
          </w:p>
        </w:tc>
        <w:tc>
          <w:tcPr>
            <w:tcW w:w="1380" w:type="dxa"/>
            <w:vAlign w:val="bottom"/>
          </w:tcPr>
          <w:p>
            <w:pPr>
              <w:jc w:val="right"/>
              <w:ind w:right="99"/>
              <w:spacing w:after="0" w:line="159" w:lineRule="exact"/>
              <w:rPr>
                <w:sz w:val="20"/>
                <w:szCs w:val="20"/>
                <w:color w:val="auto"/>
              </w:rPr>
            </w:pPr>
            <w:r>
              <w:rPr>
                <w:rFonts w:ascii="Arial" w:cs="Arial" w:eastAsia="Arial" w:hAnsi="Arial"/>
                <w:sz w:val="16"/>
                <w:szCs w:val="16"/>
                <w:color w:val="auto"/>
              </w:rPr>
              <w:t>6,635</w:t>
            </w:r>
          </w:p>
        </w:tc>
        <w:tc>
          <w:tcPr>
            <w:tcW w:w="1300" w:type="dxa"/>
            <w:vAlign w:val="bottom"/>
            <w:gridSpan w:val="2"/>
          </w:tcPr>
          <w:p>
            <w:pPr>
              <w:jc w:val="right"/>
              <w:ind w:right="160"/>
              <w:spacing w:after="0" w:line="159" w:lineRule="exact"/>
              <w:rPr>
                <w:sz w:val="20"/>
                <w:szCs w:val="20"/>
                <w:color w:val="auto"/>
              </w:rPr>
            </w:pPr>
            <w:r>
              <w:rPr>
                <w:rFonts w:ascii="Arial" w:cs="Arial" w:eastAsia="Arial" w:hAnsi="Arial"/>
                <w:sz w:val="16"/>
                <w:szCs w:val="16"/>
                <w:color w:val="auto"/>
              </w:rPr>
              <w:t>(140,947)</w:t>
            </w:r>
          </w:p>
        </w:tc>
        <w:tc>
          <w:tcPr>
            <w:tcW w:w="1320" w:type="dxa"/>
            <w:vAlign w:val="bottom"/>
          </w:tcPr>
          <w:p>
            <w:pPr>
              <w:jc w:val="right"/>
              <w:ind w:right="39"/>
              <w:spacing w:after="0" w:line="159" w:lineRule="exact"/>
              <w:rPr>
                <w:sz w:val="20"/>
                <w:szCs w:val="20"/>
                <w:color w:val="auto"/>
              </w:rPr>
            </w:pPr>
            <w:r>
              <w:rPr>
                <w:rFonts w:ascii="Arial" w:cs="Arial" w:eastAsia="Arial" w:hAnsi="Arial"/>
                <w:sz w:val="16"/>
                <w:szCs w:val="16"/>
                <w:color w:val="auto"/>
              </w:rPr>
              <w:t>207,159</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880"/>
              <w:spacing w:after="0"/>
              <w:rPr>
                <w:sz w:val="20"/>
                <w:szCs w:val="20"/>
                <w:color w:val="auto"/>
              </w:rPr>
            </w:pPr>
            <w:r>
              <w:rPr>
                <w:rFonts w:ascii="Arial" w:cs="Arial" w:eastAsia="Arial" w:hAnsi="Arial"/>
                <w:sz w:val="16"/>
                <w:szCs w:val="16"/>
                <w:color w:val="auto"/>
              </w:rPr>
              <w:t>Net financial expenses for reinsurance contracts</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(879,839)</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(26,978)</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42,268</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(864,549)</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180" w:type="dxa"/>
            <w:vAlign w:val="bottom"/>
          </w:tcPr>
          <w:p>
            <w:pPr>
              <w:ind w:left="880"/>
              <w:spacing w:after="0" w:line="159" w:lineRule="exact"/>
              <w:rPr>
                <w:sz w:val="20"/>
                <w:szCs w:val="20"/>
                <w:color w:val="auto"/>
              </w:rPr>
            </w:pPr>
            <w:r>
              <w:rPr>
                <w:rFonts w:ascii="Arial" w:cs="Arial" w:eastAsia="Arial" w:hAnsi="Arial"/>
                <w:sz w:val="16"/>
                <w:szCs w:val="16"/>
                <w:b w:val="1"/>
                <w:bCs w:val="1"/>
                <w:color w:val="auto"/>
              </w:rPr>
              <w:t>Total changes in the income statement</w:t>
            </w:r>
          </w:p>
        </w:tc>
        <w:tc>
          <w:tcPr>
            <w:tcW w:w="1260" w:type="dxa"/>
            <w:vAlign w:val="bottom"/>
          </w:tcPr>
          <w:p>
            <w:pPr>
              <w:jc w:val="right"/>
              <w:ind w:right="59"/>
              <w:spacing w:after="0" w:line="159" w:lineRule="exact"/>
              <w:rPr>
                <w:sz w:val="20"/>
                <w:szCs w:val="20"/>
                <w:color w:val="auto"/>
              </w:rPr>
            </w:pPr>
            <w:r>
              <w:rPr>
                <w:rFonts w:ascii="Arial" w:cs="Arial" w:eastAsia="Arial" w:hAnsi="Arial"/>
                <w:sz w:val="16"/>
                <w:szCs w:val="16"/>
                <w:color w:val="auto"/>
              </w:rPr>
              <w:t>(538,368)</w:t>
            </w:r>
          </w:p>
        </w:tc>
        <w:tc>
          <w:tcPr>
            <w:tcW w:w="1380" w:type="dxa"/>
            <w:vAlign w:val="bottom"/>
          </w:tcPr>
          <w:p>
            <w:pPr>
              <w:jc w:val="right"/>
              <w:ind w:right="99"/>
              <w:spacing w:after="0" w:line="159" w:lineRule="exact"/>
              <w:rPr>
                <w:sz w:val="20"/>
                <w:szCs w:val="20"/>
                <w:color w:val="auto"/>
              </w:rPr>
            </w:pPr>
            <w:r>
              <w:rPr>
                <w:rFonts w:ascii="Arial" w:cs="Arial" w:eastAsia="Arial" w:hAnsi="Arial"/>
                <w:sz w:val="16"/>
                <w:szCs w:val="16"/>
                <w:color w:val="auto"/>
              </w:rPr>
              <w:t>(20,343)</w:t>
            </w:r>
          </w:p>
        </w:tc>
        <w:tc>
          <w:tcPr>
            <w:tcW w:w="1300" w:type="dxa"/>
            <w:vAlign w:val="bottom"/>
            <w:gridSpan w:val="2"/>
          </w:tcPr>
          <w:p>
            <w:pPr>
              <w:jc w:val="right"/>
              <w:ind w:right="160"/>
              <w:spacing w:after="0" w:line="159" w:lineRule="exact"/>
              <w:rPr>
                <w:sz w:val="20"/>
                <w:szCs w:val="20"/>
                <w:color w:val="auto"/>
              </w:rPr>
            </w:pPr>
            <w:r>
              <w:rPr>
                <w:rFonts w:ascii="Arial" w:cs="Arial" w:eastAsia="Arial" w:hAnsi="Arial"/>
                <w:sz w:val="16"/>
                <w:szCs w:val="16"/>
                <w:color w:val="auto"/>
              </w:rPr>
              <w:t>(98,679)</w:t>
            </w:r>
          </w:p>
        </w:tc>
        <w:tc>
          <w:tcPr>
            <w:tcW w:w="1320" w:type="dxa"/>
            <w:vAlign w:val="bottom"/>
          </w:tcPr>
          <w:p>
            <w:pPr>
              <w:jc w:val="right"/>
              <w:ind w:right="39"/>
              <w:spacing w:after="0" w:line="159" w:lineRule="exact"/>
              <w:rPr>
                <w:sz w:val="20"/>
                <w:szCs w:val="20"/>
                <w:color w:val="auto"/>
              </w:rPr>
            </w:pPr>
            <w:r>
              <w:rPr>
                <w:rFonts w:ascii="Arial" w:cs="Arial" w:eastAsia="Arial" w:hAnsi="Arial"/>
                <w:sz w:val="16"/>
                <w:szCs w:val="16"/>
                <w:color w:val="auto"/>
              </w:rPr>
              <w:t>(657,390)</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Other changes</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(162,140)</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(9,854)</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(39,443)</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(211,437)</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Cash Flow:</w:t>
            </w: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Premiums collected</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1,011,547</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1,011,547</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880"/>
              <w:spacing w:after="0"/>
              <w:rPr>
                <w:sz w:val="20"/>
                <w:szCs w:val="20"/>
                <w:color w:val="auto"/>
              </w:rPr>
            </w:pPr>
            <w:r>
              <w:rPr>
                <w:rFonts w:ascii="Arial" w:cs="Arial" w:eastAsia="Arial" w:hAnsi="Arial"/>
                <w:sz w:val="16"/>
                <w:szCs w:val="16"/>
                <w:color w:val="auto"/>
              </w:rPr>
              <w:t>Benefits and expenses paid</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(838,619)</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(838,619)</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880"/>
              <w:spacing w:after="0"/>
              <w:rPr>
                <w:sz w:val="20"/>
                <w:szCs w:val="20"/>
                <w:color w:val="auto"/>
              </w:rPr>
            </w:pPr>
            <w:r>
              <w:rPr>
                <w:rFonts w:ascii="Arial" w:cs="Arial" w:eastAsia="Arial" w:hAnsi="Arial"/>
                <w:sz w:val="16"/>
                <w:szCs w:val="16"/>
                <w:color w:val="auto"/>
              </w:rPr>
              <w:t>Acquisition fees paid</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(75,160)</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(75,160)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Net cash flow</w:t>
            </w:r>
          </w:p>
        </w:tc>
        <w:tc>
          <w:tcPr>
            <w:tcW w:w="1260" w:type="dxa"/>
            <w:vAlign w:val="bottom"/>
            <w:tcBorders>
              <w:bottom w:val="single" w:sz="8" w:color="auto"/>
            </w:tcBorders>
          </w:tcPr>
          <w:p>
            <w:pPr>
              <w:jc w:val="right"/>
              <w:ind w:right="59"/>
              <w:spacing w:after="0" w:line="175" w:lineRule="exact"/>
              <w:rPr>
                <w:sz w:val="20"/>
                <w:szCs w:val="20"/>
                <w:color w:val="auto"/>
              </w:rPr>
            </w:pPr>
            <w:r>
              <w:rPr>
                <w:rFonts w:ascii="Arial" w:cs="Arial" w:eastAsia="Arial" w:hAnsi="Arial"/>
                <w:sz w:val="16"/>
                <w:szCs w:val="16"/>
                <w:color w:val="auto"/>
              </w:rPr>
              <w:t>97,768</w:t>
            </w:r>
          </w:p>
        </w:tc>
        <w:tc>
          <w:tcPr>
            <w:tcW w:w="1380" w:type="dxa"/>
            <w:vAlign w:val="bottom"/>
            <w:tcBorders>
              <w:bottom w:val="single" w:sz="8" w:color="auto"/>
            </w:tcBorders>
          </w:tcPr>
          <w:p>
            <w:pPr>
              <w:jc w:val="right"/>
              <w:ind w:right="99"/>
              <w:spacing w:after="0" w:line="175"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jc w:val="right"/>
              <w:ind w:right="160"/>
              <w:spacing w:after="0" w:line="175"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line="175" w:lineRule="exact"/>
              <w:rPr>
                <w:sz w:val="20"/>
                <w:szCs w:val="20"/>
                <w:color w:val="auto"/>
              </w:rPr>
            </w:pPr>
            <w:r>
              <w:rPr>
                <w:rFonts w:ascii="Arial" w:cs="Arial" w:eastAsia="Arial" w:hAnsi="Arial"/>
                <w:sz w:val="16"/>
                <w:szCs w:val="16"/>
                <w:color w:val="auto"/>
              </w:rPr>
              <w:t>97,768</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Balances at the end of the period</w:t>
            </w:r>
          </w:p>
        </w:tc>
        <w:tc>
          <w:tcPr>
            <w:tcW w:w="1260" w:type="dxa"/>
            <w:vAlign w:val="bottom"/>
            <w:tcBorders>
              <w:bottom w:val="single" w:sz="8" w:color="auto"/>
            </w:tcBorders>
          </w:tcPr>
          <w:p>
            <w:pPr>
              <w:jc w:val="right"/>
              <w:ind w:right="59"/>
              <w:spacing w:after="0" w:line="175" w:lineRule="exact"/>
              <w:rPr>
                <w:sz w:val="20"/>
                <w:szCs w:val="20"/>
                <w:color w:val="auto"/>
              </w:rPr>
            </w:pPr>
            <w:r>
              <w:rPr>
                <w:rFonts w:ascii="Arial" w:cs="Arial" w:eastAsia="Arial" w:hAnsi="Arial"/>
                <w:sz w:val="16"/>
                <w:szCs w:val="16"/>
                <w:b w:val="1"/>
                <w:bCs w:val="1"/>
                <w:color w:val="auto"/>
              </w:rPr>
              <w:t>7,186,948</w:t>
            </w:r>
          </w:p>
        </w:tc>
        <w:tc>
          <w:tcPr>
            <w:tcW w:w="1380" w:type="dxa"/>
            <w:vAlign w:val="bottom"/>
            <w:tcBorders>
              <w:bottom w:val="single" w:sz="8" w:color="auto"/>
            </w:tcBorders>
          </w:tcPr>
          <w:p>
            <w:pPr>
              <w:jc w:val="right"/>
              <w:ind w:right="99"/>
              <w:spacing w:after="0" w:line="175" w:lineRule="exact"/>
              <w:rPr>
                <w:sz w:val="20"/>
                <w:szCs w:val="20"/>
                <w:color w:val="auto"/>
              </w:rPr>
            </w:pPr>
            <w:r>
              <w:rPr>
                <w:rFonts w:ascii="Arial" w:cs="Arial" w:eastAsia="Arial" w:hAnsi="Arial"/>
                <w:sz w:val="16"/>
                <w:szCs w:val="16"/>
                <w:b w:val="1"/>
                <w:bCs w:val="1"/>
                <w:color w:val="auto"/>
              </w:rPr>
              <w:t>254,151</w:t>
            </w:r>
          </w:p>
        </w:tc>
        <w:tc>
          <w:tcPr>
            <w:tcW w:w="1300" w:type="dxa"/>
            <w:vAlign w:val="bottom"/>
            <w:tcBorders>
              <w:bottom w:val="single" w:sz="8" w:color="auto"/>
            </w:tcBorders>
            <w:gridSpan w:val="2"/>
          </w:tcPr>
          <w:p>
            <w:pPr>
              <w:jc w:val="right"/>
              <w:ind w:right="160"/>
              <w:spacing w:after="0" w:line="175" w:lineRule="exact"/>
              <w:rPr>
                <w:sz w:val="20"/>
                <w:szCs w:val="20"/>
                <w:color w:val="auto"/>
              </w:rPr>
            </w:pPr>
            <w:r>
              <w:rPr>
                <w:rFonts w:ascii="Arial" w:cs="Arial" w:eastAsia="Arial" w:hAnsi="Arial"/>
                <w:sz w:val="16"/>
                <w:szCs w:val="16"/>
                <w:b w:val="1"/>
                <w:bCs w:val="1"/>
                <w:color w:val="auto"/>
              </w:rPr>
              <w:t>1,154,236</w:t>
            </w:r>
          </w:p>
        </w:tc>
        <w:tc>
          <w:tcPr>
            <w:tcW w:w="1320" w:type="dxa"/>
            <w:vAlign w:val="bottom"/>
            <w:tcBorders>
              <w:bottom w:val="single" w:sz="8" w:color="auto"/>
            </w:tcBorders>
          </w:tcPr>
          <w:p>
            <w:pPr>
              <w:jc w:val="right"/>
              <w:ind w:right="39"/>
              <w:spacing w:after="0" w:line="175" w:lineRule="exact"/>
              <w:rPr>
                <w:sz w:val="20"/>
                <w:szCs w:val="20"/>
                <w:color w:val="auto"/>
              </w:rPr>
            </w:pPr>
            <w:r>
              <w:rPr>
                <w:rFonts w:ascii="Arial" w:cs="Arial" w:eastAsia="Arial" w:hAnsi="Arial"/>
                <w:sz w:val="16"/>
                <w:szCs w:val="16"/>
                <w:b w:val="1"/>
                <w:bCs w:val="1"/>
                <w:color w:val="auto"/>
              </w:rPr>
              <w:t>8,595,335</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518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Arial" w:cs="Arial" w:eastAsia="Arial" w:hAnsi="Arial"/>
                <w:sz w:val="16"/>
                <w:szCs w:val="16"/>
                <w:color w:val="auto"/>
              </w:rPr>
              <w:t>87</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90" w:name="page91"/>
    <w:bookmarkEnd w:id="90"/>
    <w:p>
      <w:pPr>
        <w:ind w:left="582" w:hanging="582"/>
        <w:spacing w:after="0"/>
        <w:tabs>
          <w:tab w:leader="none" w:pos="582"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PROPERTY, FURNITURE AND EQUIPMENT, NET</w:t>
      </w:r>
    </w:p>
    <w:p>
      <w:pPr>
        <w:spacing w:after="0" w:line="182" w:lineRule="exact"/>
        <w:rPr>
          <w:sz w:val="20"/>
          <w:szCs w:val="20"/>
          <w:color w:val="auto"/>
        </w:rPr>
      </w:pPr>
    </w:p>
    <w:p>
      <w:pPr>
        <w:ind w:left="882" w:right="100" w:hanging="296"/>
        <w:spacing w:after="0" w:line="280" w:lineRule="auto"/>
        <w:tabs>
          <w:tab w:leader="none" w:pos="88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movement of property, furniture and equipment and accumulated depreciation, for the years ended December 31, 2023, 2022, and 2021 is as follows:</w:t>
      </w:r>
    </w:p>
    <w:p>
      <w:pPr>
        <w:spacing w:after="0" w:line="127" w:lineRule="exact"/>
        <w:rPr>
          <w:sz w:val="20"/>
          <w:szCs w:val="20"/>
          <w:color w:val="auto"/>
        </w:rPr>
      </w:pPr>
    </w:p>
    <w:tbl>
      <w:tblPr>
        <w:tblLayout w:type="fixed"/>
        <w:tblInd w:w="1962"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Buildings and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Furniture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Vehicles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7"/>
        </w:trPr>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other</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and</w:t>
            </w:r>
          </w:p>
        </w:tc>
        <w:tc>
          <w:tcPr>
            <w:tcW w:w="9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Computer</w:t>
            </w:r>
          </w:p>
        </w:tc>
        <w:tc>
          <w:tcPr>
            <w:tcW w:w="90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and</w:t>
            </w:r>
          </w:p>
        </w:tc>
        <w:tc>
          <w:tcPr>
            <w:tcW w:w="8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Work in</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4"/>
        </w:trPr>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Land</w:t>
            </w: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constructions</w:t>
            </w: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Installations</w:t>
            </w: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fixtures</w:t>
            </w: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hardware</w:t>
            </w: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equipment</w:t>
            </w: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progress</w:t>
            </w:r>
          </w:p>
        </w:tc>
        <w:tc>
          <w:tcPr>
            <w:tcW w:w="1000" w:type="dxa"/>
            <w:vAlign w:val="bottom"/>
          </w:tcPr>
          <w:p>
            <w:pPr>
              <w:ind w:left="60"/>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3"/>
                <w:szCs w:val="13"/>
                <w:b w:val="1"/>
                <w:bCs w:val="1"/>
                <w:color w:val="auto"/>
              </w:rPr>
              <w:t>2021</w:t>
            </w:r>
          </w:p>
        </w:tc>
      </w:tr>
      <w:tr>
        <w:trPr>
          <w:trHeight w:val="143"/>
        </w:trPr>
        <w:tc>
          <w:tcPr>
            <w:tcW w:w="78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2"/>
                <w:szCs w:val="12"/>
                <w:color w:val="auto"/>
              </w:rPr>
            </w:pPr>
          </w:p>
        </w:tc>
        <w:tc>
          <w:tcPr>
            <w:tcW w:w="96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2"/>
                <w:szCs w:val="12"/>
                <w:color w:val="auto"/>
              </w:rPr>
            </w:pPr>
          </w:p>
        </w:tc>
        <w:tc>
          <w:tcPr>
            <w:tcW w:w="86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2"/>
                <w:szCs w:val="12"/>
                <w:color w:val="auto"/>
              </w:rPr>
            </w:pPr>
          </w:p>
        </w:tc>
        <w:tc>
          <w:tcPr>
            <w:tcW w:w="78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2"/>
                <w:szCs w:val="12"/>
                <w:color w:val="auto"/>
              </w:rPr>
            </w:pPr>
          </w:p>
        </w:tc>
        <w:tc>
          <w:tcPr>
            <w:tcW w:w="80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2"/>
                <w:szCs w:val="12"/>
                <w:color w:val="auto"/>
              </w:rPr>
            </w:pPr>
          </w:p>
        </w:tc>
        <w:tc>
          <w:tcPr>
            <w:tcW w:w="78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2"/>
                <w:szCs w:val="12"/>
                <w:color w:val="auto"/>
              </w:rPr>
            </w:pPr>
          </w:p>
        </w:tc>
        <w:tc>
          <w:tcPr>
            <w:tcW w:w="78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2"/>
                <w:szCs w:val="12"/>
                <w:color w:val="auto"/>
              </w:rPr>
            </w:pPr>
          </w:p>
        </w:tc>
        <w:tc>
          <w:tcPr>
            <w:tcW w:w="100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2"/>
                <w:szCs w:val="12"/>
                <w:color w:val="auto"/>
              </w:rPr>
            </w:pPr>
          </w:p>
        </w:tc>
        <w:tc>
          <w:tcPr>
            <w:tcW w:w="780" w:type="dxa"/>
            <w:vAlign w:val="bottom"/>
            <w:tcBorders>
              <w:top w:val="single" w:sz="8" w:color="auto"/>
            </w:tcBorders>
          </w:tcPr>
          <w:p>
            <w:pPr>
              <w:ind w:left="40"/>
              <w:spacing w:after="0" w:line="14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2"/>
                <w:szCs w:val="12"/>
                <w:color w:val="auto"/>
              </w:rPr>
            </w:pPr>
          </w:p>
        </w:tc>
        <w:tc>
          <w:tcPr>
            <w:tcW w:w="80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S/(000)</w:t>
            </w:r>
          </w:p>
        </w:tc>
      </w:tr>
    </w:tbl>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35"/>
        </w:trPr>
        <w:tc>
          <w:tcPr>
            <w:tcW w:w="1960" w:type="dxa"/>
            <w:vAlign w:val="bottom"/>
          </w:tcPr>
          <w:p>
            <w:pPr>
              <w:spacing w:after="0" w:line="135" w:lineRule="exact"/>
              <w:rPr>
                <w:sz w:val="20"/>
                <w:szCs w:val="20"/>
                <w:color w:val="auto"/>
              </w:rPr>
            </w:pPr>
            <w:r>
              <w:rPr>
                <w:rFonts w:ascii="Arial" w:cs="Arial" w:eastAsia="Arial" w:hAnsi="Arial"/>
                <w:sz w:val="13"/>
                <w:szCs w:val="13"/>
                <w:b w:val="1"/>
                <w:bCs w:val="1"/>
                <w:color w:val="auto"/>
              </w:rPr>
              <w:t>Cost -</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7"/>
        </w:trPr>
        <w:tc>
          <w:tcPr>
            <w:tcW w:w="1960" w:type="dxa"/>
            <w:vAlign w:val="bottom"/>
          </w:tcPr>
          <w:p>
            <w:pPr>
              <w:spacing w:after="0" w:line="147" w:lineRule="exact"/>
              <w:rPr>
                <w:sz w:val="20"/>
                <w:szCs w:val="20"/>
                <w:color w:val="auto"/>
              </w:rPr>
            </w:pPr>
            <w:r>
              <w:rPr>
                <w:rFonts w:ascii="Arial" w:cs="Arial" w:eastAsia="Arial" w:hAnsi="Arial"/>
                <w:sz w:val="13"/>
                <w:szCs w:val="13"/>
                <w:b w:val="1"/>
                <w:bCs w:val="1"/>
                <w:color w:val="auto"/>
              </w:rPr>
              <w:t>Balance as of January 1</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375,485</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1,146,905</w:t>
            </w:r>
          </w:p>
        </w:tc>
        <w:tc>
          <w:tcPr>
            <w:tcW w:w="12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731,678</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467,134</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571,046</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112,161</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58,787</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3,463,196</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3,500,890</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3,515,202</w:t>
            </w:r>
          </w:p>
        </w:tc>
      </w:tr>
      <w:tr>
        <w:trPr>
          <w:trHeight w:val="147"/>
        </w:trPr>
        <w:tc>
          <w:tcPr>
            <w:tcW w:w="1960" w:type="dxa"/>
            <w:vAlign w:val="bottom"/>
          </w:tcPr>
          <w:p>
            <w:pPr>
              <w:spacing w:after="0" w:line="147" w:lineRule="exact"/>
              <w:rPr>
                <w:sz w:val="20"/>
                <w:szCs w:val="20"/>
                <w:color w:val="auto"/>
              </w:rPr>
            </w:pPr>
            <w:r>
              <w:rPr>
                <w:rFonts w:ascii="Arial" w:cs="Arial" w:eastAsia="Arial" w:hAnsi="Arial"/>
                <w:sz w:val="13"/>
                <w:szCs w:val="13"/>
                <w:color w:val="auto"/>
              </w:rPr>
              <w:t>Additions</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3,008</w:t>
            </w:r>
          </w:p>
        </w:tc>
        <w:tc>
          <w:tcPr>
            <w:tcW w:w="12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16,056</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41,287</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93,782</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360</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167,878</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322,371</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192,700</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107,790</w:t>
            </w:r>
          </w:p>
        </w:tc>
      </w:tr>
      <w:tr>
        <w:trPr>
          <w:trHeight w:val="147"/>
        </w:trPr>
        <w:tc>
          <w:tcPr>
            <w:tcW w:w="1960" w:type="dxa"/>
            <w:vAlign w:val="bottom"/>
          </w:tcPr>
          <w:p>
            <w:pPr>
              <w:spacing w:after="0" w:line="147" w:lineRule="exact"/>
              <w:rPr>
                <w:sz w:val="20"/>
                <w:szCs w:val="20"/>
                <w:color w:val="auto"/>
              </w:rPr>
            </w:pPr>
            <w:r>
              <w:rPr>
                <w:rFonts w:ascii="Arial" w:cs="Arial" w:eastAsia="Arial" w:hAnsi="Arial"/>
                <w:sz w:val="13"/>
                <w:szCs w:val="13"/>
                <w:color w:val="auto"/>
              </w:rPr>
              <w:t>Acquisition of business</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364</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91</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455</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419</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r>
      <w:tr>
        <w:trPr>
          <w:trHeight w:val="147"/>
        </w:trPr>
        <w:tc>
          <w:tcPr>
            <w:tcW w:w="1960" w:type="dxa"/>
            <w:vAlign w:val="bottom"/>
          </w:tcPr>
          <w:p>
            <w:pPr>
              <w:spacing w:after="0" w:line="147" w:lineRule="exact"/>
              <w:rPr>
                <w:sz w:val="20"/>
                <w:szCs w:val="20"/>
                <w:color w:val="auto"/>
              </w:rPr>
            </w:pPr>
            <w:r>
              <w:rPr>
                <w:rFonts w:ascii="Arial" w:cs="Arial" w:eastAsia="Arial" w:hAnsi="Arial"/>
                <w:sz w:val="13"/>
                <w:szCs w:val="13"/>
                <w:color w:val="auto"/>
              </w:rPr>
              <w:t>Transfers</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45,603</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10,434</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1,192</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285</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(57,514)</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r>
      <w:tr>
        <w:trPr>
          <w:trHeight w:val="167"/>
        </w:trPr>
        <w:tc>
          <w:tcPr>
            <w:tcW w:w="1960" w:type="dxa"/>
            <w:vAlign w:val="bottom"/>
          </w:tcPr>
          <w:p>
            <w:pPr>
              <w:spacing w:after="0"/>
              <w:rPr>
                <w:sz w:val="20"/>
                <w:szCs w:val="20"/>
                <w:color w:val="auto"/>
              </w:rPr>
            </w:pPr>
            <w:r>
              <w:rPr>
                <w:rFonts w:ascii="Arial" w:cs="Arial" w:eastAsia="Arial" w:hAnsi="Arial"/>
                <w:sz w:val="13"/>
                <w:szCs w:val="13"/>
                <w:color w:val="auto"/>
              </w:rPr>
              <w:t>Disposals and others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(48,372)</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(9,269)</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(13,856)</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(33,432)</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(51,900)</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(5,011)</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(51,896)</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(213,736)</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(230,813)</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(122,102)</w:t>
            </w:r>
          </w:p>
        </w:tc>
      </w:tr>
      <w:tr>
        <w:trPr>
          <w:trHeight w:val="139"/>
        </w:trPr>
        <w:tc>
          <w:tcPr>
            <w:tcW w:w="1960" w:type="dxa"/>
            <w:vAlign w:val="bottom"/>
          </w:tcPr>
          <w:p>
            <w:pPr>
              <w:spacing w:after="0" w:line="139" w:lineRule="exact"/>
              <w:rPr>
                <w:sz w:val="20"/>
                <w:szCs w:val="20"/>
                <w:color w:val="auto"/>
              </w:rPr>
            </w:pPr>
            <w:r>
              <w:rPr>
                <w:rFonts w:ascii="Arial" w:cs="Arial" w:eastAsia="Arial" w:hAnsi="Arial"/>
                <w:sz w:val="13"/>
                <w:szCs w:val="13"/>
                <w:b w:val="1"/>
                <w:bCs w:val="1"/>
                <w:color w:val="auto"/>
              </w:rPr>
              <w:t>Balance as of December 31</w:t>
            </w: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327,113</w:t>
            </w:r>
          </w:p>
        </w:tc>
        <w:tc>
          <w:tcPr>
            <w:tcW w:w="1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1,140,644</w:t>
            </w:r>
          </w:p>
        </w:tc>
        <w:tc>
          <w:tcPr>
            <w:tcW w:w="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779,481</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485,787</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614,211</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107,795</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117,255</w:t>
            </w: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3,572,286</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3,463,196</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3,500,890</w:t>
            </w:r>
          </w:p>
        </w:tc>
      </w:tr>
      <w:tr>
        <w:trPr>
          <w:trHeight w:val="278"/>
        </w:trPr>
        <w:tc>
          <w:tcPr>
            <w:tcW w:w="1960" w:type="dxa"/>
            <w:vAlign w:val="bottom"/>
          </w:tcPr>
          <w:p>
            <w:pPr>
              <w:spacing w:after="0"/>
              <w:rPr>
                <w:sz w:val="20"/>
                <w:szCs w:val="20"/>
                <w:color w:val="auto"/>
              </w:rPr>
            </w:pPr>
            <w:r>
              <w:rPr>
                <w:rFonts w:ascii="Arial" w:cs="Arial" w:eastAsia="Arial" w:hAnsi="Arial"/>
                <w:sz w:val="13"/>
                <w:szCs w:val="13"/>
                <w:b w:val="1"/>
                <w:bCs w:val="1"/>
                <w:color w:val="auto"/>
              </w:rPr>
              <w:t>Accumulated depreciation -</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7"/>
        </w:trPr>
        <w:tc>
          <w:tcPr>
            <w:tcW w:w="1960" w:type="dxa"/>
            <w:vAlign w:val="bottom"/>
          </w:tcPr>
          <w:p>
            <w:pPr>
              <w:spacing w:after="0" w:line="147" w:lineRule="exact"/>
              <w:rPr>
                <w:sz w:val="20"/>
                <w:szCs w:val="20"/>
                <w:color w:val="auto"/>
              </w:rPr>
            </w:pPr>
            <w:r>
              <w:rPr>
                <w:rFonts w:ascii="Arial" w:cs="Arial" w:eastAsia="Arial" w:hAnsi="Arial"/>
                <w:sz w:val="13"/>
                <w:szCs w:val="13"/>
                <w:b w:val="1"/>
                <w:bCs w:val="1"/>
                <w:color w:val="auto"/>
              </w:rPr>
              <w:t>Balance as of January 1</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725,590</w:t>
            </w:r>
          </w:p>
        </w:tc>
        <w:tc>
          <w:tcPr>
            <w:tcW w:w="12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550,001</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324,080</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492,609</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89,818</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2,182,098</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2,192,111</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2,140,327</w:t>
            </w:r>
          </w:p>
        </w:tc>
      </w:tr>
      <w:tr>
        <w:trPr>
          <w:trHeight w:val="147"/>
        </w:trPr>
        <w:tc>
          <w:tcPr>
            <w:tcW w:w="1960" w:type="dxa"/>
            <w:vAlign w:val="bottom"/>
          </w:tcPr>
          <w:p>
            <w:pPr>
              <w:spacing w:after="0" w:line="147" w:lineRule="exact"/>
              <w:rPr>
                <w:sz w:val="20"/>
                <w:szCs w:val="20"/>
                <w:color w:val="auto"/>
              </w:rPr>
            </w:pPr>
            <w:r>
              <w:rPr>
                <w:rFonts w:ascii="Arial" w:cs="Arial" w:eastAsia="Arial" w:hAnsi="Arial"/>
                <w:sz w:val="13"/>
                <w:szCs w:val="13"/>
                <w:color w:val="auto"/>
              </w:rPr>
              <w:t>Depreciation of the period</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22,575</w:t>
            </w:r>
          </w:p>
        </w:tc>
        <w:tc>
          <w:tcPr>
            <w:tcW w:w="12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34,658</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30,904</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35,643</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5,328</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129,108</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128,443</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140,173</w:t>
            </w:r>
          </w:p>
        </w:tc>
      </w:tr>
      <w:tr>
        <w:trPr>
          <w:trHeight w:val="147"/>
        </w:trPr>
        <w:tc>
          <w:tcPr>
            <w:tcW w:w="1960" w:type="dxa"/>
            <w:vAlign w:val="bottom"/>
          </w:tcPr>
          <w:p>
            <w:pPr>
              <w:spacing w:after="0" w:line="147" w:lineRule="exact"/>
              <w:rPr>
                <w:sz w:val="20"/>
                <w:szCs w:val="20"/>
                <w:color w:val="auto"/>
              </w:rPr>
            </w:pPr>
            <w:r>
              <w:rPr>
                <w:rFonts w:ascii="Arial" w:cs="Arial" w:eastAsia="Arial" w:hAnsi="Arial"/>
                <w:sz w:val="13"/>
                <w:szCs w:val="13"/>
                <w:color w:val="auto"/>
              </w:rPr>
              <w:t>Acquisition of business</w:t>
            </w: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102</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r>
      <w:tr>
        <w:trPr>
          <w:trHeight w:val="167"/>
        </w:trPr>
        <w:tc>
          <w:tcPr>
            <w:tcW w:w="1960" w:type="dxa"/>
            <w:vAlign w:val="bottom"/>
          </w:tcPr>
          <w:p>
            <w:pPr>
              <w:spacing w:after="0"/>
              <w:rPr>
                <w:sz w:val="20"/>
                <w:szCs w:val="20"/>
                <w:color w:val="auto"/>
              </w:rPr>
            </w:pPr>
            <w:r>
              <w:rPr>
                <w:rFonts w:ascii="Arial" w:cs="Arial" w:eastAsia="Arial" w:hAnsi="Arial"/>
                <w:sz w:val="13"/>
                <w:szCs w:val="13"/>
                <w:color w:val="auto"/>
              </w:rPr>
              <w:t>Disposals and others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(3,479)</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(13,603)</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(27,138)</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(47,278)</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(4,947)</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(96,445)</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(138,558)</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(88,389)</w:t>
            </w:r>
          </w:p>
        </w:tc>
      </w:tr>
      <w:tr>
        <w:trPr>
          <w:trHeight w:val="139"/>
        </w:trPr>
        <w:tc>
          <w:tcPr>
            <w:tcW w:w="1960" w:type="dxa"/>
            <w:vAlign w:val="bottom"/>
          </w:tcPr>
          <w:p>
            <w:pPr>
              <w:spacing w:after="0" w:line="139" w:lineRule="exact"/>
              <w:rPr>
                <w:sz w:val="20"/>
                <w:szCs w:val="20"/>
                <w:color w:val="auto"/>
              </w:rPr>
            </w:pPr>
            <w:r>
              <w:rPr>
                <w:rFonts w:ascii="Arial" w:cs="Arial" w:eastAsia="Arial" w:hAnsi="Arial"/>
                <w:sz w:val="13"/>
                <w:szCs w:val="13"/>
                <w:b w:val="1"/>
                <w:bCs w:val="1"/>
                <w:color w:val="auto"/>
              </w:rPr>
              <w:t>Balance as of December 31</w:t>
            </w: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744,686</w:t>
            </w:r>
          </w:p>
        </w:tc>
        <w:tc>
          <w:tcPr>
            <w:tcW w:w="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571,056</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327,846</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480,974</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90,199</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2,214,761</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2,182,098</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2,192,111</w:t>
            </w:r>
          </w:p>
        </w:tc>
      </w:tr>
      <w:tr>
        <w:trPr>
          <w:trHeight w:val="290"/>
        </w:trPr>
        <w:tc>
          <w:tcPr>
            <w:tcW w:w="1960" w:type="dxa"/>
            <w:vAlign w:val="bottom"/>
          </w:tcPr>
          <w:p>
            <w:pPr>
              <w:spacing w:after="0"/>
              <w:rPr>
                <w:sz w:val="20"/>
                <w:szCs w:val="20"/>
                <w:color w:val="auto"/>
              </w:rPr>
            </w:pPr>
            <w:r>
              <w:rPr>
                <w:rFonts w:ascii="Arial" w:cs="Arial" w:eastAsia="Arial" w:hAnsi="Arial"/>
                <w:sz w:val="13"/>
                <w:szCs w:val="13"/>
                <w:b w:val="1"/>
                <w:bCs w:val="1"/>
                <w:color w:val="auto"/>
              </w:rPr>
              <w:t>Net carrying amount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327,113</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395,958</w:t>
            </w:r>
          </w:p>
        </w:tc>
        <w:tc>
          <w:tcPr>
            <w:tcW w:w="12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208,425</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157,941</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133,237</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17,596</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117,255</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1,357,525</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1,281,098</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1,308,779</w:t>
            </w:r>
          </w:p>
        </w:tc>
      </w:tr>
    </w:tbl>
    <w:p>
      <w:pPr>
        <w:spacing w:after="0" w:line="166" w:lineRule="exact"/>
        <w:rPr>
          <w:sz w:val="20"/>
          <w:szCs w:val="20"/>
          <w:color w:val="auto"/>
        </w:rPr>
      </w:pPr>
    </w:p>
    <w:p>
      <w:pPr>
        <w:ind w:left="882"/>
        <w:spacing w:after="0"/>
        <w:rPr>
          <w:sz w:val="20"/>
          <w:szCs w:val="20"/>
          <w:color w:val="auto"/>
        </w:rPr>
      </w:pPr>
      <w:r>
        <w:rPr>
          <w:rFonts w:ascii="Arial" w:cs="Arial" w:eastAsia="Arial" w:hAnsi="Arial"/>
          <w:sz w:val="16"/>
          <w:szCs w:val="16"/>
          <w:color w:val="auto"/>
        </w:rPr>
        <w:t>Banks, financial institutions and insurance entities operating in Peru cannot pledge their fixed assets.</w:t>
      </w:r>
    </w:p>
    <w:p>
      <w:pPr>
        <w:spacing w:after="0" w:line="183" w:lineRule="exact"/>
        <w:rPr>
          <w:sz w:val="20"/>
          <w:szCs w:val="20"/>
          <w:color w:val="auto"/>
        </w:rPr>
      </w:pPr>
    </w:p>
    <w:p>
      <w:pPr>
        <w:jc w:val="both"/>
        <w:ind w:left="882" w:right="120"/>
        <w:spacing w:after="0" w:line="252" w:lineRule="auto"/>
        <w:rPr>
          <w:sz w:val="20"/>
          <w:szCs w:val="20"/>
          <w:color w:val="auto"/>
        </w:rPr>
      </w:pPr>
      <w:r>
        <w:rPr>
          <w:rFonts w:ascii="Arial" w:cs="Arial" w:eastAsia="Arial" w:hAnsi="Arial"/>
          <w:sz w:val="16"/>
          <w:szCs w:val="16"/>
          <w:color w:val="auto"/>
        </w:rPr>
        <w:t>During the years 2023 and 2022, the Group, as part of the investment in fixed assets, has made disbursements related mainly to the purchase of computer equipment, furniture and fixtures and the remodeling of its various agencies. During 2021, as part of the investment in fixed assets that it makes annually, it has made disbursements related mainly to the remodeling of its headquarters located in La Molina, San Pedro office, Lima office.</w:t>
      </w:r>
    </w:p>
    <w:p>
      <w:pPr>
        <w:spacing w:after="0" w:line="144" w:lineRule="exact"/>
        <w:rPr>
          <w:sz w:val="20"/>
          <w:szCs w:val="20"/>
          <w:color w:val="auto"/>
        </w:rPr>
      </w:pPr>
    </w:p>
    <w:p>
      <w:pPr>
        <w:ind w:left="882" w:right="20"/>
        <w:spacing w:after="0" w:line="280" w:lineRule="auto"/>
        <w:rPr>
          <w:sz w:val="20"/>
          <w:szCs w:val="20"/>
          <w:color w:val="auto"/>
        </w:rPr>
      </w:pPr>
      <w:r>
        <w:rPr>
          <w:rFonts w:ascii="Arial" w:cs="Arial" w:eastAsia="Arial" w:hAnsi="Arial"/>
          <w:sz w:val="16"/>
          <w:szCs w:val="16"/>
          <w:color w:val="auto"/>
        </w:rPr>
        <w:t>During the year 2023, Management decided to sell various land and buildings, the approximate sale price of which was S/53.1 million, with a net cost of S/51.4 million (as of December 31, 2022, an approximate sale price of S/51.4 million). (S/46.1 million, with a net cost of S/33.8 million).</w:t>
      </w:r>
    </w:p>
    <w:p>
      <w:pPr>
        <w:spacing w:after="0" w:line="120" w:lineRule="exact"/>
        <w:rPr>
          <w:sz w:val="20"/>
          <w:szCs w:val="20"/>
          <w:color w:val="auto"/>
        </w:rPr>
      </w:pPr>
    </w:p>
    <w:p>
      <w:pPr>
        <w:ind w:left="882"/>
        <w:spacing w:after="0"/>
        <w:rPr>
          <w:sz w:val="20"/>
          <w:szCs w:val="20"/>
          <w:color w:val="auto"/>
        </w:rPr>
      </w:pPr>
      <w:r>
        <w:rPr>
          <w:rFonts w:ascii="Arial" w:cs="Arial" w:eastAsia="Arial" w:hAnsi="Arial"/>
          <w:sz w:val="16"/>
          <w:szCs w:val="16"/>
          <w:color w:val="auto"/>
        </w:rPr>
        <w:t>Credicorp Ltd. subsidiaries maintain insurance on their main assets in accordance with the policies established by Management.</w:t>
      </w:r>
    </w:p>
    <w:p>
      <w:pPr>
        <w:spacing w:after="0" w:line="183" w:lineRule="exact"/>
        <w:rPr>
          <w:sz w:val="20"/>
          <w:szCs w:val="20"/>
          <w:color w:val="auto"/>
        </w:rPr>
      </w:pPr>
    </w:p>
    <w:p>
      <w:pPr>
        <w:ind w:left="882" w:right="240"/>
        <w:spacing w:after="0" w:line="259" w:lineRule="auto"/>
        <w:rPr>
          <w:sz w:val="20"/>
          <w:szCs w:val="20"/>
          <w:color w:val="auto"/>
        </w:rPr>
      </w:pPr>
      <w:r>
        <w:rPr>
          <w:rFonts w:ascii="Arial" w:cs="Arial" w:eastAsia="Arial" w:hAnsi="Arial"/>
          <w:sz w:val="16"/>
          <w:szCs w:val="16"/>
          <w:color w:val="auto"/>
        </w:rPr>
        <w:t>Due to the implementation of IFRS 17, the expense for depreciation and amortization of fixed assets is distributed in the consolidated income statement in the depreciation and amortization item S/125.0 million and S/4.1 million corresponding to the attributable expense in the item insurance technical result.</w:t>
      </w:r>
    </w:p>
    <w:p>
      <w:pPr>
        <w:spacing w:after="0" w:line="137" w:lineRule="exact"/>
        <w:rPr>
          <w:sz w:val="20"/>
          <w:szCs w:val="20"/>
          <w:color w:val="auto"/>
        </w:rPr>
      </w:pPr>
    </w:p>
    <w:p>
      <w:pPr>
        <w:ind w:left="882" w:right="100"/>
        <w:spacing w:after="0" w:line="259" w:lineRule="auto"/>
        <w:rPr>
          <w:sz w:val="20"/>
          <w:szCs w:val="20"/>
          <w:color w:val="auto"/>
        </w:rPr>
      </w:pPr>
      <w:r>
        <w:rPr>
          <w:rFonts w:ascii="Arial" w:cs="Arial" w:eastAsia="Arial" w:hAnsi="Arial"/>
          <w:sz w:val="16"/>
          <w:szCs w:val="16"/>
          <w:color w:val="auto"/>
        </w:rPr>
        <w:t>Management periodically reviews the residual value, useful life and the depreciation method used of the Group’s property, furniture and equipment; in order to ensure that these are consistent with your current economic benefit and life expectations. In the opinion of Management, as of December 31, 2023, 2022 and 2021, there is no evidence of impairment of the Group’s properties, furniture and equipment.</w:t>
      </w:r>
    </w:p>
    <w:p>
      <w:pPr>
        <w:spacing w:after="0" w:line="113" w:lineRule="exact"/>
        <w:rPr>
          <w:sz w:val="20"/>
          <w:szCs w:val="20"/>
          <w:color w:val="auto"/>
        </w:rPr>
      </w:pPr>
    </w:p>
    <w:p>
      <w:pPr>
        <w:jc w:val="center"/>
        <w:ind w:right="58"/>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2"/>
          </w:cols>
          <w:pgMar w:left="318" w:top="124" w:right="319" w:bottom="1440" w:gutter="0" w:footer="0" w:header="0"/>
        </w:sectPr>
      </w:pPr>
    </w:p>
    <w:bookmarkStart w:id="91" w:name="page92"/>
    <w:bookmarkEnd w:id="91"/>
    <w:p>
      <w:pPr>
        <w:ind w:left="582" w:hanging="582"/>
        <w:spacing w:after="0"/>
        <w:tabs>
          <w:tab w:leader="none" w:pos="582"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 ASSETS AND GOODWILL, NET</w:t>
      </w:r>
    </w:p>
    <w:p>
      <w:pPr>
        <w:spacing w:after="0" w:line="181" w:lineRule="exact"/>
        <w:rPr>
          <w:rFonts w:ascii="Arial" w:cs="Arial" w:eastAsia="Arial" w:hAnsi="Arial"/>
          <w:sz w:val="16"/>
          <w:szCs w:val="16"/>
          <w:b w:val="1"/>
          <w:bCs w:val="1"/>
          <w:color w:val="auto"/>
        </w:rPr>
      </w:pPr>
    </w:p>
    <w:p>
      <w:pPr>
        <w:ind w:left="882" w:hanging="296"/>
        <w:spacing w:after="0"/>
        <w:tabs>
          <w:tab w:leader="none" w:pos="88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Intangible assets –</w:t>
      </w:r>
    </w:p>
    <w:p>
      <w:pPr>
        <w:spacing w:after="0" w:line="182" w:lineRule="exact"/>
        <w:rPr>
          <w:rFonts w:ascii="Arial" w:cs="Arial" w:eastAsia="Arial" w:hAnsi="Arial"/>
          <w:sz w:val="16"/>
          <w:szCs w:val="16"/>
          <w:color w:val="auto"/>
        </w:rPr>
      </w:pPr>
    </w:p>
    <w:p>
      <w:pPr>
        <w:ind w:left="882"/>
        <w:spacing w:after="0"/>
        <w:rPr>
          <w:rFonts w:ascii="Arial" w:cs="Arial" w:eastAsia="Arial" w:hAnsi="Arial"/>
          <w:sz w:val="16"/>
          <w:szCs w:val="16"/>
          <w:color w:val="auto"/>
        </w:rPr>
      </w:pPr>
      <w:r>
        <w:rPr>
          <w:rFonts w:ascii="Arial" w:cs="Arial" w:eastAsia="Arial" w:hAnsi="Arial"/>
          <w:sz w:val="16"/>
          <w:szCs w:val="16"/>
          <w:color w:val="auto"/>
        </w:rPr>
        <w:t>The movement of intangible assets with limited useful life for the years ended December 31, 2023, 2022 and 2021 is as follows:</w:t>
      </w:r>
    </w:p>
    <w:p>
      <w:pPr>
        <w:spacing w:after="0" w:line="189"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Fund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7"/>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Client</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manager</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Intangible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7"/>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relationships</w:t>
            </w:r>
          </w:p>
        </w:tc>
        <w:tc>
          <w:tcPr>
            <w:tcW w:w="9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Brand</w:t>
            </w:r>
          </w:p>
        </w:tc>
        <w:tc>
          <w:tcPr>
            <w:tcW w:w="90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contract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Relationships</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Software and</w:t>
            </w:r>
          </w:p>
        </w:tc>
        <w:tc>
          <w:tcPr>
            <w:tcW w:w="8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in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4"/>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(i)</w:t>
            </w: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name (ii)</w:t>
            </w: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(iii)</w:t>
            </w:r>
          </w:p>
        </w:tc>
        <w:tc>
          <w:tcPr>
            <w:tcW w:w="1060" w:type="dxa"/>
            <w:vAlign w:val="bottom"/>
            <w:gridSpan w:val="2"/>
          </w:tcPr>
          <w:p>
            <w:pPr>
              <w:ind w:left="40"/>
              <w:spacing w:after="0"/>
              <w:rPr>
                <w:sz w:val="20"/>
                <w:szCs w:val="20"/>
                <w:color w:val="auto"/>
              </w:rPr>
            </w:pPr>
            <w:r>
              <w:rPr>
                <w:rFonts w:ascii="Arial" w:cs="Arial" w:eastAsia="Arial" w:hAnsi="Arial"/>
                <w:sz w:val="13"/>
                <w:szCs w:val="13"/>
                <w:b w:val="1"/>
                <w:bCs w:val="1"/>
                <w:color w:val="auto"/>
              </w:rPr>
              <w:t>with holders</w:t>
            </w: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developments</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progress</w:t>
            </w: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w:t>
            </w:r>
          </w:p>
        </w:tc>
        <w:tc>
          <w:tcPr>
            <w:tcW w:w="780" w:type="dxa"/>
            <w:vAlign w:val="bottom"/>
          </w:tcPr>
          <w:p>
            <w:pPr>
              <w:ind w:left="40"/>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b w:val="1"/>
                <w:bCs w:val="1"/>
                <w:color w:val="auto"/>
              </w:rPr>
              <w:t>2021</w:t>
            </w:r>
          </w:p>
        </w:tc>
      </w:tr>
      <w:tr>
        <w:trPr>
          <w:trHeight w:val="170"/>
        </w:trPr>
        <w:tc>
          <w:tcPr>
            <w:tcW w:w="2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80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8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94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100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2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8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70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S/(000)</w:t>
            </w:r>
          </w:p>
        </w:tc>
      </w:tr>
      <w:tr>
        <w:trPr>
          <w:trHeight w:val="254"/>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Cost -</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47"/>
        </w:trPr>
        <w:tc>
          <w:tcPr>
            <w:tcW w:w="228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Balances at January 1</w:t>
            </w: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373,602</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171,864</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73,412</w:t>
            </w: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21,100</w:t>
            </w:r>
          </w:p>
        </w:tc>
        <w:tc>
          <w:tcPr>
            <w:tcW w:w="12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3,642,091</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867,213</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17,953</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5,167,235</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4,708,305</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4,293,864</w:t>
            </w:r>
          </w:p>
        </w:tc>
      </w:tr>
      <w:tr>
        <w:trPr>
          <w:trHeight w:val="147"/>
        </w:trPr>
        <w:tc>
          <w:tcPr>
            <w:tcW w:w="2280" w:type="dxa"/>
            <w:vAlign w:val="bottom"/>
            <w:gridSpan w:val="2"/>
          </w:tcPr>
          <w:p>
            <w:pPr>
              <w:spacing w:after="0" w:line="147" w:lineRule="exact"/>
              <w:rPr>
                <w:sz w:val="20"/>
                <w:szCs w:val="20"/>
                <w:color w:val="auto"/>
              </w:rPr>
            </w:pPr>
            <w:r>
              <w:rPr>
                <w:rFonts w:ascii="Arial" w:cs="Arial" w:eastAsia="Arial" w:hAnsi="Arial"/>
                <w:sz w:val="13"/>
                <w:szCs w:val="13"/>
                <w:color w:val="auto"/>
              </w:rPr>
              <w:t>Additions</w:t>
            </w: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244,879</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577,462</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6,462</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828,803</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703,670</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532,244</w:t>
            </w:r>
          </w:p>
        </w:tc>
      </w:tr>
      <w:tr>
        <w:trPr>
          <w:trHeight w:val="147"/>
        </w:trPr>
        <w:tc>
          <w:tcPr>
            <w:tcW w:w="2280" w:type="dxa"/>
            <w:vAlign w:val="bottom"/>
            <w:gridSpan w:val="2"/>
          </w:tcPr>
          <w:p>
            <w:pPr>
              <w:spacing w:after="0" w:line="147" w:lineRule="exact"/>
              <w:rPr>
                <w:sz w:val="20"/>
                <w:szCs w:val="20"/>
                <w:color w:val="auto"/>
              </w:rPr>
            </w:pPr>
            <w:r>
              <w:rPr>
                <w:rFonts w:ascii="Arial" w:cs="Arial" w:eastAsia="Arial" w:hAnsi="Arial"/>
                <w:sz w:val="13"/>
                <w:szCs w:val="13"/>
                <w:color w:val="auto"/>
              </w:rPr>
              <w:t>Acquisition of business</w:t>
            </w: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2,507</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3,457</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10,678</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16,642</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7,533</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r>
      <w:tr>
        <w:trPr>
          <w:trHeight w:val="147"/>
        </w:trPr>
        <w:tc>
          <w:tcPr>
            <w:tcW w:w="2280" w:type="dxa"/>
            <w:vAlign w:val="bottom"/>
            <w:gridSpan w:val="2"/>
          </w:tcPr>
          <w:p>
            <w:pPr>
              <w:spacing w:after="0" w:line="147" w:lineRule="exact"/>
              <w:rPr>
                <w:sz w:val="20"/>
                <w:szCs w:val="20"/>
                <w:color w:val="auto"/>
              </w:rPr>
            </w:pPr>
            <w:r>
              <w:rPr>
                <w:rFonts w:ascii="Arial" w:cs="Arial" w:eastAsia="Arial" w:hAnsi="Arial"/>
                <w:sz w:val="13"/>
                <w:szCs w:val="13"/>
                <w:color w:val="auto"/>
              </w:rPr>
              <w:t>Transfers</w:t>
            </w: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436,050</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(436,050)</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r>
      <w:tr>
        <w:trPr>
          <w:trHeight w:val="167"/>
        </w:trPr>
        <w:tc>
          <w:tcPr>
            <w:tcW w:w="2280" w:type="dxa"/>
            <w:vAlign w:val="bottom"/>
            <w:gridSpan w:val="2"/>
          </w:tcPr>
          <w:p>
            <w:pPr>
              <w:spacing w:after="0"/>
              <w:rPr>
                <w:sz w:val="20"/>
                <w:szCs w:val="20"/>
                <w:color w:val="auto"/>
              </w:rPr>
            </w:pPr>
            <w:r>
              <w:rPr>
                <w:rFonts w:ascii="Arial" w:cs="Arial" w:eastAsia="Arial" w:hAnsi="Arial"/>
                <w:sz w:val="13"/>
                <w:szCs w:val="13"/>
                <w:color w:val="auto"/>
              </w:rPr>
              <w:t>Disposals and others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4,303</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(54,676)</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(107,063)</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6,339</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(151,301)</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(252,273)</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(117,803)</w:t>
            </w:r>
          </w:p>
        </w:tc>
      </w:tr>
      <w:tr>
        <w:trPr>
          <w:trHeight w:val="139"/>
        </w:trPr>
        <w:tc>
          <w:tcPr>
            <w:tcW w:w="228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Balance as of December 31</w:t>
            </w: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375,905</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175,321</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77,715</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21,100</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4,279,022</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901,562</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30,754</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5,861,379</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5,167,235</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4,708,305</w:t>
            </w:r>
          </w:p>
        </w:tc>
      </w:tr>
      <w:tr>
        <w:trPr>
          <w:trHeight w:val="278"/>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Accumulated amortization -</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7"/>
        </w:trPr>
        <w:tc>
          <w:tcPr>
            <w:tcW w:w="2280" w:type="dxa"/>
            <w:vAlign w:val="bottom"/>
            <w:gridSpan w:val="2"/>
          </w:tcPr>
          <w:p>
            <w:pPr>
              <w:spacing w:after="0" w:line="147" w:lineRule="exact"/>
              <w:rPr>
                <w:sz w:val="20"/>
                <w:szCs w:val="20"/>
                <w:color w:val="auto"/>
              </w:rPr>
            </w:pPr>
            <w:r>
              <w:rPr>
                <w:rFonts w:ascii="Arial" w:cs="Arial" w:eastAsia="Arial" w:hAnsi="Arial"/>
                <w:sz w:val="13"/>
                <w:szCs w:val="13"/>
                <w:b w:val="1"/>
                <w:bCs w:val="1"/>
                <w:color w:val="auto"/>
              </w:rPr>
              <w:t>Balance at January 1</w:t>
            </w: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302,513</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60,488</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12,824</w:t>
            </w: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21,100</w:t>
            </w:r>
          </w:p>
        </w:tc>
        <w:tc>
          <w:tcPr>
            <w:tcW w:w="12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2,637,685</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5,409</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3,040,019</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2,795,084</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2,475,466</w:t>
            </w:r>
          </w:p>
        </w:tc>
      </w:tr>
      <w:tr>
        <w:trPr>
          <w:trHeight w:val="147"/>
        </w:trPr>
        <w:tc>
          <w:tcPr>
            <w:tcW w:w="2280" w:type="dxa"/>
            <w:vAlign w:val="bottom"/>
            <w:gridSpan w:val="2"/>
          </w:tcPr>
          <w:p>
            <w:pPr>
              <w:spacing w:after="0" w:line="147" w:lineRule="exact"/>
              <w:rPr>
                <w:sz w:val="20"/>
                <w:szCs w:val="20"/>
                <w:color w:val="auto"/>
              </w:rPr>
            </w:pPr>
            <w:r>
              <w:rPr>
                <w:rFonts w:ascii="Arial" w:cs="Arial" w:eastAsia="Arial" w:hAnsi="Arial"/>
                <w:sz w:val="13"/>
                <w:szCs w:val="13"/>
                <w:color w:val="auto"/>
              </w:rPr>
              <w:t>Amortization of the period</w:t>
            </w: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15,025</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5,827</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3,573</w:t>
            </w: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407,583</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4,576</w:t>
            </w:r>
          </w:p>
        </w:tc>
        <w:tc>
          <w:tcPr>
            <w:tcW w:w="10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436,584</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403,726</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381,794</w:t>
            </w:r>
          </w:p>
        </w:tc>
      </w:tr>
      <w:tr>
        <w:trPr>
          <w:trHeight w:val="167"/>
        </w:trPr>
        <w:tc>
          <w:tcPr>
            <w:tcW w:w="2280" w:type="dxa"/>
            <w:vAlign w:val="bottom"/>
            <w:gridSpan w:val="2"/>
          </w:tcPr>
          <w:p>
            <w:pPr>
              <w:spacing w:after="0"/>
              <w:rPr>
                <w:sz w:val="20"/>
                <w:szCs w:val="20"/>
                <w:color w:val="auto"/>
              </w:rPr>
            </w:pPr>
            <w:r>
              <w:rPr>
                <w:rFonts w:ascii="Arial" w:cs="Arial" w:eastAsia="Arial" w:hAnsi="Arial"/>
                <w:sz w:val="13"/>
                <w:szCs w:val="13"/>
                <w:color w:val="auto"/>
              </w:rPr>
              <w:t>Disposals and others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(42,326)</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(42,241)</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(158,791)</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(62,176)</w:t>
            </w:r>
          </w:p>
        </w:tc>
      </w:tr>
      <w:tr>
        <w:trPr>
          <w:trHeight w:val="139"/>
        </w:trPr>
        <w:tc>
          <w:tcPr>
            <w:tcW w:w="228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Balance as of December 31</w:t>
            </w: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317,231</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66,315</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16,373</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21,100</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3,002,942</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10,401</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3,434,362</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3,040,019</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2,795,084</w:t>
            </w:r>
          </w:p>
        </w:tc>
      </w:tr>
      <w:tr>
        <w:trPr>
          <w:trHeight w:val="290"/>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Net carrying amount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58,674</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109,006</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61,342</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1,276,080</w:t>
            </w:r>
          </w:p>
        </w:tc>
        <w:tc>
          <w:tcPr>
            <w:tcW w:w="10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901,562</w:t>
            </w:r>
          </w:p>
        </w:tc>
        <w:tc>
          <w:tcPr>
            <w:tcW w:w="1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20,353</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2,427,017</w:t>
            </w:r>
          </w:p>
        </w:tc>
        <w:tc>
          <w:tcPr>
            <w:tcW w:w="1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2,127,216</w:t>
            </w:r>
          </w:p>
        </w:tc>
        <w:tc>
          <w:tcPr>
            <w:tcW w:w="10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1,913,221</w:t>
            </w:r>
          </w:p>
        </w:tc>
      </w:tr>
    </w:tbl>
    <w:p>
      <w:pPr>
        <w:spacing w:after="0" w:line="350" w:lineRule="exact"/>
        <w:rPr>
          <w:sz w:val="20"/>
          <w:szCs w:val="20"/>
          <w:color w:val="auto"/>
        </w:rPr>
      </w:pPr>
    </w:p>
    <w:p>
      <w:pPr>
        <w:ind w:left="882" w:right="140"/>
        <w:spacing w:after="0" w:line="259" w:lineRule="auto"/>
        <w:rPr>
          <w:sz w:val="20"/>
          <w:szCs w:val="20"/>
          <w:color w:val="auto"/>
        </w:rPr>
      </w:pPr>
      <w:r>
        <w:rPr>
          <w:rFonts w:ascii="Arial" w:cs="Arial" w:eastAsia="Arial" w:hAnsi="Arial"/>
          <w:sz w:val="16"/>
          <w:szCs w:val="16"/>
          <w:color w:val="auto"/>
        </w:rPr>
        <w:t>During 2023, activated disbursements were mainly related to the implementation and development of various IT projects such as Yape, Collection Suite, Telecredit - Office Banking, Data Lake - Data Vault, Integrated Management of Payment Solutions, Operational CRM, IO App, Among others.</w:t>
      </w:r>
    </w:p>
    <w:p>
      <w:pPr>
        <w:spacing w:after="0" w:line="137" w:lineRule="exact"/>
        <w:rPr>
          <w:sz w:val="20"/>
          <w:szCs w:val="20"/>
          <w:color w:val="auto"/>
        </w:rPr>
      </w:pPr>
    </w:p>
    <w:p>
      <w:pPr>
        <w:ind w:left="882" w:right="120"/>
        <w:spacing w:after="0" w:line="280" w:lineRule="auto"/>
        <w:rPr>
          <w:sz w:val="20"/>
          <w:szCs w:val="20"/>
          <w:color w:val="auto"/>
        </w:rPr>
      </w:pPr>
      <w:r>
        <w:rPr>
          <w:rFonts w:ascii="Arial" w:cs="Arial" w:eastAsia="Arial" w:hAnsi="Arial"/>
          <w:sz w:val="16"/>
          <w:szCs w:val="16"/>
          <w:color w:val="auto"/>
        </w:rPr>
        <w:t>During 2022, the Group has made disbursements mainly related to the implementation and development of various IT projects such as Cubo – Mis Financiero, Yape, DataLake – Data Vault, IFRS 9 Strategic Tool, Office Banking, Vision Plus, among others.</w:t>
      </w:r>
    </w:p>
    <w:p>
      <w:pPr>
        <w:spacing w:after="0" w:line="120" w:lineRule="exact"/>
        <w:rPr>
          <w:sz w:val="20"/>
          <w:szCs w:val="20"/>
          <w:color w:val="auto"/>
        </w:rPr>
      </w:pPr>
    </w:p>
    <w:p>
      <w:pPr>
        <w:ind w:left="882" w:right="300"/>
        <w:spacing w:after="0" w:line="280" w:lineRule="auto"/>
        <w:rPr>
          <w:sz w:val="20"/>
          <w:szCs w:val="20"/>
          <w:color w:val="auto"/>
        </w:rPr>
      </w:pPr>
      <w:r>
        <w:rPr>
          <w:rFonts w:ascii="Arial" w:cs="Arial" w:eastAsia="Arial" w:hAnsi="Arial"/>
          <w:sz w:val="16"/>
          <w:szCs w:val="16"/>
          <w:color w:val="auto"/>
        </w:rPr>
        <w:t>During 2021, the Group has made disbursements mainly related to the implementation and development of various IT projects such as Data Lake - Data Vault, Mobile Banking I14, Telephone Banking by voice call I15 and improvements in Yape, among others.</w:t>
      </w:r>
    </w:p>
    <w:p>
      <w:pPr>
        <w:spacing w:after="0" w:line="120" w:lineRule="exact"/>
        <w:rPr>
          <w:sz w:val="20"/>
          <w:szCs w:val="20"/>
          <w:color w:val="auto"/>
        </w:rPr>
      </w:pPr>
    </w:p>
    <w:p>
      <w:pPr>
        <w:ind w:left="882" w:right="180"/>
        <w:spacing w:after="0" w:line="259" w:lineRule="auto"/>
        <w:rPr>
          <w:sz w:val="20"/>
          <w:szCs w:val="20"/>
          <w:color w:val="auto"/>
        </w:rPr>
      </w:pPr>
      <w:r>
        <w:rPr>
          <w:rFonts w:ascii="Arial" w:cs="Arial" w:eastAsia="Arial" w:hAnsi="Arial"/>
          <w:sz w:val="16"/>
          <w:szCs w:val="16"/>
          <w:color w:val="auto"/>
        </w:rPr>
        <w:t>Due to the implementation of IFRS 17, the expense for depreciation and amortization of intangibles is distributed in the consolidated income statement in the depreciation and amortization item by S/386.1 million and S/50.5 million corresponding to the attributable expense in the item insurance technical result.</w:t>
      </w:r>
    </w:p>
    <w:p>
      <w:pPr>
        <w:spacing w:after="0" w:line="137" w:lineRule="exact"/>
        <w:rPr>
          <w:sz w:val="20"/>
          <w:szCs w:val="20"/>
          <w:color w:val="auto"/>
        </w:rPr>
      </w:pPr>
    </w:p>
    <w:p>
      <w:pPr>
        <w:ind w:left="882" w:right="220"/>
        <w:spacing w:after="0" w:line="280" w:lineRule="auto"/>
        <w:rPr>
          <w:sz w:val="20"/>
          <w:szCs w:val="20"/>
          <w:color w:val="auto"/>
        </w:rPr>
      </w:pPr>
      <w:r>
        <w:rPr>
          <w:rFonts w:ascii="Arial" w:cs="Arial" w:eastAsia="Arial" w:hAnsi="Arial"/>
          <w:sz w:val="16"/>
          <w:szCs w:val="16"/>
          <w:color w:val="auto"/>
        </w:rPr>
        <w:t>In the opinion of Management, the net book value of intangibles does not exceed their recoverable value as of December 31, 2023, 2022 and 2021.</w:t>
      </w:r>
    </w:p>
    <w:p>
      <w:pPr>
        <w:spacing w:after="0" w:line="96" w:lineRule="exact"/>
        <w:rPr>
          <w:sz w:val="20"/>
          <w:szCs w:val="20"/>
          <w:color w:val="auto"/>
        </w:rPr>
      </w:pPr>
    </w:p>
    <w:p>
      <w:pPr>
        <w:jc w:val="center"/>
        <w:ind w:right="58"/>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2"/>
          </w:cols>
          <w:pgMar w:left="318" w:top="124"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6"/>
                <w:szCs w:val="16"/>
                <w:color w:val="auto"/>
              </w:rPr>
              <w:t>(i)</w:t>
            </w:r>
          </w:p>
        </w:tc>
        <w:tc>
          <w:tcPr>
            <w:tcW w:w="7540" w:type="dxa"/>
            <w:vAlign w:val="bottom"/>
          </w:tcPr>
          <w:p>
            <w:pPr>
              <w:ind w:left="60"/>
              <w:spacing w:after="0"/>
              <w:rPr>
                <w:sz w:val="20"/>
                <w:szCs w:val="20"/>
                <w:color w:val="auto"/>
              </w:rPr>
            </w:pPr>
            <w:r>
              <w:rPr>
                <w:rFonts w:ascii="Arial" w:cs="Arial" w:eastAsia="Arial" w:hAnsi="Arial"/>
                <w:sz w:val="16"/>
                <w:szCs w:val="16"/>
                <w:color w:val="auto"/>
              </w:rPr>
              <w:t>Client relationships -</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67"/>
        </w:trPr>
        <w:tc>
          <w:tcPr>
            <w:tcW w:w="2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This item consists of the following:</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1"/>
        </w:trPr>
        <w:tc>
          <w:tcPr>
            <w:tcW w:w="2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r>
      <w:tr>
        <w:trPr>
          <w:trHeight w:val="216"/>
        </w:trPr>
        <w:tc>
          <w:tcPr>
            <w:tcW w:w="2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6"/>
                <w:szCs w:val="16"/>
                <w:b w:val="1"/>
                <w:bCs w:val="1"/>
                <w:color w:val="auto"/>
              </w:rPr>
              <w:t>S/(000)</w:t>
            </w:r>
          </w:p>
        </w:tc>
      </w:tr>
      <w:tr>
        <w:trPr>
          <w:trHeight w:val="310"/>
        </w:trPr>
        <w:tc>
          <w:tcPr>
            <w:tcW w:w="2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Prima AFP - AFP Unión Vida</w:t>
            </w:r>
          </w:p>
        </w:tc>
        <w:tc>
          <w:tcPr>
            <w:tcW w:w="1080" w:type="dxa"/>
            <w:vAlign w:val="bottom"/>
          </w:tcPr>
          <w:p>
            <w:pPr>
              <w:jc w:val="right"/>
              <w:spacing w:after="0"/>
              <w:rPr>
                <w:sz w:val="20"/>
                <w:szCs w:val="20"/>
                <w:color w:val="auto"/>
              </w:rPr>
            </w:pPr>
            <w:r>
              <w:rPr>
                <w:rFonts w:ascii="Arial" w:cs="Arial" w:eastAsia="Arial" w:hAnsi="Arial"/>
                <w:sz w:val="16"/>
                <w:szCs w:val="16"/>
                <w:color w:val="auto"/>
              </w:rPr>
              <w:t>37,701</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45,262</w:t>
            </w:r>
          </w:p>
        </w:tc>
      </w:tr>
      <w:tr>
        <w:trPr>
          <w:trHeight w:val="183"/>
        </w:trPr>
        <w:tc>
          <w:tcPr>
            <w:tcW w:w="240" w:type="dxa"/>
            <w:vAlign w:val="bottom"/>
          </w:tcPr>
          <w:p>
            <w:pPr>
              <w:spacing w:after="0"/>
              <w:rPr>
                <w:sz w:val="15"/>
                <w:szCs w:val="15"/>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Credicorp Capital Holding Chile - Inversiones IMT</w:t>
            </w:r>
          </w:p>
        </w:tc>
        <w:tc>
          <w:tcPr>
            <w:tcW w:w="1080" w:type="dxa"/>
            <w:vAlign w:val="bottom"/>
          </w:tcPr>
          <w:p>
            <w:pPr>
              <w:jc w:val="right"/>
              <w:spacing w:after="0"/>
              <w:rPr>
                <w:sz w:val="20"/>
                <w:szCs w:val="20"/>
                <w:color w:val="auto"/>
              </w:rPr>
            </w:pPr>
            <w:r>
              <w:rPr>
                <w:rFonts w:ascii="Arial" w:cs="Arial" w:eastAsia="Arial" w:hAnsi="Arial"/>
                <w:sz w:val="16"/>
                <w:szCs w:val="16"/>
                <w:color w:val="auto"/>
              </w:rPr>
              <w:t>13,410</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15,564</w:t>
            </w:r>
          </w:p>
        </w:tc>
      </w:tr>
      <w:tr>
        <w:trPr>
          <w:trHeight w:val="183"/>
        </w:trPr>
        <w:tc>
          <w:tcPr>
            <w:tcW w:w="240" w:type="dxa"/>
            <w:vAlign w:val="bottom"/>
          </w:tcPr>
          <w:p>
            <w:pPr>
              <w:spacing w:after="0"/>
              <w:rPr>
                <w:sz w:val="15"/>
                <w:szCs w:val="15"/>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Joinnus S.A.C.</w:t>
            </w:r>
          </w:p>
        </w:tc>
        <w:tc>
          <w:tcPr>
            <w:tcW w:w="1080" w:type="dxa"/>
            <w:vAlign w:val="bottom"/>
          </w:tcPr>
          <w:p>
            <w:pPr>
              <w:jc w:val="right"/>
              <w:spacing w:after="0"/>
              <w:rPr>
                <w:sz w:val="20"/>
                <w:szCs w:val="20"/>
                <w:color w:val="auto"/>
              </w:rPr>
            </w:pPr>
            <w:r>
              <w:rPr>
                <w:rFonts w:ascii="Arial" w:cs="Arial" w:eastAsia="Arial" w:hAnsi="Arial"/>
                <w:sz w:val="16"/>
                <w:szCs w:val="16"/>
                <w:color w:val="auto"/>
              </w:rPr>
              <w:t>2,507</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40" w:type="dxa"/>
            <w:vAlign w:val="bottom"/>
          </w:tcPr>
          <w:p>
            <w:pPr>
              <w:spacing w:after="0"/>
              <w:rPr>
                <w:sz w:val="15"/>
                <w:szCs w:val="15"/>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Ultraserfinco S.A.</w:t>
            </w:r>
          </w:p>
        </w:tc>
        <w:tc>
          <w:tcPr>
            <w:tcW w:w="108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6,971</w:t>
            </w:r>
          </w:p>
        </w:tc>
      </w:tr>
      <w:tr>
        <w:trPr>
          <w:trHeight w:val="183"/>
        </w:trPr>
        <w:tc>
          <w:tcPr>
            <w:tcW w:w="240" w:type="dxa"/>
            <w:vAlign w:val="bottom"/>
          </w:tcPr>
          <w:p>
            <w:pPr>
              <w:spacing w:after="0"/>
              <w:rPr>
                <w:sz w:val="15"/>
                <w:szCs w:val="15"/>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Compañía Incubadora de Soluciones Móviles S.A-Culqi</w:t>
            </w:r>
          </w:p>
        </w:tc>
        <w:tc>
          <w:tcPr>
            <w:tcW w:w="1080" w:type="dxa"/>
            <w:vAlign w:val="bottom"/>
          </w:tcPr>
          <w:p>
            <w:pPr>
              <w:jc w:val="right"/>
              <w:spacing w:after="0"/>
              <w:rPr>
                <w:sz w:val="20"/>
                <w:szCs w:val="20"/>
                <w:color w:val="auto"/>
              </w:rPr>
            </w:pPr>
            <w:r>
              <w:rPr>
                <w:rFonts w:ascii="Arial" w:cs="Arial" w:eastAsia="Arial" w:hAnsi="Arial"/>
                <w:sz w:val="16"/>
                <w:szCs w:val="16"/>
                <w:color w:val="auto"/>
              </w:rPr>
              <w:t>1,792</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1,809</w:t>
            </w:r>
          </w:p>
        </w:tc>
      </w:tr>
      <w:tr>
        <w:trPr>
          <w:trHeight w:val="200"/>
        </w:trPr>
        <w:tc>
          <w:tcPr>
            <w:tcW w:w="240" w:type="dxa"/>
            <w:vAlign w:val="bottom"/>
          </w:tcPr>
          <w:p>
            <w:pPr>
              <w:spacing w:after="0"/>
              <w:rPr>
                <w:sz w:val="17"/>
                <w:szCs w:val="17"/>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Tenpo SpA</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w:t>
            </w:r>
          </w:p>
        </w:tc>
      </w:tr>
      <w:tr>
        <w:trPr>
          <w:trHeight w:val="180"/>
        </w:trPr>
        <w:tc>
          <w:tcPr>
            <w:tcW w:w="240" w:type="dxa"/>
            <w:vAlign w:val="bottom"/>
          </w:tcPr>
          <w:p>
            <w:pPr>
              <w:spacing w:after="0"/>
              <w:rPr>
                <w:sz w:val="15"/>
                <w:szCs w:val="15"/>
                <w:color w:val="auto"/>
              </w:rPr>
            </w:pPr>
          </w:p>
        </w:tc>
        <w:tc>
          <w:tcPr>
            <w:tcW w:w="754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Net carrying amount</w:t>
            </w:r>
          </w:p>
        </w:tc>
        <w:tc>
          <w:tcPr>
            <w:tcW w:w="10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58,674</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71,089</w:t>
            </w:r>
          </w:p>
        </w:tc>
      </w:tr>
      <w:tr>
        <w:trPr>
          <w:trHeight w:val="382"/>
        </w:trPr>
        <w:tc>
          <w:tcPr>
            <w:tcW w:w="240" w:type="dxa"/>
            <w:vAlign w:val="bottom"/>
          </w:tcPr>
          <w:p>
            <w:pPr>
              <w:spacing w:after="0"/>
              <w:rPr>
                <w:sz w:val="20"/>
                <w:szCs w:val="20"/>
                <w:color w:val="auto"/>
              </w:rPr>
            </w:pPr>
            <w:r>
              <w:rPr>
                <w:rFonts w:ascii="Arial" w:cs="Arial" w:eastAsia="Arial" w:hAnsi="Arial"/>
                <w:sz w:val="16"/>
                <w:szCs w:val="16"/>
                <w:color w:val="auto"/>
              </w:rPr>
              <w:t>(ii)</w:t>
            </w:r>
          </w:p>
        </w:tc>
        <w:tc>
          <w:tcPr>
            <w:tcW w:w="7540" w:type="dxa"/>
            <w:vAlign w:val="bottom"/>
          </w:tcPr>
          <w:p>
            <w:pPr>
              <w:ind w:left="60"/>
              <w:spacing w:after="0"/>
              <w:rPr>
                <w:sz w:val="20"/>
                <w:szCs w:val="20"/>
                <w:color w:val="auto"/>
              </w:rPr>
            </w:pPr>
            <w:r>
              <w:rPr>
                <w:rFonts w:ascii="Arial" w:cs="Arial" w:eastAsia="Arial" w:hAnsi="Arial"/>
                <w:sz w:val="16"/>
                <w:szCs w:val="16"/>
                <w:color w:val="auto"/>
              </w:rPr>
              <w:t>Brand name –</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7"/>
        </w:trPr>
        <w:tc>
          <w:tcPr>
            <w:tcW w:w="2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This item consists of the following:</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1"/>
        </w:trPr>
        <w:tc>
          <w:tcPr>
            <w:tcW w:w="2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r>
      <w:tr>
        <w:trPr>
          <w:trHeight w:val="216"/>
        </w:trPr>
        <w:tc>
          <w:tcPr>
            <w:tcW w:w="2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6"/>
                <w:szCs w:val="16"/>
                <w:b w:val="1"/>
                <w:bCs w:val="1"/>
                <w:color w:val="auto"/>
              </w:rPr>
              <w:t>S/(000)</w:t>
            </w:r>
          </w:p>
        </w:tc>
      </w:tr>
      <w:tr>
        <w:trPr>
          <w:trHeight w:val="310"/>
        </w:trPr>
        <w:tc>
          <w:tcPr>
            <w:tcW w:w="2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MiBanco</w:t>
            </w:r>
          </w:p>
        </w:tc>
        <w:tc>
          <w:tcPr>
            <w:tcW w:w="1080" w:type="dxa"/>
            <w:vAlign w:val="bottom"/>
          </w:tcPr>
          <w:p>
            <w:pPr>
              <w:jc w:val="right"/>
              <w:spacing w:after="0"/>
              <w:rPr>
                <w:sz w:val="20"/>
                <w:szCs w:val="20"/>
                <w:color w:val="auto"/>
              </w:rPr>
            </w:pPr>
            <w:r>
              <w:rPr>
                <w:rFonts w:ascii="Arial" w:cs="Arial" w:eastAsia="Arial" w:hAnsi="Arial"/>
                <w:sz w:val="16"/>
                <w:szCs w:val="16"/>
                <w:color w:val="auto"/>
              </w:rPr>
              <w:t>105,244</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111,009</w:t>
            </w:r>
          </w:p>
        </w:tc>
      </w:tr>
      <w:tr>
        <w:trPr>
          <w:trHeight w:val="183"/>
        </w:trPr>
        <w:tc>
          <w:tcPr>
            <w:tcW w:w="240" w:type="dxa"/>
            <w:vAlign w:val="bottom"/>
          </w:tcPr>
          <w:p>
            <w:pPr>
              <w:spacing w:after="0"/>
              <w:rPr>
                <w:sz w:val="15"/>
                <w:szCs w:val="15"/>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Joinnus S.A.C.</w:t>
            </w:r>
          </w:p>
        </w:tc>
        <w:tc>
          <w:tcPr>
            <w:tcW w:w="1080" w:type="dxa"/>
            <w:vAlign w:val="bottom"/>
          </w:tcPr>
          <w:p>
            <w:pPr>
              <w:jc w:val="right"/>
              <w:spacing w:after="0"/>
              <w:rPr>
                <w:sz w:val="20"/>
                <w:szCs w:val="20"/>
                <w:color w:val="auto"/>
              </w:rPr>
            </w:pPr>
            <w:r>
              <w:rPr>
                <w:rFonts w:ascii="Arial" w:cs="Arial" w:eastAsia="Arial" w:hAnsi="Arial"/>
                <w:sz w:val="16"/>
                <w:szCs w:val="16"/>
                <w:color w:val="auto"/>
              </w:rPr>
              <w:t>3,457</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240" w:type="dxa"/>
            <w:vAlign w:val="bottom"/>
          </w:tcPr>
          <w:p>
            <w:pPr>
              <w:spacing w:after="0"/>
              <w:rPr>
                <w:sz w:val="17"/>
                <w:szCs w:val="17"/>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Compañía Incubadora de Soluciones Móviles S.A-Culqi</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r>
      <w:tr>
        <w:trPr>
          <w:trHeight w:val="180"/>
        </w:trPr>
        <w:tc>
          <w:tcPr>
            <w:tcW w:w="240" w:type="dxa"/>
            <w:vAlign w:val="bottom"/>
          </w:tcPr>
          <w:p>
            <w:pPr>
              <w:spacing w:after="0"/>
              <w:rPr>
                <w:sz w:val="15"/>
                <w:szCs w:val="15"/>
                <w:color w:val="auto"/>
              </w:rPr>
            </w:pPr>
          </w:p>
        </w:tc>
        <w:tc>
          <w:tcPr>
            <w:tcW w:w="754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Net carrying amount</w:t>
            </w:r>
          </w:p>
        </w:tc>
        <w:tc>
          <w:tcPr>
            <w:tcW w:w="10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109,006</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111,376</w:t>
            </w:r>
          </w:p>
        </w:tc>
      </w:tr>
      <w:tr>
        <w:trPr>
          <w:trHeight w:val="382"/>
        </w:trPr>
        <w:tc>
          <w:tcPr>
            <w:tcW w:w="7780" w:type="dxa"/>
            <w:vAlign w:val="bottom"/>
            <w:gridSpan w:val="2"/>
          </w:tcPr>
          <w:p>
            <w:pPr>
              <w:spacing w:after="0"/>
              <w:rPr>
                <w:sz w:val="20"/>
                <w:szCs w:val="20"/>
                <w:color w:val="auto"/>
              </w:rPr>
            </w:pPr>
            <w:r>
              <w:rPr>
                <w:rFonts w:ascii="Arial" w:cs="Arial" w:eastAsia="Arial" w:hAnsi="Arial"/>
                <w:sz w:val="16"/>
                <w:szCs w:val="16"/>
                <w:color w:val="auto"/>
              </w:rPr>
              <w:t>(iii) Fund management contract -</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7"/>
        </w:trPr>
        <w:tc>
          <w:tcPr>
            <w:tcW w:w="2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This item consists of the following:</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1"/>
        </w:trPr>
        <w:tc>
          <w:tcPr>
            <w:tcW w:w="2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r>
      <w:tr>
        <w:trPr>
          <w:trHeight w:val="216"/>
        </w:trPr>
        <w:tc>
          <w:tcPr>
            <w:tcW w:w="2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6"/>
                <w:szCs w:val="16"/>
                <w:b w:val="1"/>
                <w:bCs w:val="1"/>
                <w:color w:val="auto"/>
              </w:rPr>
              <w:t>S/(000)</w:t>
            </w:r>
          </w:p>
        </w:tc>
      </w:tr>
      <w:tr>
        <w:trPr>
          <w:trHeight w:val="310"/>
        </w:trPr>
        <w:tc>
          <w:tcPr>
            <w:tcW w:w="24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Credicorp Capital Holding Chile - Inversiones IMT</w:t>
            </w:r>
          </w:p>
        </w:tc>
        <w:tc>
          <w:tcPr>
            <w:tcW w:w="1080" w:type="dxa"/>
            <w:vAlign w:val="bottom"/>
          </w:tcPr>
          <w:p>
            <w:pPr>
              <w:jc w:val="right"/>
              <w:spacing w:after="0"/>
              <w:rPr>
                <w:sz w:val="20"/>
                <w:szCs w:val="20"/>
                <w:color w:val="auto"/>
              </w:rPr>
            </w:pPr>
            <w:r>
              <w:rPr>
                <w:rFonts w:ascii="Arial" w:cs="Arial" w:eastAsia="Arial" w:hAnsi="Arial"/>
                <w:sz w:val="16"/>
                <w:szCs w:val="16"/>
                <w:color w:val="auto"/>
              </w:rPr>
              <w:t>29,553</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30,495</w:t>
            </w:r>
          </w:p>
        </w:tc>
      </w:tr>
      <w:tr>
        <w:trPr>
          <w:trHeight w:val="183"/>
        </w:trPr>
        <w:tc>
          <w:tcPr>
            <w:tcW w:w="240" w:type="dxa"/>
            <w:vAlign w:val="bottom"/>
          </w:tcPr>
          <w:p>
            <w:pPr>
              <w:spacing w:after="0"/>
              <w:rPr>
                <w:sz w:val="15"/>
                <w:szCs w:val="15"/>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Credicorp Capital Colombia</w:t>
            </w:r>
          </w:p>
        </w:tc>
        <w:tc>
          <w:tcPr>
            <w:tcW w:w="1080" w:type="dxa"/>
            <w:vAlign w:val="bottom"/>
          </w:tcPr>
          <w:p>
            <w:pPr>
              <w:jc w:val="right"/>
              <w:spacing w:after="0"/>
              <w:rPr>
                <w:sz w:val="20"/>
                <w:szCs w:val="20"/>
                <w:color w:val="auto"/>
              </w:rPr>
            </w:pPr>
            <w:r>
              <w:rPr>
                <w:rFonts w:ascii="Arial" w:cs="Arial" w:eastAsia="Arial" w:hAnsi="Arial"/>
                <w:sz w:val="16"/>
                <w:szCs w:val="16"/>
                <w:color w:val="auto"/>
              </w:rPr>
              <w:t>29,229</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27,620</w:t>
            </w:r>
          </w:p>
        </w:tc>
      </w:tr>
      <w:tr>
        <w:trPr>
          <w:trHeight w:val="200"/>
        </w:trPr>
        <w:tc>
          <w:tcPr>
            <w:tcW w:w="240" w:type="dxa"/>
            <w:vAlign w:val="bottom"/>
          </w:tcPr>
          <w:p>
            <w:pPr>
              <w:spacing w:after="0"/>
              <w:rPr>
                <w:sz w:val="17"/>
                <w:szCs w:val="17"/>
                <w:color w:val="auto"/>
              </w:rPr>
            </w:pPr>
          </w:p>
        </w:tc>
        <w:tc>
          <w:tcPr>
            <w:tcW w:w="7540" w:type="dxa"/>
            <w:vAlign w:val="bottom"/>
          </w:tcPr>
          <w:p>
            <w:pPr>
              <w:ind w:left="60"/>
              <w:spacing w:after="0"/>
              <w:rPr>
                <w:sz w:val="20"/>
                <w:szCs w:val="20"/>
                <w:color w:val="auto"/>
              </w:rPr>
            </w:pPr>
            <w:r>
              <w:rPr>
                <w:rFonts w:ascii="Arial" w:cs="Arial" w:eastAsia="Arial" w:hAnsi="Arial"/>
                <w:sz w:val="16"/>
                <w:szCs w:val="16"/>
                <w:color w:val="auto"/>
              </w:rPr>
              <w:t>Ultrasefinco S.A.</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w:t>
            </w:r>
          </w:p>
        </w:tc>
      </w:tr>
      <w:tr>
        <w:trPr>
          <w:trHeight w:val="180"/>
        </w:trPr>
        <w:tc>
          <w:tcPr>
            <w:tcW w:w="240" w:type="dxa"/>
            <w:vAlign w:val="bottom"/>
          </w:tcPr>
          <w:p>
            <w:pPr>
              <w:spacing w:after="0"/>
              <w:rPr>
                <w:sz w:val="15"/>
                <w:szCs w:val="15"/>
                <w:color w:val="auto"/>
              </w:rPr>
            </w:pPr>
          </w:p>
        </w:tc>
        <w:tc>
          <w:tcPr>
            <w:tcW w:w="754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Net carrying amount</w:t>
            </w:r>
          </w:p>
        </w:tc>
        <w:tc>
          <w:tcPr>
            <w:tcW w:w="10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61,342</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60,588</w:t>
            </w:r>
          </w:p>
        </w:tc>
      </w:tr>
    </w:tbl>
    <w:p>
      <w:pPr>
        <w:spacing w:after="0" w:line="166"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Management has assessed at each reporting date that there was no indication that customer relationships, brand name, fund management contract and software and developments may be impaired.</w:t>
      </w:r>
    </w:p>
    <w:p>
      <w:pPr>
        <w:spacing w:after="0" w:line="27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41275</wp:posOffset>
            </wp:positionV>
            <wp:extent cx="714565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080"/>
          </w:cols>
          <w:pgMar w:left="1200" w:top="124" w:right="619" w:bottom="1440" w:gutter="0" w:footer="0" w:header="0"/>
        </w:sectPr>
      </w:pPr>
    </w:p>
    <w:bookmarkStart w:id="93" w:name="page94"/>
    <w:bookmarkEnd w:id="93"/>
    <w:p>
      <w:pPr>
        <w:ind w:left="296" w:hanging="296"/>
        <w:spacing w:after="0"/>
        <w:tabs>
          <w:tab w:leader="none" w:pos="29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Goodwill -</w:t>
      </w:r>
    </w:p>
    <w:p>
      <w:pPr>
        <w:spacing w:after="0" w:line="182" w:lineRule="exact"/>
        <w:rPr>
          <w:rFonts w:ascii="Arial" w:cs="Arial" w:eastAsia="Arial" w:hAnsi="Arial"/>
          <w:sz w:val="16"/>
          <w:szCs w:val="16"/>
          <w:color w:val="auto"/>
        </w:rPr>
      </w:pPr>
    </w:p>
    <w:p>
      <w:pPr>
        <w:ind w:left="296" w:right="80"/>
        <w:spacing w:after="0" w:line="280" w:lineRule="auto"/>
        <w:rPr>
          <w:rFonts w:ascii="Arial" w:cs="Arial" w:eastAsia="Arial" w:hAnsi="Arial"/>
          <w:sz w:val="16"/>
          <w:szCs w:val="16"/>
          <w:color w:val="auto"/>
        </w:rPr>
      </w:pPr>
      <w:r>
        <w:rPr>
          <w:rFonts w:ascii="Arial" w:cs="Arial" w:eastAsia="Arial" w:hAnsi="Arial"/>
          <w:sz w:val="16"/>
          <w:szCs w:val="16"/>
          <w:color w:val="auto"/>
        </w:rPr>
        <w:t>Goodwill acquired through business combinations has been allocated to each subsidiary or groups of them, which are also identified as a CGU for the purposes of impairment testing, as follows:</w:t>
      </w:r>
    </w:p>
    <w:p>
      <w:pPr>
        <w:spacing w:after="0" w:line="120" w:lineRule="exact"/>
        <w:rPr>
          <w:sz w:val="20"/>
          <w:szCs w:val="20"/>
          <w:color w:val="auto"/>
        </w:rPr>
      </w:pPr>
    </w:p>
    <w:tbl>
      <w:tblPr>
        <w:tblLayout w:type="fixed"/>
        <w:tblInd w:w="296" w:type="dxa"/>
        <w:tblCellMar>
          <w:top w:w="0" w:type="dxa"/>
          <w:left w:w="0" w:type="dxa"/>
          <w:bottom w:w="0" w:type="dxa"/>
          <w:right w:w="0" w:type="dxa"/>
        </w:tblCellMar>
      </w:tblPr>
      <w:tr>
        <w:trPr>
          <w:trHeight w:val="200"/>
        </w:trPr>
        <w:tc>
          <w:tcPr>
            <w:tcW w:w="7760" w:type="dxa"/>
            <w:vAlign w:val="bottom"/>
          </w:tcPr>
          <w:p>
            <w:pPr>
              <w:spacing w:after="0"/>
              <w:rPr>
                <w:sz w:val="17"/>
                <w:szCs w:val="17"/>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r>
      <w:tr>
        <w:trPr>
          <w:trHeight w:val="159"/>
        </w:trPr>
        <w:tc>
          <w:tcPr>
            <w:tcW w:w="7760" w:type="dxa"/>
            <w:vAlign w:val="bottom"/>
          </w:tcPr>
          <w:p>
            <w:pPr>
              <w:spacing w:after="0"/>
              <w:rPr>
                <w:sz w:val="13"/>
                <w:szCs w:val="13"/>
                <w:color w:val="auto"/>
              </w:rPr>
            </w:pPr>
          </w:p>
        </w:tc>
        <w:tc>
          <w:tcPr>
            <w:tcW w:w="1120" w:type="dxa"/>
            <w:vAlign w:val="bottom"/>
          </w:tcPr>
          <w:p>
            <w:pPr>
              <w:ind w:left="60"/>
              <w:spacing w:after="0" w:line="159"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140" w:type="dxa"/>
            <w:vAlign w:val="bottom"/>
          </w:tcPr>
          <w:p>
            <w:pPr>
              <w:ind w:left="60"/>
              <w:spacing w:after="0" w:line="159" w:lineRule="exact"/>
              <w:rPr>
                <w:sz w:val="20"/>
                <w:szCs w:val="20"/>
                <w:color w:val="auto"/>
              </w:rPr>
            </w:pPr>
            <w:r>
              <w:rPr>
                <w:rFonts w:ascii="Arial" w:cs="Arial" w:eastAsia="Arial" w:hAnsi="Arial"/>
                <w:sz w:val="16"/>
                <w:szCs w:val="16"/>
                <w:b w:val="1"/>
                <w:bCs w:val="1"/>
                <w:color w:val="auto"/>
              </w:rPr>
              <w:t>S/(000)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MiBanco - Edyficar Perú</w:t>
            </w:r>
          </w:p>
        </w:tc>
        <w:tc>
          <w:tcPr>
            <w:tcW w:w="1120" w:type="dxa"/>
            <w:vAlign w:val="bottom"/>
          </w:tcPr>
          <w:p>
            <w:pPr>
              <w:jc w:val="right"/>
              <w:spacing w:after="0"/>
              <w:rPr>
                <w:sz w:val="20"/>
                <w:szCs w:val="20"/>
                <w:color w:val="auto"/>
              </w:rPr>
            </w:pPr>
            <w:r>
              <w:rPr>
                <w:rFonts w:ascii="Arial" w:cs="Arial" w:eastAsia="Arial" w:hAnsi="Arial"/>
                <w:sz w:val="16"/>
                <w:szCs w:val="16"/>
                <w:color w:val="auto"/>
              </w:rPr>
              <w:t>273,694</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273,694</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Prima AFP - AFP Unión Vida</w:t>
            </w:r>
          </w:p>
        </w:tc>
        <w:tc>
          <w:tcPr>
            <w:tcW w:w="1120" w:type="dxa"/>
            <w:vAlign w:val="bottom"/>
          </w:tcPr>
          <w:p>
            <w:pPr>
              <w:jc w:val="right"/>
              <w:spacing w:after="0"/>
              <w:rPr>
                <w:sz w:val="20"/>
                <w:szCs w:val="20"/>
                <w:color w:val="auto"/>
              </w:rPr>
            </w:pPr>
            <w:r>
              <w:rPr>
                <w:rFonts w:ascii="Arial" w:cs="Arial" w:eastAsia="Arial" w:hAnsi="Arial"/>
                <w:sz w:val="16"/>
                <w:szCs w:val="16"/>
                <w:color w:val="auto"/>
              </w:rPr>
              <w:t>124,641</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124,641</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Credicorp Capital Colombia S.A</w:t>
            </w:r>
          </w:p>
        </w:tc>
        <w:tc>
          <w:tcPr>
            <w:tcW w:w="1120" w:type="dxa"/>
            <w:vAlign w:val="bottom"/>
          </w:tcPr>
          <w:p>
            <w:pPr>
              <w:jc w:val="right"/>
              <w:spacing w:after="0"/>
              <w:rPr>
                <w:sz w:val="20"/>
                <w:szCs w:val="20"/>
                <w:color w:val="auto"/>
              </w:rPr>
            </w:pPr>
            <w:r>
              <w:rPr>
                <w:rFonts w:ascii="Arial" w:cs="Arial" w:eastAsia="Arial" w:hAnsi="Arial"/>
                <w:sz w:val="16"/>
                <w:szCs w:val="16"/>
                <w:color w:val="auto"/>
              </w:rPr>
              <w:t>111,799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92,188</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Banco de Crédito del Perú</w:t>
            </w:r>
          </w:p>
        </w:tc>
        <w:tc>
          <w:tcPr>
            <w:tcW w:w="1120" w:type="dxa"/>
            <w:vAlign w:val="bottom"/>
          </w:tcPr>
          <w:p>
            <w:pPr>
              <w:jc w:val="right"/>
              <w:spacing w:after="0"/>
              <w:rPr>
                <w:sz w:val="20"/>
                <w:szCs w:val="20"/>
                <w:color w:val="auto"/>
              </w:rPr>
            </w:pPr>
            <w:r>
              <w:rPr>
                <w:rFonts w:ascii="Arial" w:cs="Arial" w:eastAsia="Arial" w:hAnsi="Arial"/>
                <w:sz w:val="16"/>
                <w:szCs w:val="16"/>
                <w:color w:val="auto"/>
              </w:rPr>
              <w:t>52,359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52,359</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MiBanco Colombia</w:t>
            </w:r>
          </w:p>
        </w:tc>
        <w:tc>
          <w:tcPr>
            <w:tcW w:w="1120" w:type="dxa"/>
            <w:vAlign w:val="bottom"/>
          </w:tcPr>
          <w:p>
            <w:pPr>
              <w:jc w:val="right"/>
              <w:spacing w:after="0"/>
              <w:rPr>
                <w:sz w:val="20"/>
                <w:szCs w:val="20"/>
                <w:color w:val="auto"/>
              </w:rPr>
            </w:pPr>
            <w:r>
              <w:rPr>
                <w:rFonts w:ascii="Arial" w:cs="Arial" w:eastAsia="Arial" w:hAnsi="Arial"/>
                <w:sz w:val="16"/>
                <w:szCs w:val="16"/>
                <w:color w:val="auto"/>
              </w:rPr>
              <w:t>49,629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99,979</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Pacífico Seguros</w:t>
            </w:r>
          </w:p>
        </w:tc>
        <w:tc>
          <w:tcPr>
            <w:tcW w:w="1120" w:type="dxa"/>
            <w:vAlign w:val="bottom"/>
          </w:tcPr>
          <w:p>
            <w:pPr>
              <w:jc w:val="right"/>
              <w:spacing w:after="0"/>
              <w:rPr>
                <w:sz w:val="20"/>
                <w:szCs w:val="20"/>
                <w:color w:val="auto"/>
              </w:rPr>
            </w:pPr>
            <w:r>
              <w:rPr>
                <w:rFonts w:ascii="Arial" w:cs="Arial" w:eastAsia="Arial" w:hAnsi="Arial"/>
                <w:sz w:val="16"/>
                <w:szCs w:val="16"/>
                <w:color w:val="auto"/>
              </w:rPr>
              <w:t>36,354</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36,354</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Joinnus S.A.C</w:t>
            </w:r>
          </w:p>
        </w:tc>
        <w:tc>
          <w:tcPr>
            <w:tcW w:w="1120" w:type="dxa"/>
            <w:vAlign w:val="bottom"/>
          </w:tcPr>
          <w:p>
            <w:pPr>
              <w:jc w:val="right"/>
              <w:spacing w:after="0"/>
              <w:rPr>
                <w:sz w:val="20"/>
                <w:szCs w:val="20"/>
                <w:color w:val="auto"/>
              </w:rPr>
            </w:pPr>
            <w:r>
              <w:rPr>
                <w:rFonts w:ascii="Arial" w:cs="Arial" w:eastAsia="Arial" w:hAnsi="Arial"/>
                <w:sz w:val="16"/>
                <w:szCs w:val="16"/>
                <w:color w:val="auto"/>
              </w:rPr>
              <w:t>35,700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Atlantic Security Holding Corporation</w:t>
            </w:r>
          </w:p>
        </w:tc>
        <w:tc>
          <w:tcPr>
            <w:tcW w:w="1120" w:type="dxa"/>
            <w:vAlign w:val="bottom"/>
          </w:tcPr>
          <w:p>
            <w:pPr>
              <w:jc w:val="right"/>
              <w:spacing w:after="0"/>
              <w:rPr>
                <w:sz w:val="20"/>
                <w:szCs w:val="20"/>
                <w:color w:val="auto"/>
              </w:rPr>
            </w:pPr>
            <w:r>
              <w:rPr>
                <w:rFonts w:ascii="Arial" w:cs="Arial" w:eastAsia="Arial" w:hAnsi="Arial"/>
                <w:sz w:val="16"/>
                <w:szCs w:val="16"/>
                <w:color w:val="auto"/>
              </w:rPr>
              <w:t>29,795</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29,795</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Tenpo SpA</w:t>
            </w:r>
          </w:p>
        </w:tc>
        <w:tc>
          <w:tcPr>
            <w:tcW w:w="1120" w:type="dxa"/>
            <w:vAlign w:val="bottom"/>
          </w:tcPr>
          <w:p>
            <w:pPr>
              <w:jc w:val="right"/>
              <w:spacing w:after="0"/>
              <w:rPr>
                <w:sz w:val="20"/>
                <w:szCs w:val="20"/>
                <w:color w:val="auto"/>
              </w:rPr>
            </w:pPr>
            <w:r>
              <w:rPr>
                <w:rFonts w:ascii="Arial" w:cs="Arial" w:eastAsia="Arial" w:hAnsi="Arial"/>
                <w:sz w:val="16"/>
                <w:szCs w:val="16"/>
                <w:color w:val="auto"/>
              </w:rPr>
              <w:t>22,697</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23,441</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Monokera S.A.S</w:t>
            </w:r>
          </w:p>
        </w:tc>
        <w:tc>
          <w:tcPr>
            <w:tcW w:w="1120" w:type="dxa"/>
            <w:vAlign w:val="bottom"/>
          </w:tcPr>
          <w:p>
            <w:pPr>
              <w:jc w:val="right"/>
              <w:spacing w:after="0"/>
              <w:rPr>
                <w:sz w:val="20"/>
                <w:szCs w:val="20"/>
                <w:color w:val="auto"/>
              </w:rPr>
            </w:pPr>
            <w:r>
              <w:rPr>
                <w:rFonts w:ascii="Arial" w:cs="Arial" w:eastAsia="Arial" w:hAnsi="Arial"/>
                <w:sz w:val="16"/>
                <w:szCs w:val="16"/>
                <w:color w:val="auto"/>
              </w:rPr>
              <w:t>22,656</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Wally POS S.A.C</w:t>
            </w:r>
          </w:p>
        </w:tc>
        <w:tc>
          <w:tcPr>
            <w:tcW w:w="1120" w:type="dxa"/>
            <w:vAlign w:val="bottom"/>
          </w:tcPr>
          <w:p>
            <w:pPr>
              <w:jc w:val="right"/>
              <w:spacing w:after="0"/>
              <w:rPr>
                <w:sz w:val="20"/>
                <w:szCs w:val="20"/>
                <w:color w:val="auto"/>
              </w:rPr>
            </w:pPr>
            <w:r>
              <w:rPr>
                <w:rFonts w:ascii="Arial" w:cs="Arial" w:eastAsia="Arial" w:hAnsi="Arial"/>
                <w:sz w:val="16"/>
                <w:szCs w:val="16"/>
                <w:color w:val="auto"/>
              </w:rPr>
              <w:t>21,046</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24,214</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Tenpo Technologie SpA</w:t>
            </w:r>
          </w:p>
        </w:tc>
        <w:tc>
          <w:tcPr>
            <w:tcW w:w="1120" w:type="dxa"/>
            <w:vAlign w:val="bottom"/>
          </w:tcPr>
          <w:p>
            <w:pPr>
              <w:jc w:val="right"/>
              <w:spacing w:after="0"/>
              <w:rPr>
                <w:sz w:val="20"/>
                <w:szCs w:val="20"/>
                <w:color w:val="auto"/>
              </w:rPr>
            </w:pPr>
            <w:r>
              <w:rPr>
                <w:rFonts w:ascii="Arial" w:cs="Arial" w:eastAsia="Arial" w:hAnsi="Arial"/>
                <w:sz w:val="16"/>
                <w:szCs w:val="16"/>
                <w:color w:val="auto"/>
              </w:rPr>
              <w:t>11,719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13,155</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Sami Shop S.A.C</w:t>
            </w:r>
          </w:p>
        </w:tc>
        <w:tc>
          <w:tcPr>
            <w:tcW w:w="112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Compañía Incubadora de Soluciones Móviles S.A-Culqi</w:t>
            </w:r>
          </w:p>
        </w:tc>
        <w:tc>
          <w:tcPr>
            <w:tcW w:w="1120" w:type="dxa"/>
            <w:vAlign w:val="bottom"/>
          </w:tcPr>
          <w:p>
            <w:pPr>
              <w:jc w:val="right"/>
              <w:spacing w:after="0"/>
              <w:rPr>
                <w:sz w:val="20"/>
                <w:szCs w:val="20"/>
                <w:color w:val="auto"/>
              </w:rPr>
            </w:pPr>
            <w:r>
              <w:rPr>
                <w:rFonts w:ascii="Arial" w:cs="Arial" w:eastAsia="Arial" w:hAnsi="Arial"/>
                <w:sz w:val="16"/>
                <w:szCs w:val="16"/>
                <w:color w:val="auto"/>
              </w:rPr>
              <w:t>2,297</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2,297</w:t>
            </w:r>
          </w:p>
        </w:tc>
      </w:tr>
      <w:tr>
        <w:trPr>
          <w:trHeight w:val="200"/>
        </w:trPr>
        <w:tc>
          <w:tcPr>
            <w:tcW w:w="7760" w:type="dxa"/>
            <w:vAlign w:val="bottom"/>
          </w:tcPr>
          <w:p>
            <w:pPr>
              <w:spacing w:after="0"/>
              <w:rPr>
                <w:sz w:val="20"/>
                <w:szCs w:val="20"/>
                <w:color w:val="auto"/>
              </w:rPr>
            </w:pPr>
            <w:r>
              <w:rPr>
                <w:rFonts w:ascii="Arial" w:cs="Arial" w:eastAsia="Arial" w:hAnsi="Arial"/>
                <w:sz w:val="16"/>
                <w:szCs w:val="16"/>
                <w:color w:val="auto"/>
              </w:rPr>
              <w:t>Crediseguro Seguros Personales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180"/>
        </w:trPr>
        <w:tc>
          <w:tcPr>
            <w:tcW w:w="7760" w:type="dxa"/>
            <w:vAlign w:val="bottom"/>
          </w:tcPr>
          <w:p>
            <w:pPr>
              <w:spacing w:after="0" w:line="175" w:lineRule="exact"/>
              <w:rPr>
                <w:sz w:val="20"/>
                <w:szCs w:val="20"/>
                <w:color w:val="auto"/>
              </w:rPr>
            </w:pPr>
            <w:r>
              <w:rPr>
                <w:rFonts w:ascii="Arial" w:cs="Arial" w:eastAsia="Arial" w:hAnsi="Arial"/>
                <w:sz w:val="16"/>
                <w:szCs w:val="16"/>
                <w:b w:val="1"/>
                <w:bCs w:val="1"/>
                <w:color w:val="auto"/>
              </w:rPr>
              <w:t>Net carrying amount</w:t>
            </w: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798,482</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772,213</w:t>
            </w:r>
          </w:p>
        </w:tc>
      </w:tr>
    </w:tbl>
    <w:p>
      <w:pPr>
        <w:spacing w:after="0" w:line="166" w:lineRule="exact"/>
        <w:rPr>
          <w:sz w:val="20"/>
          <w:szCs w:val="20"/>
          <w:color w:val="auto"/>
        </w:rPr>
      </w:pPr>
    </w:p>
    <w:p>
      <w:pPr>
        <w:ind w:left="296" w:right="700"/>
        <w:spacing w:after="0" w:line="280" w:lineRule="auto"/>
        <w:rPr>
          <w:sz w:val="20"/>
          <w:szCs w:val="20"/>
          <w:color w:val="auto"/>
        </w:rPr>
      </w:pPr>
      <w:r>
        <w:rPr>
          <w:rFonts w:ascii="Arial" w:cs="Arial" w:eastAsia="Arial" w:hAnsi="Arial"/>
          <w:sz w:val="16"/>
          <w:szCs w:val="16"/>
          <w:color w:val="auto"/>
        </w:rPr>
        <w:t>The recoverable amount of all of the CGUs has been determined based in the present value of the discounted cash flows or dividends determined principally with assumptions of revenue and expenses projection (based on efficiency ratios).</w:t>
      </w:r>
    </w:p>
    <w:p>
      <w:pPr>
        <w:spacing w:after="0" w:line="120" w:lineRule="exact"/>
        <w:rPr>
          <w:sz w:val="20"/>
          <w:szCs w:val="20"/>
          <w:color w:val="auto"/>
        </w:rPr>
      </w:pPr>
    </w:p>
    <w:p>
      <w:pPr>
        <w:ind w:left="296"/>
        <w:spacing w:after="0" w:line="259" w:lineRule="auto"/>
        <w:rPr>
          <w:sz w:val="20"/>
          <w:szCs w:val="20"/>
          <w:color w:val="auto"/>
        </w:rPr>
      </w:pPr>
      <w:r>
        <w:rPr>
          <w:rFonts w:ascii="Arial" w:cs="Arial" w:eastAsia="Arial" w:hAnsi="Arial"/>
          <w:sz w:val="16"/>
          <w:szCs w:val="16"/>
          <w:color w:val="auto"/>
        </w:rPr>
        <w:t>Goodwill balance of Credicorp Capital Colombia S.A, Mibanco Colombia, Tenpo SPA and Tenpo Technologie SpA. are affected by the volatility effect of the local exchange rate currency of the country in which they operate against the exchange rate of functional currency of Credicorp Ltd. and subsidiaries.</w:t>
      </w:r>
    </w:p>
    <w:p>
      <w:pPr>
        <w:spacing w:after="0" w:line="137" w:lineRule="exact"/>
        <w:rPr>
          <w:sz w:val="20"/>
          <w:szCs w:val="20"/>
          <w:color w:val="auto"/>
        </w:rPr>
      </w:pPr>
    </w:p>
    <w:p>
      <w:pPr>
        <w:ind w:left="296" w:right="60"/>
        <w:spacing w:after="0" w:line="249" w:lineRule="auto"/>
        <w:rPr>
          <w:sz w:val="20"/>
          <w:szCs w:val="20"/>
          <w:color w:val="auto"/>
        </w:rPr>
      </w:pPr>
      <w:r>
        <w:rPr>
          <w:rFonts w:ascii="Arial" w:cs="Arial" w:eastAsia="Arial" w:hAnsi="Arial"/>
          <w:sz w:val="16"/>
          <w:szCs w:val="16"/>
          <w:color w:val="auto"/>
        </w:rPr>
        <w:t>As of December 31, 2023, the Group recorded an impairment of MiBanco Colombia (formerly Bancompartir S.A) for $75,199 million Colombian peso equivalent S/64.1 million and S/7.8 million of minority interest. To determine this impairment, a fair value of $438,259 million Colombian peso, equivalent to US$113.2 million, and a book value of $513,458 million Colombian peso, equivalent to US$132.5 million, were estimated. For the estimation, a discount rate of 15.1 percent and a perpetual growth rate of 6.8 percent were used as assumptions. During 2022, no impairment losses were recorded.</w:t>
      </w:r>
    </w:p>
    <w:p>
      <w:pPr>
        <w:spacing w:after="0" w:line="304" w:lineRule="exact"/>
        <w:rPr>
          <w:sz w:val="20"/>
          <w:szCs w:val="20"/>
          <w:color w:val="auto"/>
        </w:rPr>
      </w:pPr>
    </w:p>
    <w:p>
      <w:pPr>
        <w:ind w:left="4936"/>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36"/>
          </w:cols>
          <w:pgMar w:left="904" w:top="306" w:right="359" w:bottom="1440" w:gutter="0" w:footer="0" w:header="0"/>
        </w:sectPr>
      </w:pPr>
    </w:p>
    <w:bookmarkStart w:id="94" w:name="page95"/>
    <w:bookmarkEnd w:id="94"/>
    <w:p>
      <w:pPr>
        <w:ind w:left="3"/>
        <w:spacing w:after="0"/>
        <w:rPr>
          <w:sz w:val="20"/>
          <w:szCs w:val="20"/>
          <w:color w:val="auto"/>
        </w:rPr>
      </w:pPr>
      <w:r>
        <w:rPr>
          <w:rFonts w:ascii="Arial" w:cs="Arial" w:eastAsia="Arial" w:hAnsi="Arial"/>
          <w:sz w:val="16"/>
          <w:szCs w:val="16"/>
          <w:color w:val="auto"/>
        </w:rPr>
        <w:t>The following table summarizes the key assumptions used for the calculation of fair value less selling costs in 2023 and 2022:</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200"/>
        </w:trPr>
        <w:tc>
          <w:tcPr>
            <w:tcW w:w="7760" w:type="dxa"/>
            <w:vAlign w:val="bottom"/>
          </w:tcPr>
          <w:p>
            <w:pPr>
              <w:spacing w:after="0"/>
              <w:rPr>
                <w:sz w:val="17"/>
                <w:szCs w:val="17"/>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59"/>
        </w:trPr>
        <w:tc>
          <w:tcPr>
            <w:tcW w:w="7760" w:type="dxa"/>
            <w:vAlign w:val="bottom"/>
          </w:tcPr>
          <w:p>
            <w:pPr>
              <w:spacing w:after="0"/>
              <w:rPr>
                <w:sz w:val="13"/>
                <w:szCs w:val="13"/>
                <w:color w:val="auto"/>
              </w:rPr>
            </w:pPr>
          </w:p>
        </w:tc>
        <w:tc>
          <w:tcPr>
            <w:tcW w:w="1220" w:type="dxa"/>
            <w:vAlign w:val="bottom"/>
            <w:gridSpan w:val="2"/>
          </w:tcPr>
          <w:p>
            <w:pPr>
              <w:ind w:left="60"/>
              <w:spacing w:after="0" w:line="159" w:lineRule="exact"/>
              <w:rPr>
                <w:sz w:val="20"/>
                <w:szCs w:val="20"/>
                <w:color w:val="auto"/>
              </w:rPr>
            </w:pPr>
            <w:r>
              <w:rPr>
                <w:rFonts w:ascii="Arial" w:cs="Arial" w:eastAsia="Arial" w:hAnsi="Arial"/>
                <w:sz w:val="16"/>
                <w:szCs w:val="16"/>
                <w:b w:val="1"/>
                <w:bCs w:val="1"/>
                <w:color w:val="auto"/>
              </w:rPr>
              <w:t>Terminal</w:t>
            </w:r>
          </w:p>
        </w:tc>
        <w:tc>
          <w:tcPr>
            <w:tcW w:w="1140" w:type="dxa"/>
            <w:vAlign w:val="bottom"/>
          </w:tcPr>
          <w:p>
            <w:pPr>
              <w:spacing w:after="0"/>
              <w:rPr>
                <w:sz w:val="13"/>
                <w:szCs w:val="13"/>
                <w:color w:val="auto"/>
              </w:rPr>
            </w:pPr>
          </w:p>
        </w:tc>
      </w:tr>
      <w:tr>
        <w:trPr>
          <w:trHeight w:val="183"/>
        </w:trPr>
        <w:tc>
          <w:tcPr>
            <w:tcW w:w="77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value growth</w:t>
            </w:r>
          </w:p>
        </w:tc>
        <w:tc>
          <w:tcPr>
            <w:tcW w:w="1140" w:type="dxa"/>
            <w:vAlign w:val="bottom"/>
          </w:tcPr>
          <w:p>
            <w:pPr>
              <w:ind w:left="60"/>
              <w:spacing w:after="0"/>
              <w:rPr>
                <w:sz w:val="20"/>
                <w:szCs w:val="20"/>
                <w:color w:val="auto"/>
              </w:rPr>
            </w:pPr>
            <w:r>
              <w:rPr>
                <w:rFonts w:ascii="Arial" w:cs="Arial" w:eastAsia="Arial" w:hAnsi="Arial"/>
                <w:sz w:val="16"/>
                <w:szCs w:val="16"/>
                <w:b w:val="1"/>
                <w:bCs w:val="1"/>
                <w:color w:val="auto"/>
              </w:rPr>
              <w:t>Discount</w:t>
            </w:r>
          </w:p>
        </w:tc>
      </w:tr>
      <w:tr>
        <w:trPr>
          <w:trHeight w:val="200"/>
        </w:trPr>
        <w:tc>
          <w:tcPr>
            <w:tcW w:w="776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rate</w:t>
            </w:r>
          </w:p>
        </w:tc>
        <w:tc>
          <w:tcPr>
            <w:tcW w:w="1140" w:type="dxa"/>
            <w:vAlign w:val="bottom"/>
          </w:tcPr>
          <w:p>
            <w:pPr>
              <w:ind w:left="60"/>
              <w:spacing w:after="0"/>
              <w:rPr>
                <w:sz w:val="20"/>
                <w:szCs w:val="20"/>
                <w:color w:val="auto"/>
              </w:rPr>
            </w:pPr>
            <w:r>
              <w:rPr>
                <w:rFonts w:ascii="Arial" w:cs="Arial" w:eastAsia="Arial" w:hAnsi="Arial"/>
                <w:sz w:val="16"/>
                <w:szCs w:val="16"/>
                <w:b w:val="1"/>
                <w:bCs w:val="1"/>
                <w:color w:val="auto"/>
              </w:rPr>
              <w:t>rate</w:t>
            </w:r>
          </w:p>
        </w:tc>
      </w:tr>
      <w:tr>
        <w:trPr>
          <w:trHeight w:val="159"/>
        </w:trPr>
        <w:tc>
          <w:tcPr>
            <w:tcW w:w="7760" w:type="dxa"/>
            <w:vAlign w:val="bottom"/>
          </w:tcPr>
          <w:p>
            <w:pPr>
              <w:spacing w:after="0"/>
              <w:rPr>
                <w:sz w:val="13"/>
                <w:szCs w:val="13"/>
                <w:color w:val="auto"/>
              </w:rPr>
            </w:pPr>
          </w:p>
        </w:tc>
        <w:tc>
          <w:tcPr>
            <w:tcW w:w="1120" w:type="dxa"/>
            <w:vAlign w:val="bottom"/>
            <w:tcBorders>
              <w:top w:val="single" w:sz="8" w:color="auto"/>
            </w:tcBorders>
          </w:tcPr>
          <w:p>
            <w:pPr>
              <w:jc w:val="right"/>
              <w:ind w:right="399"/>
              <w:spacing w:after="0" w:line="15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140" w:type="dxa"/>
            <w:vAlign w:val="bottom"/>
            <w:tcBorders>
              <w:top w:val="single" w:sz="8" w:color="auto"/>
            </w:tcBorders>
          </w:tcPr>
          <w:p>
            <w:pPr>
              <w:jc w:val="right"/>
              <w:ind w:right="419"/>
              <w:spacing w:after="0" w:line="159" w:lineRule="exact"/>
              <w:rPr>
                <w:sz w:val="20"/>
                <w:szCs w:val="20"/>
                <w:color w:val="auto"/>
              </w:rPr>
            </w:pPr>
            <w:r>
              <w:rPr>
                <w:rFonts w:ascii="Arial" w:cs="Arial" w:eastAsia="Arial" w:hAnsi="Arial"/>
                <w:sz w:val="16"/>
                <w:szCs w:val="16"/>
                <w:color w:val="auto"/>
              </w:rPr>
              <w:t>%</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Mibanco - Edyficar Perú</w:t>
            </w:r>
          </w:p>
        </w:tc>
        <w:tc>
          <w:tcPr>
            <w:tcW w:w="112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Prima AFP - AFP Unión Vida</w:t>
            </w:r>
          </w:p>
        </w:tc>
        <w:tc>
          <w:tcPr>
            <w:tcW w:w="112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Mibanco Colombia</w:t>
            </w:r>
          </w:p>
        </w:tc>
        <w:tc>
          <w:tcPr>
            <w:tcW w:w="112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Credicorp Capital Colombia S.A</w:t>
            </w:r>
          </w:p>
        </w:tc>
        <w:tc>
          <w:tcPr>
            <w:tcW w:w="112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Banco de Crédito del Perú</w:t>
            </w:r>
          </w:p>
        </w:tc>
        <w:tc>
          <w:tcPr>
            <w:tcW w:w="112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Pacífico Seguros (*)</w:t>
            </w:r>
          </w:p>
        </w:tc>
        <w:tc>
          <w:tcPr>
            <w:tcW w:w="112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 y 13.9</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Atlantic Security Holding Corporation</w:t>
            </w:r>
          </w:p>
        </w:tc>
        <w:tc>
          <w:tcPr>
            <w:tcW w:w="112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Tenpo SpA</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Compañía Incubadora de Soluciones Móviles S.A-Culqi</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Wally POS S.A.C.</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Sami Shop S.A.C.</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351"/>
        </w:trPr>
        <w:tc>
          <w:tcPr>
            <w:tcW w:w="7760" w:type="dxa"/>
            <w:vAlign w:val="bottom"/>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9"/>
        </w:trPr>
        <w:tc>
          <w:tcPr>
            <w:tcW w:w="7760" w:type="dxa"/>
            <w:vAlign w:val="bottom"/>
          </w:tcPr>
          <w:p>
            <w:pPr>
              <w:spacing w:after="0"/>
              <w:rPr>
                <w:sz w:val="13"/>
                <w:szCs w:val="13"/>
                <w:color w:val="auto"/>
              </w:rPr>
            </w:pPr>
          </w:p>
        </w:tc>
        <w:tc>
          <w:tcPr>
            <w:tcW w:w="1220" w:type="dxa"/>
            <w:vAlign w:val="bottom"/>
            <w:gridSpan w:val="2"/>
          </w:tcPr>
          <w:p>
            <w:pPr>
              <w:ind w:left="60"/>
              <w:spacing w:after="0" w:line="159" w:lineRule="exact"/>
              <w:rPr>
                <w:sz w:val="20"/>
                <w:szCs w:val="20"/>
                <w:color w:val="auto"/>
              </w:rPr>
            </w:pPr>
            <w:r>
              <w:rPr>
                <w:rFonts w:ascii="Arial" w:cs="Arial" w:eastAsia="Arial" w:hAnsi="Arial"/>
                <w:sz w:val="16"/>
                <w:szCs w:val="16"/>
                <w:b w:val="1"/>
                <w:bCs w:val="1"/>
                <w:color w:val="auto"/>
              </w:rPr>
              <w:t>Terminal</w:t>
            </w:r>
          </w:p>
        </w:tc>
        <w:tc>
          <w:tcPr>
            <w:tcW w:w="1140" w:type="dxa"/>
            <w:vAlign w:val="bottom"/>
          </w:tcPr>
          <w:p>
            <w:pPr>
              <w:spacing w:after="0"/>
              <w:rPr>
                <w:sz w:val="13"/>
                <w:szCs w:val="13"/>
                <w:color w:val="auto"/>
              </w:rPr>
            </w:pPr>
          </w:p>
        </w:tc>
      </w:tr>
      <w:tr>
        <w:trPr>
          <w:trHeight w:val="183"/>
        </w:trPr>
        <w:tc>
          <w:tcPr>
            <w:tcW w:w="77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value growth</w:t>
            </w:r>
          </w:p>
        </w:tc>
        <w:tc>
          <w:tcPr>
            <w:tcW w:w="1140" w:type="dxa"/>
            <w:vAlign w:val="bottom"/>
          </w:tcPr>
          <w:p>
            <w:pPr>
              <w:ind w:left="60"/>
              <w:spacing w:after="0"/>
              <w:rPr>
                <w:sz w:val="20"/>
                <w:szCs w:val="20"/>
                <w:color w:val="auto"/>
              </w:rPr>
            </w:pPr>
            <w:r>
              <w:rPr>
                <w:rFonts w:ascii="Arial" w:cs="Arial" w:eastAsia="Arial" w:hAnsi="Arial"/>
                <w:sz w:val="16"/>
                <w:szCs w:val="16"/>
                <w:b w:val="1"/>
                <w:bCs w:val="1"/>
                <w:color w:val="auto"/>
              </w:rPr>
              <w:t>Discount</w:t>
            </w:r>
          </w:p>
        </w:tc>
      </w:tr>
      <w:tr>
        <w:trPr>
          <w:trHeight w:val="200"/>
        </w:trPr>
        <w:tc>
          <w:tcPr>
            <w:tcW w:w="776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rate</w:t>
            </w:r>
          </w:p>
        </w:tc>
        <w:tc>
          <w:tcPr>
            <w:tcW w:w="1140" w:type="dxa"/>
            <w:vAlign w:val="bottom"/>
          </w:tcPr>
          <w:p>
            <w:pPr>
              <w:ind w:left="60"/>
              <w:spacing w:after="0"/>
              <w:rPr>
                <w:sz w:val="20"/>
                <w:szCs w:val="20"/>
                <w:color w:val="auto"/>
              </w:rPr>
            </w:pPr>
            <w:r>
              <w:rPr>
                <w:rFonts w:ascii="Arial" w:cs="Arial" w:eastAsia="Arial" w:hAnsi="Arial"/>
                <w:sz w:val="16"/>
                <w:szCs w:val="16"/>
                <w:b w:val="1"/>
                <w:bCs w:val="1"/>
                <w:color w:val="auto"/>
              </w:rPr>
              <w:t>rate</w:t>
            </w:r>
          </w:p>
        </w:tc>
      </w:tr>
      <w:tr>
        <w:trPr>
          <w:trHeight w:val="159"/>
        </w:trPr>
        <w:tc>
          <w:tcPr>
            <w:tcW w:w="7760" w:type="dxa"/>
            <w:vAlign w:val="bottom"/>
          </w:tcPr>
          <w:p>
            <w:pPr>
              <w:spacing w:after="0"/>
              <w:rPr>
                <w:sz w:val="13"/>
                <w:szCs w:val="13"/>
                <w:color w:val="auto"/>
              </w:rPr>
            </w:pPr>
          </w:p>
        </w:tc>
        <w:tc>
          <w:tcPr>
            <w:tcW w:w="1120" w:type="dxa"/>
            <w:vAlign w:val="bottom"/>
            <w:tcBorders>
              <w:top w:val="single" w:sz="8" w:color="auto"/>
            </w:tcBorders>
          </w:tcPr>
          <w:p>
            <w:pPr>
              <w:jc w:val="right"/>
              <w:ind w:right="399"/>
              <w:spacing w:after="0" w:line="15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140" w:type="dxa"/>
            <w:vAlign w:val="bottom"/>
            <w:tcBorders>
              <w:top w:val="single" w:sz="8" w:color="auto"/>
            </w:tcBorders>
          </w:tcPr>
          <w:p>
            <w:pPr>
              <w:jc w:val="right"/>
              <w:ind w:right="419"/>
              <w:spacing w:after="0" w:line="159" w:lineRule="exact"/>
              <w:rPr>
                <w:sz w:val="20"/>
                <w:szCs w:val="20"/>
                <w:color w:val="auto"/>
              </w:rPr>
            </w:pPr>
            <w:r>
              <w:rPr>
                <w:rFonts w:ascii="Arial" w:cs="Arial" w:eastAsia="Arial" w:hAnsi="Arial"/>
                <w:sz w:val="16"/>
                <w:szCs w:val="16"/>
                <w:color w:val="auto"/>
              </w:rPr>
              <w:t>%</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Mibanco - Edyficar Perú</w:t>
            </w:r>
          </w:p>
        </w:tc>
        <w:tc>
          <w:tcPr>
            <w:tcW w:w="112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Prima AFP - AFP Unión Vida</w:t>
            </w:r>
          </w:p>
        </w:tc>
        <w:tc>
          <w:tcPr>
            <w:tcW w:w="112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MiBanco - Colombia</w:t>
            </w:r>
          </w:p>
        </w:tc>
        <w:tc>
          <w:tcPr>
            <w:tcW w:w="112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Credicorp Capital Colombia S.A.</w:t>
            </w:r>
          </w:p>
        </w:tc>
        <w:tc>
          <w:tcPr>
            <w:tcW w:w="112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Banco de Crédito del Perú</w:t>
            </w:r>
          </w:p>
        </w:tc>
        <w:tc>
          <w:tcPr>
            <w:tcW w:w="112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Pacífico Seguros (*)</w:t>
            </w:r>
          </w:p>
        </w:tc>
        <w:tc>
          <w:tcPr>
            <w:tcW w:w="112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 y 14.3</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Atlantic Security Holding Corporation</w:t>
            </w:r>
          </w:p>
        </w:tc>
        <w:tc>
          <w:tcPr>
            <w:tcW w:w="112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15.20</w:t>
            </w:r>
          </w:p>
        </w:tc>
      </w:tr>
      <w:tr>
        <w:trPr>
          <w:trHeight w:val="183"/>
        </w:trPr>
        <w:tc>
          <w:tcPr>
            <w:tcW w:w="7760" w:type="dxa"/>
            <w:vAlign w:val="bottom"/>
          </w:tcPr>
          <w:p>
            <w:pPr>
              <w:spacing w:after="0"/>
              <w:rPr>
                <w:sz w:val="20"/>
                <w:szCs w:val="20"/>
                <w:color w:val="auto"/>
              </w:rPr>
            </w:pPr>
            <w:r>
              <w:rPr>
                <w:rFonts w:ascii="Arial" w:cs="Arial" w:eastAsia="Arial" w:hAnsi="Arial"/>
                <w:sz w:val="16"/>
                <w:szCs w:val="16"/>
                <w:color w:val="auto"/>
              </w:rPr>
              <w:t>Tenpo SpA</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Compañía Incubadora de Soluciones Móviles S.A-Culqi</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25.00</w:t>
            </w:r>
          </w:p>
        </w:tc>
      </w:tr>
    </w:tbl>
    <w:p>
      <w:pPr>
        <w:spacing w:after="0" w:line="151" w:lineRule="exact"/>
        <w:rPr>
          <w:sz w:val="20"/>
          <w:szCs w:val="20"/>
          <w:color w:val="auto"/>
        </w:rPr>
      </w:pPr>
    </w:p>
    <w:p>
      <w:pPr>
        <w:ind w:left="303" w:right="300" w:hanging="303"/>
        <w:spacing w:after="0" w:line="280" w:lineRule="auto"/>
        <w:tabs>
          <w:tab w:leader="none" w:pos="30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As of December 31, 2023, and 2022, it corresponds to the discount rates used to determine the recoverable value of the cash flows that correspond to the general and life insurance business lines.</w:t>
      </w:r>
    </w:p>
    <w:p>
      <w:pPr>
        <w:spacing w:after="0" w:line="120" w:lineRule="exact"/>
        <w:rPr>
          <w:rFonts w:ascii="Arial" w:cs="Arial" w:eastAsia="Arial" w:hAnsi="Arial"/>
          <w:sz w:val="16"/>
          <w:szCs w:val="16"/>
          <w:color w:val="auto"/>
        </w:rPr>
      </w:pPr>
    </w:p>
    <w:p>
      <w:pPr>
        <w:jc w:val="both"/>
        <w:ind w:left="303"/>
        <w:spacing w:after="0" w:line="259" w:lineRule="auto"/>
        <w:rPr>
          <w:rFonts w:ascii="Arial" w:cs="Arial" w:eastAsia="Arial" w:hAnsi="Arial"/>
          <w:sz w:val="16"/>
          <w:szCs w:val="16"/>
          <w:color w:val="auto"/>
        </w:rPr>
      </w:pPr>
      <w:r>
        <w:rPr>
          <w:rFonts w:ascii="Arial" w:cs="Arial" w:eastAsia="Arial" w:hAnsi="Arial"/>
          <w:sz w:val="16"/>
          <w:szCs w:val="16"/>
          <w:color w:val="auto"/>
        </w:rPr>
        <w:t>Cash flows of 5 to 10 years were included, depending on the maturity of the business in the discounted cash flow model. Estimated growth rates are based on historical performance and Management’s expectations regarding market development. A long-term growth rate in perpetuity has been determined considering account forecasts included in industry reports.</w:t>
      </w:r>
    </w:p>
    <w:p>
      <w:pPr>
        <w:spacing w:after="0" w:line="137" w:lineRule="exact"/>
        <w:rPr>
          <w:rFonts w:ascii="Arial" w:cs="Arial" w:eastAsia="Arial" w:hAnsi="Arial"/>
          <w:sz w:val="16"/>
          <w:szCs w:val="16"/>
          <w:color w:val="auto"/>
        </w:rPr>
      </w:pPr>
    </w:p>
    <w:p>
      <w:pPr>
        <w:jc w:val="both"/>
        <w:ind w:left="303"/>
        <w:spacing w:after="0" w:line="252" w:lineRule="auto"/>
        <w:rPr>
          <w:rFonts w:ascii="Arial" w:cs="Arial" w:eastAsia="Arial" w:hAnsi="Arial"/>
          <w:sz w:val="16"/>
          <w:szCs w:val="16"/>
          <w:color w:val="auto"/>
        </w:rPr>
      </w:pPr>
      <w:r>
        <w:rPr>
          <w:rFonts w:ascii="Arial" w:cs="Arial" w:eastAsia="Arial" w:hAnsi="Arial"/>
          <w:sz w:val="16"/>
          <w:szCs w:val="16"/>
          <w:color w:val="auto"/>
        </w:rPr>
        <w:t>Discount rates represent the assessment of the specific risks of the CGU. The discount rate originates from the financial asset pricing model (MVAF). The cost of capital is derived from the benefits that the Group’s investors expect to obtain, the specific risk incorporated by applying comparable individual beta factors adjusted to the debt structure of each CGU and the specific country and market risk premiums for each CGU. Beta factors are evaluated annually based on available market information.</w:t>
      </w:r>
    </w:p>
    <w:p>
      <w:pPr>
        <w:spacing w:after="0" w:line="302" w:lineRule="exact"/>
        <w:rPr>
          <w:sz w:val="20"/>
          <w:szCs w:val="20"/>
          <w:color w:val="auto"/>
        </w:rPr>
      </w:pPr>
    </w:p>
    <w:p>
      <w:pPr>
        <w:ind w:left="4643"/>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63"/>
          </w:cols>
          <w:pgMar w:left="1197" w:top="306" w:right="339" w:bottom="1440" w:gutter="0" w:footer="0" w:header="0"/>
        </w:sectPr>
      </w:pPr>
    </w:p>
    <w:bookmarkStart w:id="95" w:name="page96"/>
    <w:bookmarkEnd w:id="95"/>
    <w:p>
      <w:pPr>
        <w:jc w:val="both"/>
        <w:ind w:left="60"/>
        <w:spacing w:after="0" w:line="247" w:lineRule="auto"/>
        <w:rPr>
          <w:sz w:val="20"/>
          <w:szCs w:val="20"/>
          <w:color w:val="auto"/>
        </w:rPr>
      </w:pPr>
      <w:r>
        <w:rPr>
          <w:rFonts w:ascii="Arial" w:cs="Arial" w:eastAsia="Arial" w:hAnsi="Arial"/>
          <w:sz w:val="16"/>
          <w:szCs w:val="16"/>
          <w:color w:val="auto"/>
        </w:rPr>
        <w:t>As a result of the evaluation carried out on the goodwill, a deterioration in the goodwill of Mibanco Colombia was recognized, which is explained by a combination of lower projected flows and higher contributions in 2023 and 2024, partially offset by a lower discount rate. The macroeconomic context has had a relevant impact on business results. The higher rates have put downward pressure on the intermediation margin due to a higher cost of funding and the difficulty of transferring this increase to active rates. Additionally, the portfolio has deteriorated in a context of low economic growth and high inflation rates; mainly due to the greater transfer of credits to Stage 2 and Stage 3. It is expected that these impacts on margin and provisions will be controlled in the medium term.</w:t>
      </w:r>
    </w:p>
    <w:p>
      <w:pPr>
        <w:spacing w:after="0" w:line="147" w:lineRule="exact"/>
        <w:rPr>
          <w:sz w:val="20"/>
          <w:szCs w:val="20"/>
          <w:color w:val="auto"/>
        </w:rPr>
      </w:pPr>
    </w:p>
    <w:p>
      <w:pPr>
        <w:jc w:val="both"/>
        <w:ind w:left="60"/>
        <w:spacing w:after="0" w:line="259" w:lineRule="auto"/>
        <w:rPr>
          <w:sz w:val="20"/>
          <w:szCs w:val="20"/>
          <w:color w:val="auto"/>
        </w:rPr>
      </w:pPr>
      <w:r>
        <w:rPr>
          <w:rFonts w:ascii="Arial" w:cs="Arial" w:eastAsia="Arial" w:hAnsi="Arial"/>
          <w:sz w:val="16"/>
          <w:szCs w:val="16"/>
          <w:color w:val="auto"/>
        </w:rPr>
        <w:t>The key assumptions described above may change if market and economic conditions change. As of December 31, 2023, and 2022, the Group estimates that the reasonableness of these possible changes in these assumptions would not cause the recoverable amount of all CGUs to decrease below their book value.</w:t>
      </w:r>
    </w:p>
    <w:p>
      <w:pPr>
        <w:spacing w:after="0" w:line="200" w:lineRule="exact"/>
        <w:rPr>
          <w:sz w:val="20"/>
          <w:szCs w:val="20"/>
          <w:color w:val="auto"/>
        </w:rPr>
      </w:pPr>
    </w:p>
    <w:p>
      <w:pPr>
        <w:spacing w:after="0" w:line="280"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41275</wp:posOffset>
            </wp:positionV>
            <wp:extent cx="714565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20"/>
          </w:cols>
          <w:pgMar w:left="1440" w:top="306" w:right="339" w:bottom="1440" w:gutter="0" w:footer="0" w:header="0"/>
        </w:sectPr>
      </w:pPr>
    </w:p>
    <w:bookmarkStart w:id="96" w:name="page97"/>
    <w:bookmarkEnd w:id="96"/>
    <w:p>
      <w:pPr>
        <w:ind w:left="582" w:hanging="582"/>
        <w:spacing w:after="0"/>
        <w:tabs>
          <w:tab w:leader="none" w:pos="582"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RIGHT-OF-USE ASSETS, NET AND LEASE OBLIGATIONS</w:t>
      </w:r>
    </w:p>
    <w:p>
      <w:pPr>
        <w:spacing w:after="0" w:line="182" w:lineRule="exact"/>
        <w:rPr>
          <w:rFonts w:ascii="Arial" w:cs="Arial" w:eastAsia="Arial" w:hAnsi="Arial"/>
          <w:sz w:val="16"/>
          <w:szCs w:val="16"/>
          <w:b w:val="1"/>
          <w:bCs w:val="1"/>
          <w:color w:val="auto"/>
        </w:rPr>
      </w:pPr>
    </w:p>
    <w:p>
      <w:pPr>
        <w:ind w:left="882" w:hanging="296"/>
        <w:spacing w:after="0"/>
        <w:tabs>
          <w:tab w:leader="none" w:pos="88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Right-of-use</w:t>
      </w:r>
    </w:p>
    <w:p>
      <w:pPr>
        <w:spacing w:after="0" w:line="182" w:lineRule="exact"/>
        <w:rPr>
          <w:rFonts w:ascii="Arial" w:cs="Arial" w:eastAsia="Arial" w:hAnsi="Arial"/>
          <w:sz w:val="16"/>
          <w:szCs w:val="16"/>
          <w:color w:val="auto"/>
        </w:rPr>
      </w:pPr>
    </w:p>
    <w:p>
      <w:pPr>
        <w:ind w:left="882"/>
        <w:spacing w:after="0"/>
        <w:rPr>
          <w:rFonts w:ascii="Arial" w:cs="Arial" w:eastAsia="Arial" w:hAnsi="Arial"/>
          <w:sz w:val="16"/>
          <w:szCs w:val="16"/>
          <w:color w:val="auto"/>
        </w:rPr>
      </w:pPr>
      <w:r>
        <w:rPr>
          <w:rFonts w:ascii="Arial" w:cs="Arial" w:eastAsia="Arial" w:hAnsi="Arial"/>
          <w:sz w:val="16"/>
          <w:szCs w:val="16"/>
          <w:color w:val="auto"/>
        </w:rPr>
        <w:t>The Group has leased agreements according to the following composition:</w:t>
      </w:r>
    </w:p>
    <w:p>
      <w:pPr>
        <w:spacing w:after="0" w:line="182" w:lineRule="exact"/>
        <w:rPr>
          <w:sz w:val="20"/>
          <w:szCs w:val="20"/>
          <w:color w:val="auto"/>
        </w:rPr>
      </w:pPr>
    </w:p>
    <w:tbl>
      <w:tblPr>
        <w:tblLayout w:type="fixed"/>
        <w:tblInd w:w="3502" w:type="dxa"/>
        <w:tblCellMar>
          <w:top w:w="0" w:type="dxa"/>
          <w:left w:w="0" w:type="dxa"/>
          <w:bottom w:w="0" w:type="dxa"/>
          <w:right w:w="0" w:type="dxa"/>
        </w:tblCellMar>
      </w:tblPr>
      <w:tr>
        <w:trPr>
          <w:trHeight w:val="184"/>
        </w:trPr>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Property:</w:t>
            </w: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Servers and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3"/>
        </w:trPr>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Agencies</w:t>
            </w: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technology</w:t>
            </w: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Transport</w:t>
            </w: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0"/>
        </w:trPr>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and offices</w:t>
            </w: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platforms</w:t>
            </w: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units</w:t>
            </w: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leases</w:t>
            </w:r>
          </w:p>
        </w:tc>
        <w:tc>
          <w:tcPr>
            <w:tcW w:w="920" w:type="dxa"/>
            <w:vAlign w:val="bottom"/>
          </w:tcPr>
          <w:p>
            <w:pPr>
              <w:ind w:left="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6"/>
                <w:szCs w:val="16"/>
                <w:b w:val="1"/>
                <w:bCs w:val="1"/>
                <w:color w:val="auto"/>
              </w:rPr>
              <w:t>2021</w:t>
            </w:r>
          </w:p>
        </w:tc>
      </w:tr>
      <w:tr>
        <w:trPr>
          <w:trHeight w:val="216"/>
        </w:trPr>
        <w:tc>
          <w:tcPr>
            <w:tcW w:w="10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9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8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9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9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9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r>
    </w:tbl>
    <w:p>
      <w:pPr>
        <w:spacing w:after="0" w:line="126" w:lineRule="exact"/>
        <w:rPr>
          <w:sz w:val="20"/>
          <w:szCs w:val="20"/>
          <w:color w:val="auto"/>
        </w:rPr>
      </w:pPr>
    </w:p>
    <w:tbl>
      <w:tblPr>
        <w:tblLayout w:type="fixed"/>
        <w:tblInd w:w="882" w:type="dxa"/>
        <w:tblCellMar>
          <w:top w:w="0" w:type="dxa"/>
          <w:left w:w="0" w:type="dxa"/>
          <w:bottom w:w="0" w:type="dxa"/>
          <w:right w:w="0" w:type="dxa"/>
        </w:tblCellMar>
      </w:tblPr>
      <w:tr>
        <w:trPr>
          <w:trHeight w:val="184"/>
        </w:trPr>
        <w:tc>
          <w:tcPr>
            <w:tcW w:w="2620" w:type="dxa"/>
            <w:vAlign w:val="bottom"/>
          </w:tcPr>
          <w:p>
            <w:pPr>
              <w:spacing w:after="0"/>
              <w:rPr>
                <w:sz w:val="20"/>
                <w:szCs w:val="20"/>
                <w:color w:val="auto"/>
              </w:rPr>
            </w:pPr>
            <w:r>
              <w:rPr>
                <w:rFonts w:ascii="Arial" w:cs="Arial" w:eastAsia="Arial" w:hAnsi="Arial"/>
                <w:sz w:val="16"/>
                <w:szCs w:val="16"/>
                <w:b w:val="1"/>
                <w:bCs w:val="1"/>
                <w:color w:val="auto"/>
              </w:rPr>
              <w:t>Cost -</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Balance as of January 1,</w:t>
            </w:r>
          </w:p>
        </w:tc>
        <w:tc>
          <w:tcPr>
            <w:tcW w:w="1080" w:type="dxa"/>
            <w:vAlign w:val="bottom"/>
          </w:tcPr>
          <w:p>
            <w:pPr>
              <w:jc w:val="right"/>
              <w:spacing w:after="0"/>
              <w:rPr>
                <w:sz w:val="20"/>
                <w:szCs w:val="20"/>
                <w:color w:val="auto"/>
              </w:rPr>
            </w:pPr>
            <w:r>
              <w:rPr>
                <w:rFonts w:ascii="Arial" w:cs="Arial" w:eastAsia="Arial" w:hAnsi="Arial"/>
                <w:sz w:val="16"/>
                <w:szCs w:val="16"/>
                <w:color w:val="auto"/>
              </w:rPr>
              <w:t>807,422</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151,363</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3,305</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64,801</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1,026,891</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969,355</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990,148</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Additions</w:t>
            </w:r>
          </w:p>
        </w:tc>
        <w:tc>
          <w:tcPr>
            <w:tcW w:w="1080" w:type="dxa"/>
            <w:vAlign w:val="bottom"/>
          </w:tcPr>
          <w:p>
            <w:pPr>
              <w:jc w:val="right"/>
              <w:spacing w:after="0"/>
              <w:rPr>
                <w:sz w:val="20"/>
                <w:szCs w:val="20"/>
                <w:color w:val="auto"/>
              </w:rPr>
            </w:pPr>
            <w:r>
              <w:rPr>
                <w:rFonts w:ascii="Arial" w:cs="Arial" w:eastAsia="Arial" w:hAnsi="Arial"/>
                <w:sz w:val="16"/>
                <w:szCs w:val="16"/>
                <w:color w:val="auto"/>
              </w:rPr>
              <w:t>101,585</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3,239</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3,308</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14,709</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122,841</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113,948</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110,005</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20"/>
                <w:szCs w:val="20"/>
                <w:color w:val="auto"/>
              </w:rPr>
            </w:pPr>
            <w:r>
              <w:rPr>
                <w:rFonts w:ascii="Arial" w:cs="Arial" w:eastAsia="Arial" w:hAnsi="Arial"/>
                <w:sz w:val="16"/>
                <w:szCs w:val="16"/>
                <w:color w:val="auto"/>
              </w:rPr>
              <w:t>Disposal and others</w:t>
            </w:r>
          </w:p>
        </w:tc>
        <w:tc>
          <w:tcPr>
            <w:tcW w:w="1080" w:type="dxa"/>
            <w:vAlign w:val="bottom"/>
          </w:tcPr>
          <w:p>
            <w:pPr>
              <w:jc w:val="right"/>
              <w:spacing w:after="0"/>
              <w:rPr>
                <w:sz w:val="20"/>
                <w:szCs w:val="20"/>
                <w:color w:val="auto"/>
              </w:rPr>
            </w:pPr>
            <w:r>
              <w:rPr>
                <w:rFonts w:ascii="Arial" w:cs="Arial" w:eastAsia="Arial" w:hAnsi="Arial"/>
                <w:sz w:val="16"/>
                <w:szCs w:val="16"/>
                <w:color w:val="auto"/>
              </w:rPr>
              <w:t>(61,753)</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(2,231)</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(64,489)</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(56,412)</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(130,798)</w:t>
            </w:r>
          </w:p>
        </w:tc>
        <w:tc>
          <w:tcPr>
            <w:tcW w:w="0" w:type="dxa"/>
            <w:vAlign w:val="bottom"/>
          </w:tcPr>
          <w:p>
            <w:pPr>
              <w:spacing w:after="0"/>
              <w:rPr>
                <w:sz w:val="1"/>
                <w:szCs w:val="1"/>
                <w:color w:val="auto"/>
              </w:rPr>
            </w:pPr>
          </w:p>
        </w:tc>
      </w:tr>
      <w:tr>
        <w:trPr>
          <w:trHeight w:val="175"/>
        </w:trPr>
        <w:tc>
          <w:tcPr>
            <w:tcW w:w="2620" w:type="dxa"/>
            <w:vAlign w:val="bottom"/>
          </w:tcPr>
          <w:p>
            <w:pPr>
              <w:spacing w:after="0" w:line="175" w:lineRule="exact"/>
              <w:rPr>
                <w:sz w:val="20"/>
                <w:szCs w:val="20"/>
                <w:color w:val="auto"/>
              </w:rPr>
            </w:pPr>
            <w:r>
              <w:rPr>
                <w:rFonts w:ascii="Arial" w:cs="Arial" w:eastAsia="Arial" w:hAnsi="Arial"/>
                <w:sz w:val="16"/>
                <w:szCs w:val="16"/>
                <w:b w:val="1"/>
                <w:bCs w:val="1"/>
                <w:color w:val="auto"/>
              </w:rPr>
              <w:t>Balance as of December 31</w:t>
            </w:r>
          </w:p>
        </w:tc>
        <w:tc>
          <w:tcPr>
            <w:tcW w:w="10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847,254</w:t>
            </w:r>
          </w:p>
        </w:tc>
        <w:tc>
          <w:tcPr>
            <w:tcW w:w="1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152,371</w:t>
            </w:r>
          </w:p>
        </w:tc>
        <w:tc>
          <w:tcPr>
            <w:tcW w:w="8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6,108</w:t>
            </w:r>
          </w:p>
        </w:tc>
        <w:tc>
          <w:tcPr>
            <w:tcW w:w="1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79,510</w:t>
            </w: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1,085,243</w:t>
            </w: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1,026,891</w:t>
            </w:r>
          </w:p>
        </w:tc>
        <w:tc>
          <w:tcPr>
            <w:tcW w:w="12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969,355</w:t>
            </w:r>
          </w:p>
        </w:tc>
        <w:tc>
          <w:tcPr>
            <w:tcW w:w="0" w:type="dxa"/>
            <w:vAlign w:val="bottom"/>
          </w:tcPr>
          <w:p>
            <w:pPr>
              <w:spacing w:after="0"/>
              <w:rPr>
                <w:sz w:val="1"/>
                <w:szCs w:val="1"/>
                <w:color w:val="auto"/>
              </w:rPr>
            </w:pPr>
          </w:p>
        </w:tc>
      </w:tr>
      <w:tr>
        <w:trPr>
          <w:trHeight w:val="342"/>
        </w:trPr>
        <w:tc>
          <w:tcPr>
            <w:tcW w:w="2620" w:type="dxa"/>
            <w:vAlign w:val="bottom"/>
          </w:tcPr>
          <w:p>
            <w:pPr>
              <w:spacing w:after="0"/>
              <w:rPr>
                <w:sz w:val="20"/>
                <w:szCs w:val="20"/>
                <w:color w:val="auto"/>
              </w:rPr>
            </w:pPr>
            <w:r>
              <w:rPr>
                <w:rFonts w:ascii="Arial" w:cs="Arial" w:eastAsia="Arial" w:hAnsi="Arial"/>
                <w:sz w:val="16"/>
                <w:szCs w:val="16"/>
                <w:b w:val="1"/>
                <w:bCs w:val="1"/>
                <w:color w:val="auto"/>
              </w:rPr>
              <w:t>Accumulated depreciation -</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Balance as of January 1,</w:t>
            </w:r>
          </w:p>
        </w:tc>
        <w:tc>
          <w:tcPr>
            <w:tcW w:w="1080" w:type="dxa"/>
            <w:vAlign w:val="bottom"/>
          </w:tcPr>
          <w:p>
            <w:pPr>
              <w:jc w:val="right"/>
              <w:spacing w:after="0"/>
              <w:rPr>
                <w:sz w:val="20"/>
                <w:szCs w:val="20"/>
                <w:color w:val="auto"/>
              </w:rPr>
            </w:pPr>
            <w:r>
              <w:rPr>
                <w:rFonts w:ascii="Arial" w:cs="Arial" w:eastAsia="Arial" w:hAnsi="Arial"/>
                <w:sz w:val="16"/>
                <w:szCs w:val="16"/>
                <w:color w:val="auto"/>
              </w:rPr>
              <w:t>386,108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71,512</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2,052</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23,386</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483,058</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382,938</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287,220</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6"/>
                <w:szCs w:val="16"/>
                <w:color w:val="auto"/>
              </w:rPr>
              <w:t>Depreciation of the period</w:t>
            </w:r>
          </w:p>
        </w:tc>
        <w:tc>
          <w:tcPr>
            <w:tcW w:w="1080" w:type="dxa"/>
            <w:vAlign w:val="bottom"/>
          </w:tcPr>
          <w:p>
            <w:pPr>
              <w:jc w:val="right"/>
              <w:spacing w:after="0"/>
              <w:rPr>
                <w:sz w:val="20"/>
                <w:szCs w:val="20"/>
                <w:color w:val="auto"/>
              </w:rPr>
            </w:pPr>
            <w:r>
              <w:rPr>
                <w:rFonts w:ascii="Arial" w:cs="Arial" w:eastAsia="Arial" w:hAnsi="Arial"/>
                <w:sz w:val="16"/>
                <w:szCs w:val="16"/>
                <w:color w:val="auto"/>
              </w:rPr>
              <w:t>105,163</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27,831</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14,157</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147,833</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151,335</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161,287</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20"/>
                <w:szCs w:val="20"/>
                <w:color w:val="auto"/>
              </w:rPr>
            </w:pPr>
            <w:r>
              <w:rPr>
                <w:rFonts w:ascii="Arial" w:cs="Arial" w:eastAsia="Arial" w:hAnsi="Arial"/>
                <w:sz w:val="16"/>
                <w:szCs w:val="16"/>
                <w:color w:val="auto"/>
              </w:rPr>
              <w:t>Disposal and others</w:t>
            </w:r>
          </w:p>
        </w:tc>
        <w:tc>
          <w:tcPr>
            <w:tcW w:w="1080" w:type="dxa"/>
            <w:vAlign w:val="bottom"/>
          </w:tcPr>
          <w:p>
            <w:pPr>
              <w:jc w:val="right"/>
              <w:spacing w:after="0"/>
              <w:rPr>
                <w:sz w:val="20"/>
                <w:szCs w:val="20"/>
                <w:color w:val="auto"/>
              </w:rPr>
            </w:pPr>
            <w:r>
              <w:rPr>
                <w:rFonts w:ascii="Arial" w:cs="Arial" w:eastAsia="Arial" w:hAnsi="Arial"/>
                <w:sz w:val="16"/>
                <w:szCs w:val="16"/>
                <w:color w:val="auto"/>
              </w:rPr>
              <w:t>(42,614)</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(2,247)</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(45,363)</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(51,215)</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(65,569)</w:t>
            </w:r>
          </w:p>
        </w:tc>
        <w:tc>
          <w:tcPr>
            <w:tcW w:w="0" w:type="dxa"/>
            <w:vAlign w:val="bottom"/>
          </w:tcPr>
          <w:p>
            <w:pPr>
              <w:spacing w:after="0"/>
              <w:rPr>
                <w:sz w:val="1"/>
                <w:szCs w:val="1"/>
                <w:color w:val="auto"/>
              </w:rPr>
            </w:pPr>
          </w:p>
        </w:tc>
      </w:tr>
      <w:tr>
        <w:trPr>
          <w:trHeight w:val="175"/>
        </w:trPr>
        <w:tc>
          <w:tcPr>
            <w:tcW w:w="2620" w:type="dxa"/>
            <w:vAlign w:val="bottom"/>
          </w:tcPr>
          <w:p>
            <w:pPr>
              <w:spacing w:after="0" w:line="175" w:lineRule="exact"/>
              <w:rPr>
                <w:sz w:val="20"/>
                <w:szCs w:val="20"/>
                <w:color w:val="auto"/>
              </w:rPr>
            </w:pPr>
            <w:r>
              <w:rPr>
                <w:rFonts w:ascii="Arial" w:cs="Arial" w:eastAsia="Arial" w:hAnsi="Arial"/>
                <w:sz w:val="16"/>
                <w:szCs w:val="16"/>
                <w:b w:val="1"/>
                <w:bCs w:val="1"/>
                <w:color w:val="auto"/>
              </w:rPr>
              <w:t>Balance as of December 31</w:t>
            </w:r>
          </w:p>
        </w:tc>
        <w:tc>
          <w:tcPr>
            <w:tcW w:w="10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448,657</w:t>
            </w:r>
          </w:p>
        </w:tc>
        <w:tc>
          <w:tcPr>
            <w:tcW w:w="1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97,096</w:t>
            </w:r>
          </w:p>
        </w:tc>
        <w:tc>
          <w:tcPr>
            <w:tcW w:w="8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2,232</w:t>
            </w:r>
          </w:p>
        </w:tc>
        <w:tc>
          <w:tcPr>
            <w:tcW w:w="1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37,543</w:t>
            </w: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585,528</w:t>
            </w: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483,058</w:t>
            </w:r>
          </w:p>
        </w:tc>
        <w:tc>
          <w:tcPr>
            <w:tcW w:w="12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382,938</w:t>
            </w:r>
          </w:p>
        </w:tc>
        <w:tc>
          <w:tcPr>
            <w:tcW w:w="0" w:type="dxa"/>
            <w:vAlign w:val="bottom"/>
          </w:tcPr>
          <w:p>
            <w:pPr>
              <w:spacing w:after="0"/>
              <w:rPr>
                <w:sz w:val="1"/>
                <w:szCs w:val="1"/>
                <w:color w:val="auto"/>
              </w:rPr>
            </w:pPr>
          </w:p>
        </w:tc>
      </w:tr>
      <w:tr>
        <w:trPr>
          <w:trHeight w:val="175"/>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Net carrying amount</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vMerge w:val="continue"/>
          </w:tcPr>
          <w:p>
            <w:pPr>
              <w:spacing w:after="0"/>
              <w:rPr>
                <w:sz w:val="15"/>
                <w:szCs w:val="15"/>
                <w:color w:val="auto"/>
              </w:rPr>
            </w:pPr>
          </w:p>
        </w:tc>
        <w:tc>
          <w:tcPr>
            <w:tcW w:w="10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398,597</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55,275</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3,876</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41,967</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499,715</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543,833</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586,417</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882" w:hanging="296"/>
        <w:spacing w:after="0"/>
        <w:tabs>
          <w:tab w:leader="none" w:pos="88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Lease Liabilities</w:t>
      </w:r>
    </w:p>
    <w:p>
      <w:pPr>
        <w:spacing w:after="0" w:line="182" w:lineRule="exact"/>
        <w:rPr>
          <w:rFonts w:ascii="Arial" w:cs="Arial" w:eastAsia="Arial" w:hAnsi="Arial"/>
          <w:sz w:val="16"/>
          <w:szCs w:val="16"/>
          <w:color w:val="auto"/>
        </w:rPr>
      </w:pPr>
    </w:p>
    <w:p>
      <w:pPr>
        <w:ind w:left="882"/>
        <w:spacing w:after="0" w:line="280" w:lineRule="auto"/>
        <w:rPr>
          <w:rFonts w:ascii="Arial" w:cs="Arial" w:eastAsia="Arial" w:hAnsi="Arial"/>
          <w:sz w:val="16"/>
          <w:szCs w:val="16"/>
          <w:color w:val="auto"/>
        </w:rPr>
      </w:pPr>
      <w:r>
        <w:rPr>
          <w:rFonts w:ascii="Arial" w:cs="Arial" w:eastAsia="Arial" w:hAnsi="Arial"/>
          <w:sz w:val="16"/>
          <w:szCs w:val="16"/>
          <w:color w:val="auto"/>
        </w:rPr>
        <w:t>The Group maintains contracts, with certain renewal options and for which the Group has reasonable certainty that this option will be exercised. In those cases, the period of lease used to measure the liability and assets corresponds to an estimation of future renovations.</w:t>
      </w:r>
    </w:p>
    <w:p>
      <w:pPr>
        <w:spacing w:after="0" w:line="27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02"/>
          </w:cols>
          <w:pgMar w:left="318" w:top="306" w:right="3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3"/>
        </w:trPr>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12</w:t>
            </w:r>
          </w:p>
        </w:tc>
        <w:tc>
          <w:tcPr>
            <w:tcW w:w="4700" w:type="dxa"/>
            <w:vAlign w:val="bottom"/>
          </w:tcPr>
          <w:p>
            <w:pPr>
              <w:ind w:left="200"/>
              <w:spacing w:after="0"/>
              <w:rPr>
                <w:sz w:val="20"/>
                <w:szCs w:val="20"/>
                <w:color w:val="auto"/>
              </w:rPr>
            </w:pPr>
            <w:r>
              <w:rPr>
                <w:rFonts w:ascii="Arial" w:cs="Arial" w:eastAsia="Arial" w:hAnsi="Arial"/>
                <w:sz w:val="16"/>
                <w:szCs w:val="16"/>
                <w:b w:val="1"/>
                <w:bCs w:val="1"/>
                <w:color w:val="auto"/>
              </w:rPr>
              <w:t>OTHER ASSETS AND OTHER LIABILITIES</w:t>
            </w:r>
          </w:p>
        </w:tc>
        <w:tc>
          <w:tcPr>
            <w:tcW w:w="3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380" w:type="dxa"/>
            <w:vAlign w:val="bottom"/>
          </w:tcPr>
          <w:p>
            <w:pPr>
              <w:spacing w:after="0"/>
              <w:rPr>
                <w:sz w:val="24"/>
                <w:szCs w:val="24"/>
                <w:color w:val="auto"/>
              </w:rPr>
            </w:pPr>
          </w:p>
        </w:tc>
        <w:tc>
          <w:tcPr>
            <w:tcW w:w="4700" w:type="dxa"/>
            <w:vAlign w:val="bottom"/>
          </w:tcPr>
          <w:p>
            <w:pPr>
              <w:ind w:left="200"/>
              <w:spacing w:after="0"/>
              <w:rPr>
                <w:sz w:val="20"/>
                <w:szCs w:val="20"/>
                <w:color w:val="auto"/>
              </w:rPr>
            </w:pPr>
            <w:r>
              <w:rPr>
                <w:rFonts w:ascii="Arial" w:cs="Arial" w:eastAsia="Arial" w:hAnsi="Arial"/>
                <w:sz w:val="16"/>
                <w:szCs w:val="16"/>
                <w:color w:val="auto"/>
              </w:rPr>
              <w:t>a)  This item consists of the following:</w:t>
            </w:r>
          </w:p>
        </w:tc>
        <w:tc>
          <w:tcPr>
            <w:tcW w:w="3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680" w:type="dxa"/>
            <w:vAlign w:val="bottom"/>
            <w:gridSpan w:val="2"/>
          </w:tcPr>
          <w:p>
            <w:pPr>
              <w:ind w:left="36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0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Other assets -</w:t>
            </w:r>
          </w:p>
        </w:tc>
        <w:tc>
          <w:tcPr>
            <w:tcW w:w="3560" w:type="dxa"/>
            <w:vAlign w:val="bottom"/>
          </w:tcPr>
          <w:p>
            <w:pPr>
              <w:spacing w:after="0"/>
              <w:rPr>
                <w:sz w:val="18"/>
                <w:szCs w:val="18"/>
                <w:color w:val="auto"/>
              </w:rPr>
            </w:pP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80" w:type="dxa"/>
            <w:vAlign w:val="bottom"/>
          </w:tcPr>
          <w:p>
            <w:pPr>
              <w:spacing w:after="0"/>
              <w:rPr>
                <w:sz w:val="10"/>
                <w:szCs w:val="10"/>
                <w:color w:val="auto"/>
              </w:rPr>
            </w:pPr>
          </w:p>
        </w:tc>
        <w:tc>
          <w:tcPr>
            <w:tcW w:w="470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b w:val="1"/>
                <w:bCs w:val="1"/>
                <w:color w:val="auto"/>
              </w:rPr>
              <w:t>Financial instruments:</w:t>
            </w:r>
          </w:p>
        </w:tc>
        <w:tc>
          <w:tcPr>
            <w:tcW w:w="3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Receivables (b)</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1,523,052</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1,449,079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Derivatives receivable (c)</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987,663</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1,478,726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Receivables from sale of investments (d)</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411,599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142,765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Operations in process (e)</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137,952</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155,568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3,060,266</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3,226,138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380" w:type="dxa"/>
            <w:vAlign w:val="bottom"/>
          </w:tcPr>
          <w:p>
            <w:pPr>
              <w:spacing w:after="0"/>
              <w:rPr>
                <w:sz w:val="24"/>
                <w:szCs w:val="24"/>
                <w:color w:val="auto"/>
              </w:rPr>
            </w:pPr>
          </w:p>
        </w:tc>
        <w:tc>
          <w:tcPr>
            <w:tcW w:w="4700" w:type="dxa"/>
            <w:vAlign w:val="bottom"/>
          </w:tcPr>
          <w:p>
            <w:pPr>
              <w:ind w:left="500"/>
              <w:spacing w:after="0"/>
              <w:rPr>
                <w:sz w:val="20"/>
                <w:szCs w:val="20"/>
                <w:color w:val="auto"/>
              </w:rPr>
            </w:pPr>
            <w:r>
              <w:rPr>
                <w:rFonts w:ascii="Arial" w:cs="Arial" w:eastAsia="Arial" w:hAnsi="Arial"/>
                <w:sz w:val="16"/>
                <w:szCs w:val="16"/>
                <w:b w:val="1"/>
                <w:bCs w:val="1"/>
                <w:color w:val="auto"/>
              </w:rPr>
              <w:t>Non-financial instruments:</w:t>
            </w:r>
          </w:p>
        </w:tc>
        <w:tc>
          <w:tcPr>
            <w:tcW w:w="3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Deferred fees (f)</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1,197,457</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908,399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Investment in associates (g)</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748,663</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726,993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Investment properties, net (h)</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565,274</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548,558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Income tax prepayments, net</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348,578</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186,372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Adjudicated assets, net</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107,562</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136,079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Improvements in leased premises</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100,919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71,747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VAT (IGV) tax credit</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86,661</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58,329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Others</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9,237</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9,056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470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Total</w:t>
            </w:r>
          </w:p>
        </w:tc>
        <w:tc>
          <w:tcPr>
            <w:tcW w:w="35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3,164,351</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2,645,533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356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6,224,617</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5,871,671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680" w:type="dxa"/>
            <w:vAlign w:val="bottom"/>
            <w:gridSpan w:val="2"/>
          </w:tcPr>
          <w:p>
            <w:pPr>
              <w:ind w:left="36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0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Other liabilities -</w:t>
            </w:r>
          </w:p>
        </w:tc>
        <w:tc>
          <w:tcPr>
            <w:tcW w:w="3560" w:type="dxa"/>
            <w:vAlign w:val="bottom"/>
          </w:tcPr>
          <w:p>
            <w:pPr>
              <w:spacing w:after="0"/>
              <w:rPr>
                <w:sz w:val="18"/>
                <w:szCs w:val="18"/>
                <w:color w:val="auto"/>
              </w:rPr>
            </w:pP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80" w:type="dxa"/>
            <w:vAlign w:val="bottom"/>
          </w:tcPr>
          <w:p>
            <w:pPr>
              <w:spacing w:after="0"/>
              <w:rPr>
                <w:sz w:val="10"/>
                <w:szCs w:val="10"/>
                <w:color w:val="auto"/>
              </w:rPr>
            </w:pPr>
          </w:p>
        </w:tc>
        <w:tc>
          <w:tcPr>
            <w:tcW w:w="470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b w:val="1"/>
                <w:bCs w:val="1"/>
                <w:color w:val="auto"/>
              </w:rPr>
              <w:t>Financial instruments:</w:t>
            </w:r>
          </w:p>
        </w:tc>
        <w:tc>
          <w:tcPr>
            <w:tcW w:w="3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Accounts payable (i)</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2,367,204</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2,058,229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Salaries and other personnel expenses</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1,082,059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930,622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Derivatives payable (c)</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891,999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1,345,665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Accounts payable for acquisitions of investments (d)</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448,046</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153,681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Allowance for indirect loan losses, Note 7(c)</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368,029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658,584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Operations in process (e)</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258,197</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89,480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Dividends payable</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62,976</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73,607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470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Non-financial instruments:</w:t>
            </w:r>
          </w:p>
        </w:tc>
        <w:tc>
          <w:tcPr>
            <w:tcW w:w="35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5,478,510</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5,309,868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3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Taxes</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727,052</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1,062,691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Provision for sundry risks (j)</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661,737</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624,149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4700" w:type="dxa"/>
            <w:vAlign w:val="bottom"/>
          </w:tcPr>
          <w:p>
            <w:pPr>
              <w:ind w:left="500"/>
              <w:spacing w:after="0"/>
              <w:rPr>
                <w:sz w:val="20"/>
                <w:szCs w:val="20"/>
                <w:color w:val="auto"/>
              </w:rPr>
            </w:pPr>
            <w:r>
              <w:rPr>
                <w:rFonts w:ascii="Arial" w:cs="Arial" w:eastAsia="Arial" w:hAnsi="Arial"/>
                <w:sz w:val="16"/>
                <w:szCs w:val="16"/>
                <w:color w:val="auto"/>
              </w:rPr>
              <w:t>Others</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126,392</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192,344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470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Total</w:t>
            </w:r>
          </w:p>
        </w:tc>
        <w:tc>
          <w:tcPr>
            <w:tcW w:w="35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1,515,181</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1,879,184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356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6,993,691</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7,189,052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1"/>
        </w:trPr>
        <w:tc>
          <w:tcPr>
            <w:tcW w:w="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560" w:type="dxa"/>
            <w:vAlign w:val="bottom"/>
          </w:tcPr>
          <w:p>
            <w:pPr>
              <w:jc w:val="right"/>
              <w:ind w:right="2859"/>
              <w:spacing w:after="0"/>
              <w:rPr>
                <w:sz w:val="20"/>
                <w:szCs w:val="20"/>
                <w:color w:val="auto"/>
              </w:rPr>
            </w:pPr>
            <w:r>
              <w:rPr>
                <w:rFonts w:ascii="Arial" w:cs="Arial" w:eastAsia="Arial" w:hAnsi="Arial"/>
                <w:sz w:val="16"/>
                <w:szCs w:val="16"/>
                <w:color w:val="auto"/>
              </w:rPr>
              <w:t>95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80" w:type="dxa"/>
            <w:vAlign w:val="bottom"/>
            <w:tcBorders>
              <w:bottom w:val="single" w:sz="8" w:color="auto"/>
            </w:tcBorders>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6" w:right="319" w:bottom="1440" w:gutter="0" w:footer="0" w:header="0"/>
        </w:sectPr>
      </w:pPr>
    </w:p>
    <w:bookmarkStart w:id="98" w:name="page99"/>
    <w:bookmarkEnd w:id="98"/>
    <w:p>
      <w:pPr>
        <w:ind w:left="296" w:hanging="296"/>
        <w:spacing w:after="0" w:line="244" w:lineRule="auto"/>
        <w:tabs>
          <w:tab w:leader="none" w:pos="29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As of December 31, 2023, the balance is mainly composed of accounts receivable from Niubiz, margin call of operations with derivates, for sale of goods and services, accounts receivable for the sale of foreign currency, operations to be settled, funds restricted by Central Bank of Reserve of Bolivia, works for taxes, accounts paid by third parties, commissions receivable, payment protection insurance premium receivable, accounts receivable from clients for stock market operations, advances to personnel, dividends receivable, rents, among others. As of December 31, 2022, the balance mainly comprises funds restricted by the Central Reserve Bank of Bolivia, margin call of operations with derivatives, taxes receivable, accounts receivable from the sale of deferred foreign currency, protection insurance premium of payments receivable, works for taxes, accounts paid by third parties, accounts receivable for the sale of goods and services, commissions receivable, receivable from clients for stock market operations, advances to personnel, operations to settle rents receivable, dividends for charge, among others.</w:t>
      </w:r>
    </w:p>
    <w:p>
      <w:pPr>
        <w:spacing w:after="0" w:line="312" w:lineRule="exact"/>
        <w:rPr>
          <w:sz w:val="20"/>
          <w:szCs w:val="20"/>
          <w:color w:val="auto"/>
        </w:rPr>
      </w:pPr>
    </w:p>
    <w:p>
      <w:pPr>
        <w:ind w:left="4936"/>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56"/>
          </w:cols>
          <w:pgMar w:left="904" w:top="306" w:right="339" w:bottom="1440" w:gutter="0" w:footer="0" w:header="0"/>
        </w:sectPr>
      </w:pPr>
    </w:p>
    <w:bookmarkStart w:id="99" w:name="page100"/>
    <w:bookmarkEnd w:id="99"/>
    <w:p>
      <w:pPr>
        <w:ind w:left="296" w:right="100" w:hanging="296"/>
        <w:spacing w:after="0" w:line="280" w:lineRule="auto"/>
        <w:tabs>
          <w:tab w:leader="none" w:pos="29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risk in derivative contracts arises from the possibility of the counterparty failing to comply with the terms and conditions agreed and that the reference rates at which the transactions took place change.</w:t>
      </w:r>
    </w:p>
    <w:p>
      <w:pPr>
        <w:spacing w:after="0" w:line="120" w:lineRule="exact"/>
        <w:rPr>
          <w:rFonts w:ascii="Arial" w:cs="Arial" w:eastAsia="Arial" w:hAnsi="Arial"/>
          <w:sz w:val="16"/>
          <w:szCs w:val="16"/>
          <w:color w:val="auto"/>
        </w:rPr>
      </w:pPr>
    </w:p>
    <w:p>
      <w:pPr>
        <w:jc w:val="both"/>
        <w:ind w:left="296" w:right="100"/>
        <w:spacing w:after="0" w:line="259" w:lineRule="auto"/>
        <w:rPr>
          <w:rFonts w:ascii="Arial" w:cs="Arial" w:eastAsia="Arial" w:hAnsi="Arial"/>
          <w:sz w:val="16"/>
          <w:szCs w:val="16"/>
          <w:color w:val="auto"/>
        </w:rPr>
      </w:pPr>
      <w:r>
        <w:rPr>
          <w:rFonts w:ascii="Arial" w:cs="Arial" w:eastAsia="Arial" w:hAnsi="Arial"/>
          <w:sz w:val="16"/>
          <w:szCs w:val="16"/>
          <w:color w:val="auto"/>
        </w:rPr>
        <w:t>The table below shows as of December 31, 2023, and 2022 the fair value of derivative financial instruments, recorded as an asset or a liability, together with their notional amounts and maturities. The nominal amount, recorded gross, is the amount of a derivative’s underlying asset and is the basis upon which the fair value of derivatives is measured.</w:t>
      </w:r>
    </w:p>
    <w:p>
      <w:pPr>
        <w:spacing w:after="0" w:line="136" w:lineRule="exact"/>
        <w:rPr>
          <w:sz w:val="20"/>
          <w:szCs w:val="20"/>
          <w:color w:val="auto"/>
        </w:rPr>
      </w:pPr>
    </w:p>
    <w:tbl>
      <w:tblPr>
        <w:tblLayout w:type="fixed"/>
        <w:tblInd w:w="296" w:type="dxa"/>
        <w:tblCellMar>
          <w:top w:w="0" w:type="dxa"/>
          <w:left w:w="0" w:type="dxa"/>
          <w:bottom w:w="0" w:type="dxa"/>
          <w:right w:w="0" w:type="dxa"/>
        </w:tblCellMar>
      </w:tblPr>
      <w:tr>
        <w:trPr>
          <w:trHeight w:val="115"/>
        </w:trPr>
        <w:tc>
          <w:tcPr>
            <w:tcW w:w="1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0"/>
                <w:szCs w:val="10"/>
                <w:b w:val="1"/>
                <w:bCs w:val="1"/>
                <w:color w:val="auto"/>
              </w:rPr>
              <w:t>2023 and</w:t>
            </w:r>
          </w:p>
        </w:tc>
        <w:tc>
          <w:tcPr>
            <w:tcW w:w="0" w:type="dxa"/>
            <w:vAlign w:val="bottom"/>
          </w:tcPr>
          <w:p>
            <w:pPr>
              <w:spacing w:after="0"/>
              <w:rPr>
                <w:sz w:val="1"/>
                <w:szCs w:val="1"/>
                <w:color w:val="auto"/>
              </w:rPr>
            </w:pPr>
          </w:p>
        </w:tc>
      </w:tr>
      <w:tr>
        <w:trPr>
          <w:trHeight w:val="123"/>
        </w:trPr>
        <w:tc>
          <w:tcPr>
            <w:tcW w:w="1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2022</w:t>
            </w: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89"/>
        </w:trPr>
        <w:tc>
          <w:tcPr>
            <w:tcW w:w="1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ind w:left="80"/>
              <w:spacing w:after="0" w:line="90" w:lineRule="exact"/>
              <w:rPr>
                <w:sz w:val="20"/>
                <w:szCs w:val="20"/>
                <w:color w:val="auto"/>
              </w:rPr>
            </w:pPr>
            <w:r>
              <w:rPr>
                <w:rFonts w:ascii="Arial" w:cs="Arial" w:eastAsia="Arial" w:hAnsi="Arial"/>
                <w:sz w:val="10"/>
                <w:szCs w:val="10"/>
                <w:b w:val="1"/>
                <w:bCs w:val="1"/>
                <w:color w:val="auto"/>
              </w:rPr>
              <w:t>Notional</w:t>
            </w:r>
          </w:p>
        </w:tc>
        <w:tc>
          <w:tcPr>
            <w:tcW w:w="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ind w:left="80"/>
              <w:spacing w:after="0" w:line="90" w:lineRule="exact"/>
              <w:rPr>
                <w:sz w:val="20"/>
                <w:szCs w:val="20"/>
                <w:color w:val="auto"/>
              </w:rPr>
            </w:pPr>
            <w:r>
              <w:rPr>
                <w:rFonts w:ascii="Arial" w:cs="Arial" w:eastAsia="Arial" w:hAnsi="Arial"/>
                <w:sz w:val="10"/>
                <w:szCs w:val="10"/>
                <w:b w:val="1"/>
                <w:bCs w:val="1"/>
                <w:color w:val="auto"/>
              </w:rPr>
              <w:t>Notional</w:t>
            </w:r>
          </w:p>
        </w:tc>
        <w:tc>
          <w:tcPr>
            <w:tcW w:w="1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ind w:left="80"/>
              <w:spacing w:after="0" w:line="90" w:lineRule="exact"/>
              <w:rPr>
                <w:sz w:val="20"/>
                <w:szCs w:val="20"/>
                <w:color w:val="auto"/>
              </w:rPr>
            </w:pPr>
            <w:r>
              <w:rPr>
                <w:rFonts w:ascii="Arial" w:cs="Arial" w:eastAsia="Arial" w:hAnsi="Arial"/>
                <w:sz w:val="10"/>
                <w:szCs w:val="10"/>
                <w:b w:val="1"/>
                <w:bCs w:val="1"/>
                <w:color w:val="auto"/>
              </w:rPr>
              <w:t>Related</w:t>
            </w:r>
          </w:p>
        </w:tc>
        <w:tc>
          <w:tcPr>
            <w:tcW w:w="0" w:type="dxa"/>
            <w:vAlign w:val="bottom"/>
          </w:tcPr>
          <w:p>
            <w:pPr>
              <w:spacing w:after="0"/>
              <w:rPr>
                <w:sz w:val="1"/>
                <w:szCs w:val="1"/>
                <w:color w:val="auto"/>
              </w:rPr>
            </w:pPr>
          </w:p>
        </w:tc>
      </w:tr>
      <w:tr>
        <w:trPr>
          <w:trHeight w:val="123"/>
        </w:trPr>
        <w:tc>
          <w:tcPr>
            <w:tcW w:w="1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gridSpan w:val="2"/>
          </w:tcPr>
          <w:p>
            <w:pPr>
              <w:ind w:left="80"/>
              <w:spacing w:after="0"/>
              <w:rPr>
                <w:sz w:val="20"/>
                <w:szCs w:val="20"/>
                <w:color w:val="auto"/>
              </w:rPr>
            </w:pPr>
            <w:r>
              <w:rPr>
                <w:rFonts w:ascii="Arial" w:cs="Arial" w:eastAsia="Arial" w:hAnsi="Arial"/>
                <w:sz w:val="10"/>
                <w:szCs w:val="10"/>
                <w:b w:val="1"/>
                <w:bCs w:val="1"/>
                <w:color w:val="auto"/>
              </w:rPr>
              <w:t>Assets</w:t>
            </w:r>
          </w:p>
        </w:tc>
        <w:tc>
          <w:tcPr>
            <w:tcW w:w="680" w:type="dxa"/>
            <w:vAlign w:val="bottom"/>
            <w:gridSpan w:val="2"/>
          </w:tcPr>
          <w:p>
            <w:pPr>
              <w:ind w:left="100"/>
              <w:spacing w:after="0"/>
              <w:rPr>
                <w:sz w:val="20"/>
                <w:szCs w:val="20"/>
                <w:color w:val="auto"/>
              </w:rPr>
            </w:pPr>
            <w:r>
              <w:rPr>
                <w:rFonts w:ascii="Arial" w:cs="Arial" w:eastAsia="Arial" w:hAnsi="Arial"/>
                <w:sz w:val="10"/>
                <w:szCs w:val="10"/>
                <w:b w:val="1"/>
                <w:bCs w:val="1"/>
                <w:color w:val="auto"/>
              </w:rPr>
              <w:t>Liabilities</w:t>
            </w:r>
          </w:p>
        </w:tc>
        <w:tc>
          <w:tcPr>
            <w:tcW w:w="680" w:type="dxa"/>
            <w:vAlign w:val="bottom"/>
          </w:tcPr>
          <w:p>
            <w:pPr>
              <w:ind w:left="8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0"/>
                <w:szCs w:val="10"/>
                <w:color w:val="auto"/>
              </w:rPr>
            </w:pPr>
          </w:p>
        </w:tc>
        <w:tc>
          <w:tcPr>
            <w:tcW w:w="1780" w:type="dxa"/>
            <w:vAlign w:val="bottom"/>
            <w:gridSpan w:val="2"/>
          </w:tcPr>
          <w:p>
            <w:pPr>
              <w:ind w:left="80"/>
              <w:spacing w:after="0"/>
              <w:rPr>
                <w:sz w:val="20"/>
                <w:szCs w:val="20"/>
                <w:color w:val="auto"/>
              </w:rPr>
            </w:pPr>
            <w:r>
              <w:rPr>
                <w:rFonts w:ascii="Arial" w:cs="Arial" w:eastAsia="Arial" w:hAnsi="Arial"/>
                <w:sz w:val="10"/>
                <w:szCs w:val="10"/>
                <w:b w:val="1"/>
                <w:bCs w:val="1"/>
                <w:color w:val="auto"/>
              </w:rPr>
              <w:t>Maturity</w:t>
            </w:r>
          </w:p>
        </w:tc>
        <w:tc>
          <w:tcPr>
            <w:tcW w:w="640" w:type="dxa"/>
            <w:vAlign w:val="bottom"/>
            <w:gridSpan w:val="2"/>
          </w:tcPr>
          <w:p>
            <w:pPr>
              <w:ind w:left="80"/>
              <w:spacing w:after="0"/>
              <w:rPr>
                <w:sz w:val="20"/>
                <w:szCs w:val="20"/>
                <w:color w:val="auto"/>
              </w:rPr>
            </w:pPr>
            <w:r>
              <w:rPr>
                <w:rFonts w:ascii="Arial" w:cs="Arial" w:eastAsia="Arial" w:hAnsi="Arial"/>
                <w:sz w:val="10"/>
                <w:szCs w:val="10"/>
                <w:b w:val="1"/>
                <w:bCs w:val="1"/>
                <w:color w:val="auto"/>
              </w:rPr>
              <w:t>Assets</w:t>
            </w:r>
          </w:p>
        </w:tc>
        <w:tc>
          <w:tcPr>
            <w:tcW w:w="680" w:type="dxa"/>
            <w:vAlign w:val="bottom"/>
            <w:gridSpan w:val="2"/>
          </w:tcPr>
          <w:p>
            <w:pPr>
              <w:ind w:left="80"/>
              <w:spacing w:after="0"/>
              <w:rPr>
                <w:sz w:val="20"/>
                <w:szCs w:val="20"/>
                <w:color w:val="auto"/>
              </w:rPr>
            </w:pPr>
            <w:r>
              <w:rPr>
                <w:rFonts w:ascii="Arial" w:cs="Arial" w:eastAsia="Arial" w:hAnsi="Arial"/>
                <w:sz w:val="10"/>
                <w:szCs w:val="10"/>
                <w:b w:val="1"/>
                <w:bCs w:val="1"/>
                <w:color w:val="auto"/>
              </w:rPr>
              <w:t>Liabilities</w:t>
            </w:r>
          </w:p>
        </w:tc>
        <w:tc>
          <w:tcPr>
            <w:tcW w:w="660" w:type="dxa"/>
            <w:vAlign w:val="bottom"/>
          </w:tcPr>
          <w:p>
            <w:pPr>
              <w:ind w:left="80"/>
              <w:spacing w:after="0"/>
              <w:rPr>
                <w:sz w:val="20"/>
                <w:szCs w:val="20"/>
                <w:color w:val="auto"/>
              </w:rPr>
            </w:pPr>
            <w:r>
              <w:rPr>
                <w:rFonts w:ascii="Arial" w:cs="Arial" w:eastAsia="Arial" w:hAnsi="Arial"/>
                <w:sz w:val="10"/>
                <w:szCs w:val="10"/>
                <w:b w:val="1"/>
                <w:bCs w:val="1"/>
                <w:color w:val="auto"/>
              </w:rPr>
              <w:t>amount</w:t>
            </w:r>
          </w:p>
        </w:tc>
        <w:tc>
          <w:tcPr>
            <w:tcW w:w="1800" w:type="dxa"/>
            <w:vAlign w:val="bottom"/>
            <w:gridSpan w:val="2"/>
          </w:tcPr>
          <w:p>
            <w:pPr>
              <w:ind w:left="140"/>
              <w:spacing w:after="0"/>
              <w:rPr>
                <w:sz w:val="20"/>
                <w:szCs w:val="20"/>
                <w:color w:val="auto"/>
              </w:rPr>
            </w:pPr>
            <w:r>
              <w:rPr>
                <w:rFonts w:ascii="Arial" w:cs="Arial" w:eastAsia="Arial" w:hAnsi="Arial"/>
                <w:sz w:val="10"/>
                <w:szCs w:val="10"/>
                <w:b w:val="1"/>
                <w:bCs w:val="1"/>
                <w:color w:val="auto"/>
              </w:rPr>
              <w:t>Maturity</w:t>
            </w:r>
          </w:p>
        </w:tc>
        <w:tc>
          <w:tcPr>
            <w:tcW w:w="800" w:type="dxa"/>
            <w:vAlign w:val="bottom"/>
          </w:tcPr>
          <w:p>
            <w:pPr>
              <w:ind w:left="80"/>
              <w:spacing w:after="0"/>
              <w:rPr>
                <w:sz w:val="20"/>
                <w:szCs w:val="20"/>
                <w:color w:val="auto"/>
              </w:rPr>
            </w:pPr>
            <w:r>
              <w:rPr>
                <w:rFonts w:ascii="Arial" w:cs="Arial" w:eastAsia="Arial" w:hAnsi="Arial"/>
                <w:sz w:val="10"/>
                <w:szCs w:val="10"/>
                <w:b w:val="1"/>
                <w:bCs w:val="1"/>
                <w:color w:val="auto"/>
              </w:rPr>
              <w:t>instruments</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20" w:type="dxa"/>
            <w:vAlign w:val="bottom"/>
          </w:tcPr>
          <w:p>
            <w:pPr>
              <w:spacing w:after="0"/>
              <w:rPr>
                <w:sz w:val="11"/>
                <w:szCs w:val="11"/>
                <w:color w:val="auto"/>
              </w:rPr>
            </w:pPr>
          </w:p>
        </w:tc>
        <w:tc>
          <w:tcPr>
            <w:tcW w:w="64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11"/>
                <w:szCs w:val="11"/>
                <w:color w:val="auto"/>
              </w:rPr>
            </w:pP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11"/>
                <w:szCs w:val="11"/>
                <w:color w:val="auto"/>
              </w:rPr>
            </w:pP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40" w:type="dxa"/>
            <w:vAlign w:val="bottom"/>
          </w:tcPr>
          <w:p>
            <w:pPr>
              <w:spacing w:after="0"/>
              <w:rPr>
                <w:sz w:val="11"/>
                <w:szCs w:val="11"/>
                <w:color w:val="auto"/>
              </w:rPr>
            </w:pP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1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20"/>
                <w:szCs w:val="20"/>
                <w:color w:val="auto"/>
              </w:rPr>
            </w:pPr>
            <w:r>
              <w:rPr>
                <w:rFonts w:ascii="Arial" w:cs="Arial" w:eastAsia="Arial" w:hAnsi="Arial"/>
                <w:sz w:val="10"/>
                <w:szCs w:val="10"/>
                <w:b w:val="1"/>
                <w:bCs w:val="1"/>
                <w:color w:val="auto"/>
              </w:rPr>
              <w:t>Derivatives held for trading</w:t>
            </w: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460" w:type="dxa"/>
            <w:vAlign w:val="bottom"/>
          </w:tcPr>
          <w:p>
            <w:pPr>
              <w:spacing w:after="0" w:line="112" w:lineRule="exact"/>
              <w:rPr>
                <w:sz w:val="20"/>
                <w:szCs w:val="20"/>
                <w:color w:val="auto"/>
              </w:rPr>
            </w:pPr>
            <w:r>
              <w:rPr>
                <w:rFonts w:ascii="Arial" w:cs="Arial" w:eastAsia="Arial" w:hAnsi="Arial"/>
                <w:sz w:val="10"/>
                <w:szCs w:val="10"/>
                <w:b w:val="1"/>
                <w:bCs w:val="1"/>
                <w:color w:val="auto"/>
              </w:rPr>
              <w:t>(i) -</w:t>
            </w: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Arial" w:cs="Arial" w:eastAsia="Arial" w:hAnsi="Arial"/>
                <w:sz w:val="10"/>
                <w:szCs w:val="10"/>
                <w:color w:val="auto"/>
              </w:rPr>
              <w:t>Foreign currency forwards</w:t>
            </w:r>
          </w:p>
        </w:tc>
        <w:tc>
          <w:tcPr>
            <w:tcW w:w="680" w:type="dxa"/>
            <w:vAlign w:val="bottom"/>
          </w:tcPr>
          <w:p>
            <w:pPr>
              <w:spacing w:after="0"/>
              <w:rPr>
                <w:sz w:val="9"/>
                <w:szCs w:val="9"/>
                <w:color w:val="auto"/>
              </w:rPr>
            </w:pPr>
          </w:p>
        </w:tc>
        <w:tc>
          <w:tcPr>
            <w:tcW w:w="5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334,505</w:t>
            </w:r>
          </w:p>
        </w:tc>
        <w:tc>
          <w:tcPr>
            <w:tcW w:w="20" w:type="dxa"/>
            <w:vAlign w:val="bottom"/>
          </w:tcPr>
          <w:p>
            <w:pPr>
              <w:spacing w:after="0"/>
              <w:rPr>
                <w:sz w:val="9"/>
                <w:szCs w:val="9"/>
                <w:color w:val="auto"/>
              </w:rPr>
            </w:pPr>
          </w:p>
        </w:tc>
        <w:tc>
          <w:tcPr>
            <w:tcW w:w="64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205,341</w:t>
            </w:r>
          </w:p>
        </w:tc>
        <w:tc>
          <w:tcPr>
            <w:tcW w:w="40" w:type="dxa"/>
            <w:vAlign w:val="bottom"/>
          </w:tcPr>
          <w:p>
            <w:pPr>
              <w:spacing w:after="0"/>
              <w:rPr>
                <w:sz w:val="9"/>
                <w:szCs w:val="9"/>
                <w:color w:val="auto"/>
              </w:rPr>
            </w:pP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32,206,841</w:t>
            </w:r>
          </w:p>
        </w:tc>
        <w:tc>
          <w:tcPr>
            <w:tcW w:w="40" w:type="dxa"/>
            <w:vAlign w:val="bottom"/>
          </w:tcPr>
          <w:p>
            <w:pPr>
              <w:spacing w:after="0"/>
              <w:rPr>
                <w:sz w:val="9"/>
                <w:szCs w:val="9"/>
                <w:color w:val="auto"/>
              </w:rPr>
            </w:pPr>
          </w:p>
        </w:tc>
        <w:tc>
          <w:tcPr>
            <w:tcW w:w="1780" w:type="dxa"/>
            <w:vAlign w:val="bottom"/>
            <w:gridSpan w:val="2"/>
          </w:tcPr>
          <w:p>
            <w:pPr>
              <w:ind w:left="80"/>
              <w:spacing w:after="0" w:line="110" w:lineRule="exact"/>
              <w:rPr>
                <w:sz w:val="20"/>
                <w:szCs w:val="20"/>
                <w:color w:val="auto"/>
              </w:rPr>
            </w:pPr>
            <w:r>
              <w:rPr>
                <w:rFonts w:ascii="Arial" w:cs="Arial" w:eastAsia="Arial" w:hAnsi="Arial"/>
                <w:sz w:val="10"/>
                <w:szCs w:val="10"/>
                <w:color w:val="auto"/>
              </w:rPr>
              <w:t>January 2024 / March 2026</w:t>
            </w:r>
          </w:p>
        </w:tc>
        <w:tc>
          <w:tcPr>
            <w:tcW w:w="6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500,348</w:t>
            </w:r>
          </w:p>
        </w:tc>
        <w:tc>
          <w:tcPr>
            <w:tcW w:w="40" w:type="dxa"/>
            <w:vAlign w:val="bottom"/>
          </w:tcPr>
          <w:p>
            <w:pPr>
              <w:spacing w:after="0"/>
              <w:rPr>
                <w:sz w:val="9"/>
                <w:szCs w:val="9"/>
                <w:color w:val="auto"/>
              </w:rPr>
            </w:pP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288,857</w:t>
            </w:r>
          </w:p>
        </w:tc>
        <w:tc>
          <w:tcPr>
            <w:tcW w:w="40" w:type="dxa"/>
            <w:vAlign w:val="bottom"/>
          </w:tcPr>
          <w:p>
            <w:pPr>
              <w:spacing w:after="0"/>
              <w:rPr>
                <w:sz w:val="9"/>
                <w:szCs w:val="9"/>
                <w:color w:val="auto"/>
              </w:rPr>
            </w:pPr>
          </w:p>
        </w:tc>
        <w:tc>
          <w:tcPr>
            <w:tcW w:w="6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34,224,865</w:t>
            </w:r>
          </w:p>
        </w:tc>
        <w:tc>
          <w:tcPr>
            <w:tcW w:w="1800" w:type="dxa"/>
            <w:vAlign w:val="bottom"/>
            <w:gridSpan w:val="2"/>
          </w:tcPr>
          <w:p>
            <w:pPr>
              <w:ind w:left="140"/>
              <w:spacing w:after="0" w:line="110" w:lineRule="exact"/>
              <w:rPr>
                <w:sz w:val="20"/>
                <w:szCs w:val="20"/>
                <w:color w:val="auto"/>
              </w:rPr>
            </w:pPr>
            <w:r>
              <w:rPr>
                <w:rFonts w:ascii="Arial" w:cs="Arial" w:eastAsia="Arial" w:hAnsi="Arial"/>
                <w:sz w:val="10"/>
                <w:szCs w:val="10"/>
                <w:color w:val="auto"/>
              </w:rPr>
              <w:t>January 2023 / August2024</w:t>
            </w: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Arial" w:cs="Arial" w:eastAsia="Arial" w:hAnsi="Arial"/>
                <w:sz w:val="10"/>
                <w:szCs w:val="10"/>
                <w:color w:val="auto"/>
              </w:rPr>
              <w:t>Interest rate swaps</w:t>
            </w:r>
          </w:p>
        </w:tc>
        <w:tc>
          <w:tcPr>
            <w:tcW w:w="680" w:type="dxa"/>
            <w:vAlign w:val="bottom"/>
          </w:tcPr>
          <w:p>
            <w:pPr>
              <w:spacing w:after="0"/>
              <w:rPr>
                <w:sz w:val="9"/>
                <w:szCs w:val="9"/>
                <w:color w:val="auto"/>
              </w:rPr>
            </w:pPr>
          </w:p>
        </w:tc>
        <w:tc>
          <w:tcPr>
            <w:tcW w:w="5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341,898</w:t>
            </w:r>
          </w:p>
        </w:tc>
        <w:tc>
          <w:tcPr>
            <w:tcW w:w="20" w:type="dxa"/>
            <w:vAlign w:val="bottom"/>
          </w:tcPr>
          <w:p>
            <w:pPr>
              <w:spacing w:after="0"/>
              <w:rPr>
                <w:sz w:val="9"/>
                <w:szCs w:val="9"/>
                <w:color w:val="auto"/>
              </w:rPr>
            </w:pPr>
          </w:p>
        </w:tc>
        <w:tc>
          <w:tcPr>
            <w:tcW w:w="64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204,775</w:t>
            </w:r>
          </w:p>
        </w:tc>
        <w:tc>
          <w:tcPr>
            <w:tcW w:w="40" w:type="dxa"/>
            <w:vAlign w:val="bottom"/>
          </w:tcPr>
          <w:p>
            <w:pPr>
              <w:spacing w:after="0"/>
              <w:rPr>
                <w:sz w:val="9"/>
                <w:szCs w:val="9"/>
                <w:color w:val="auto"/>
              </w:rPr>
            </w:pP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17,471,629</w:t>
            </w:r>
          </w:p>
        </w:tc>
        <w:tc>
          <w:tcPr>
            <w:tcW w:w="40" w:type="dxa"/>
            <w:vAlign w:val="bottom"/>
          </w:tcPr>
          <w:p>
            <w:pPr>
              <w:spacing w:after="0"/>
              <w:rPr>
                <w:sz w:val="9"/>
                <w:szCs w:val="9"/>
                <w:color w:val="auto"/>
              </w:rPr>
            </w:pPr>
          </w:p>
        </w:tc>
        <w:tc>
          <w:tcPr>
            <w:tcW w:w="1780" w:type="dxa"/>
            <w:vAlign w:val="bottom"/>
            <w:gridSpan w:val="2"/>
          </w:tcPr>
          <w:p>
            <w:pPr>
              <w:ind w:left="80"/>
              <w:spacing w:after="0" w:line="110" w:lineRule="exact"/>
              <w:rPr>
                <w:sz w:val="20"/>
                <w:szCs w:val="20"/>
                <w:color w:val="auto"/>
              </w:rPr>
            </w:pPr>
            <w:r>
              <w:rPr>
                <w:rFonts w:ascii="Arial" w:cs="Arial" w:eastAsia="Arial" w:hAnsi="Arial"/>
                <w:sz w:val="10"/>
                <w:szCs w:val="10"/>
                <w:color w:val="auto"/>
              </w:rPr>
              <w:t>January 2024 / September 2033</w:t>
            </w:r>
          </w:p>
        </w:tc>
        <w:tc>
          <w:tcPr>
            <w:tcW w:w="6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415,034</w:t>
            </w:r>
          </w:p>
        </w:tc>
        <w:tc>
          <w:tcPr>
            <w:tcW w:w="40" w:type="dxa"/>
            <w:vAlign w:val="bottom"/>
          </w:tcPr>
          <w:p>
            <w:pPr>
              <w:spacing w:after="0"/>
              <w:rPr>
                <w:sz w:val="9"/>
                <w:szCs w:val="9"/>
                <w:color w:val="auto"/>
              </w:rPr>
            </w:pP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277,988</w:t>
            </w:r>
          </w:p>
        </w:tc>
        <w:tc>
          <w:tcPr>
            <w:tcW w:w="40" w:type="dxa"/>
            <w:vAlign w:val="bottom"/>
          </w:tcPr>
          <w:p>
            <w:pPr>
              <w:spacing w:after="0"/>
              <w:rPr>
                <w:sz w:val="9"/>
                <w:szCs w:val="9"/>
                <w:color w:val="auto"/>
              </w:rPr>
            </w:pPr>
          </w:p>
        </w:tc>
        <w:tc>
          <w:tcPr>
            <w:tcW w:w="6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10,834,324</w:t>
            </w:r>
          </w:p>
        </w:tc>
        <w:tc>
          <w:tcPr>
            <w:tcW w:w="1800" w:type="dxa"/>
            <w:vAlign w:val="bottom"/>
            <w:gridSpan w:val="2"/>
          </w:tcPr>
          <w:p>
            <w:pPr>
              <w:ind w:left="140"/>
              <w:spacing w:after="0" w:line="110" w:lineRule="exact"/>
              <w:rPr>
                <w:sz w:val="20"/>
                <w:szCs w:val="20"/>
                <w:color w:val="auto"/>
              </w:rPr>
            </w:pPr>
            <w:r>
              <w:rPr>
                <w:rFonts w:ascii="Arial" w:cs="Arial" w:eastAsia="Arial" w:hAnsi="Arial"/>
                <w:sz w:val="10"/>
                <w:szCs w:val="10"/>
                <w:color w:val="auto"/>
              </w:rPr>
              <w:t>January 2023 / December 2032</w:t>
            </w: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Arial" w:cs="Arial" w:eastAsia="Arial" w:hAnsi="Arial"/>
                <w:sz w:val="10"/>
                <w:szCs w:val="10"/>
                <w:color w:val="auto"/>
              </w:rPr>
              <w:t>Currency swaps</w:t>
            </w:r>
          </w:p>
        </w:tc>
        <w:tc>
          <w:tcPr>
            <w:tcW w:w="680" w:type="dxa"/>
            <w:vAlign w:val="bottom"/>
          </w:tcPr>
          <w:p>
            <w:pPr>
              <w:spacing w:after="0"/>
              <w:rPr>
                <w:sz w:val="9"/>
                <w:szCs w:val="9"/>
                <w:color w:val="auto"/>
              </w:rPr>
            </w:pPr>
          </w:p>
        </w:tc>
        <w:tc>
          <w:tcPr>
            <w:tcW w:w="5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230,818</w:t>
            </w:r>
          </w:p>
        </w:tc>
        <w:tc>
          <w:tcPr>
            <w:tcW w:w="20" w:type="dxa"/>
            <w:vAlign w:val="bottom"/>
          </w:tcPr>
          <w:p>
            <w:pPr>
              <w:spacing w:after="0"/>
              <w:rPr>
                <w:sz w:val="9"/>
                <w:szCs w:val="9"/>
                <w:color w:val="auto"/>
              </w:rPr>
            </w:pPr>
          </w:p>
        </w:tc>
        <w:tc>
          <w:tcPr>
            <w:tcW w:w="64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429,365</w:t>
            </w:r>
          </w:p>
        </w:tc>
        <w:tc>
          <w:tcPr>
            <w:tcW w:w="40" w:type="dxa"/>
            <w:vAlign w:val="bottom"/>
          </w:tcPr>
          <w:p>
            <w:pPr>
              <w:spacing w:after="0"/>
              <w:rPr>
                <w:sz w:val="9"/>
                <w:szCs w:val="9"/>
                <w:color w:val="auto"/>
              </w:rPr>
            </w:pP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12,895,649</w:t>
            </w:r>
          </w:p>
        </w:tc>
        <w:tc>
          <w:tcPr>
            <w:tcW w:w="40" w:type="dxa"/>
            <w:vAlign w:val="bottom"/>
          </w:tcPr>
          <w:p>
            <w:pPr>
              <w:spacing w:after="0"/>
              <w:rPr>
                <w:sz w:val="9"/>
                <w:szCs w:val="9"/>
                <w:color w:val="auto"/>
              </w:rPr>
            </w:pPr>
          </w:p>
        </w:tc>
        <w:tc>
          <w:tcPr>
            <w:tcW w:w="1780" w:type="dxa"/>
            <w:vAlign w:val="bottom"/>
            <w:gridSpan w:val="2"/>
          </w:tcPr>
          <w:p>
            <w:pPr>
              <w:ind w:left="80"/>
              <w:spacing w:after="0" w:line="110" w:lineRule="exact"/>
              <w:rPr>
                <w:sz w:val="20"/>
                <w:szCs w:val="20"/>
                <w:color w:val="auto"/>
              </w:rPr>
            </w:pPr>
            <w:r>
              <w:rPr>
                <w:rFonts w:ascii="Arial" w:cs="Arial" w:eastAsia="Arial" w:hAnsi="Arial"/>
                <w:sz w:val="10"/>
                <w:szCs w:val="10"/>
                <w:color w:val="auto"/>
              </w:rPr>
              <w:t>January 2024 / August 2033</w:t>
            </w:r>
          </w:p>
        </w:tc>
        <w:tc>
          <w:tcPr>
            <w:tcW w:w="6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410,439</w:t>
            </w:r>
          </w:p>
        </w:tc>
        <w:tc>
          <w:tcPr>
            <w:tcW w:w="40" w:type="dxa"/>
            <w:vAlign w:val="bottom"/>
          </w:tcPr>
          <w:p>
            <w:pPr>
              <w:spacing w:after="0"/>
              <w:rPr>
                <w:sz w:val="9"/>
                <w:szCs w:val="9"/>
                <w:color w:val="auto"/>
              </w:rPr>
            </w:pP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749,420</w:t>
            </w:r>
          </w:p>
        </w:tc>
        <w:tc>
          <w:tcPr>
            <w:tcW w:w="40" w:type="dxa"/>
            <w:vAlign w:val="bottom"/>
          </w:tcPr>
          <w:p>
            <w:pPr>
              <w:spacing w:after="0"/>
              <w:rPr>
                <w:sz w:val="9"/>
                <w:szCs w:val="9"/>
                <w:color w:val="auto"/>
              </w:rPr>
            </w:pPr>
          </w:p>
        </w:tc>
        <w:tc>
          <w:tcPr>
            <w:tcW w:w="6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16,000,208</w:t>
            </w:r>
          </w:p>
        </w:tc>
        <w:tc>
          <w:tcPr>
            <w:tcW w:w="1800" w:type="dxa"/>
            <w:vAlign w:val="bottom"/>
            <w:gridSpan w:val="2"/>
          </w:tcPr>
          <w:p>
            <w:pPr>
              <w:ind w:left="140"/>
              <w:spacing w:after="0" w:line="110" w:lineRule="exact"/>
              <w:rPr>
                <w:sz w:val="20"/>
                <w:szCs w:val="20"/>
                <w:color w:val="auto"/>
              </w:rPr>
            </w:pPr>
            <w:r>
              <w:rPr>
                <w:rFonts w:ascii="Arial" w:cs="Arial" w:eastAsia="Arial" w:hAnsi="Arial"/>
                <w:sz w:val="10"/>
                <w:szCs w:val="10"/>
                <w:color w:val="auto"/>
              </w:rPr>
              <w:t>January 2023 / January 2033</w:t>
            </w: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Arial" w:cs="Arial" w:eastAsia="Arial" w:hAnsi="Arial"/>
                <w:sz w:val="10"/>
                <w:szCs w:val="10"/>
                <w:color w:val="auto"/>
              </w:rPr>
              <w:t>Foreign exchange options</w:t>
            </w:r>
          </w:p>
        </w:tc>
        <w:tc>
          <w:tcPr>
            <w:tcW w:w="680" w:type="dxa"/>
            <w:vAlign w:val="bottom"/>
          </w:tcPr>
          <w:p>
            <w:pPr>
              <w:spacing w:after="0"/>
              <w:rPr>
                <w:sz w:val="9"/>
                <w:szCs w:val="9"/>
                <w:color w:val="auto"/>
              </w:rPr>
            </w:pPr>
          </w:p>
        </w:tc>
        <w:tc>
          <w:tcPr>
            <w:tcW w:w="5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1,104</w:t>
            </w:r>
          </w:p>
        </w:tc>
        <w:tc>
          <w:tcPr>
            <w:tcW w:w="20" w:type="dxa"/>
            <w:vAlign w:val="bottom"/>
          </w:tcPr>
          <w:p>
            <w:pPr>
              <w:spacing w:after="0"/>
              <w:rPr>
                <w:sz w:val="9"/>
                <w:szCs w:val="9"/>
                <w:color w:val="auto"/>
              </w:rPr>
            </w:pPr>
          </w:p>
        </w:tc>
        <w:tc>
          <w:tcPr>
            <w:tcW w:w="64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4,002</w:t>
            </w:r>
          </w:p>
        </w:tc>
        <w:tc>
          <w:tcPr>
            <w:tcW w:w="40" w:type="dxa"/>
            <w:vAlign w:val="bottom"/>
          </w:tcPr>
          <w:p>
            <w:pPr>
              <w:spacing w:after="0"/>
              <w:rPr>
                <w:sz w:val="9"/>
                <w:szCs w:val="9"/>
                <w:color w:val="auto"/>
              </w:rPr>
            </w:pP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501,189</w:t>
            </w:r>
          </w:p>
        </w:tc>
        <w:tc>
          <w:tcPr>
            <w:tcW w:w="40" w:type="dxa"/>
            <w:vAlign w:val="bottom"/>
          </w:tcPr>
          <w:p>
            <w:pPr>
              <w:spacing w:after="0"/>
              <w:rPr>
                <w:sz w:val="9"/>
                <w:szCs w:val="9"/>
                <w:color w:val="auto"/>
              </w:rPr>
            </w:pPr>
          </w:p>
        </w:tc>
        <w:tc>
          <w:tcPr>
            <w:tcW w:w="1780" w:type="dxa"/>
            <w:vAlign w:val="bottom"/>
            <w:gridSpan w:val="2"/>
          </w:tcPr>
          <w:p>
            <w:pPr>
              <w:ind w:left="80"/>
              <w:spacing w:after="0" w:line="110" w:lineRule="exact"/>
              <w:rPr>
                <w:sz w:val="20"/>
                <w:szCs w:val="20"/>
                <w:color w:val="auto"/>
              </w:rPr>
            </w:pPr>
            <w:r>
              <w:rPr>
                <w:rFonts w:ascii="Arial" w:cs="Arial" w:eastAsia="Arial" w:hAnsi="Arial"/>
                <w:sz w:val="10"/>
                <w:szCs w:val="10"/>
                <w:color w:val="auto"/>
              </w:rPr>
              <w:t>January 2024 / March 2025</w:t>
            </w:r>
          </w:p>
        </w:tc>
        <w:tc>
          <w:tcPr>
            <w:tcW w:w="6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1,349</w:t>
            </w:r>
          </w:p>
        </w:tc>
        <w:tc>
          <w:tcPr>
            <w:tcW w:w="40" w:type="dxa"/>
            <w:vAlign w:val="bottom"/>
          </w:tcPr>
          <w:p>
            <w:pPr>
              <w:spacing w:after="0"/>
              <w:rPr>
                <w:sz w:val="9"/>
                <w:szCs w:val="9"/>
                <w:color w:val="auto"/>
              </w:rPr>
            </w:pP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3,168</w:t>
            </w:r>
          </w:p>
        </w:tc>
        <w:tc>
          <w:tcPr>
            <w:tcW w:w="40" w:type="dxa"/>
            <w:vAlign w:val="bottom"/>
          </w:tcPr>
          <w:p>
            <w:pPr>
              <w:spacing w:after="0"/>
              <w:rPr>
                <w:sz w:val="9"/>
                <w:szCs w:val="9"/>
                <w:color w:val="auto"/>
              </w:rPr>
            </w:pPr>
          </w:p>
        </w:tc>
        <w:tc>
          <w:tcPr>
            <w:tcW w:w="6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362,324</w:t>
            </w:r>
          </w:p>
        </w:tc>
        <w:tc>
          <w:tcPr>
            <w:tcW w:w="1800" w:type="dxa"/>
            <w:vAlign w:val="bottom"/>
            <w:gridSpan w:val="2"/>
          </w:tcPr>
          <w:p>
            <w:pPr>
              <w:ind w:left="140"/>
              <w:spacing w:after="0" w:line="110" w:lineRule="exact"/>
              <w:rPr>
                <w:sz w:val="20"/>
                <w:szCs w:val="20"/>
                <w:color w:val="auto"/>
              </w:rPr>
            </w:pPr>
            <w:r>
              <w:rPr>
                <w:rFonts w:ascii="Arial" w:cs="Arial" w:eastAsia="Arial" w:hAnsi="Arial"/>
                <w:sz w:val="10"/>
                <w:szCs w:val="10"/>
                <w:color w:val="auto"/>
              </w:rPr>
              <w:t>January 2023 / June 2024</w:t>
            </w: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20"/>
                <w:szCs w:val="20"/>
                <w:color w:val="auto"/>
              </w:rPr>
            </w:pPr>
            <w:r>
              <w:rPr>
                <w:rFonts w:ascii="Arial" w:cs="Arial" w:eastAsia="Arial" w:hAnsi="Arial"/>
                <w:sz w:val="10"/>
                <w:szCs w:val="10"/>
                <w:color w:val="auto"/>
              </w:rPr>
              <w:t>Futures</w:t>
            </w:r>
          </w:p>
        </w:tc>
        <w:tc>
          <w:tcPr>
            <w:tcW w:w="680" w:type="dxa"/>
            <w:vAlign w:val="bottom"/>
          </w:tcPr>
          <w:p>
            <w:pPr>
              <w:spacing w:after="0"/>
              <w:rPr>
                <w:sz w:val="10"/>
                <w:szCs w:val="10"/>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1,187</w:t>
            </w:r>
          </w:p>
        </w:tc>
        <w:tc>
          <w:tcPr>
            <w:tcW w:w="20" w:type="dxa"/>
            <w:vAlign w:val="bottom"/>
          </w:tcPr>
          <w:p>
            <w:pPr>
              <w:spacing w:after="0"/>
              <w:rPr>
                <w:sz w:val="10"/>
                <w:szCs w:val="10"/>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1,618</w:t>
            </w:r>
          </w:p>
        </w:tc>
        <w:tc>
          <w:tcPr>
            <w:tcW w:w="40" w:type="dxa"/>
            <w:vAlign w:val="bottom"/>
          </w:tcPr>
          <w:p>
            <w:pPr>
              <w:spacing w:after="0"/>
              <w:rPr>
                <w:sz w:val="10"/>
                <w:szCs w:val="10"/>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40,428</w:t>
            </w:r>
          </w:p>
        </w:tc>
        <w:tc>
          <w:tcPr>
            <w:tcW w:w="40" w:type="dxa"/>
            <w:vAlign w:val="bottom"/>
          </w:tcPr>
          <w:p>
            <w:pPr>
              <w:spacing w:after="0"/>
              <w:rPr>
                <w:sz w:val="10"/>
                <w:szCs w:val="10"/>
                <w:color w:val="auto"/>
              </w:rPr>
            </w:pPr>
          </w:p>
        </w:tc>
        <w:tc>
          <w:tcPr>
            <w:tcW w:w="1780" w:type="dxa"/>
            <w:vAlign w:val="bottom"/>
            <w:gridSpan w:val="2"/>
          </w:tcPr>
          <w:p>
            <w:pPr>
              <w:ind w:left="80"/>
              <w:spacing w:after="0"/>
              <w:rPr>
                <w:sz w:val="20"/>
                <w:szCs w:val="20"/>
                <w:color w:val="auto"/>
              </w:rPr>
            </w:pPr>
            <w:r>
              <w:rPr>
                <w:rFonts w:ascii="Arial" w:cs="Arial" w:eastAsia="Arial" w:hAnsi="Arial"/>
                <w:sz w:val="10"/>
                <w:szCs w:val="10"/>
                <w:color w:val="auto"/>
              </w:rPr>
              <w:t>March 2024</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794</w:t>
            </w:r>
          </w:p>
        </w:tc>
        <w:tc>
          <w:tcPr>
            <w:tcW w:w="40" w:type="dxa"/>
            <w:vAlign w:val="bottom"/>
          </w:tcPr>
          <w:p>
            <w:pPr>
              <w:spacing w:after="0"/>
              <w:rPr>
                <w:sz w:val="10"/>
                <w:szCs w:val="10"/>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1,450</w:t>
            </w:r>
          </w:p>
        </w:tc>
        <w:tc>
          <w:tcPr>
            <w:tcW w:w="40" w:type="dxa"/>
            <w:vAlign w:val="bottom"/>
          </w:tcPr>
          <w:p>
            <w:pPr>
              <w:spacing w:after="0"/>
              <w:rPr>
                <w:sz w:val="10"/>
                <w:szCs w:val="10"/>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48,819</w:t>
            </w:r>
          </w:p>
        </w:tc>
        <w:tc>
          <w:tcPr>
            <w:tcW w:w="1800" w:type="dxa"/>
            <w:vAlign w:val="bottom"/>
            <w:gridSpan w:val="2"/>
          </w:tcPr>
          <w:p>
            <w:pPr>
              <w:ind w:left="140"/>
              <w:spacing w:after="0"/>
              <w:rPr>
                <w:sz w:val="20"/>
                <w:szCs w:val="20"/>
                <w:color w:val="auto"/>
              </w:rPr>
            </w:pPr>
            <w:r>
              <w:rPr>
                <w:rFonts w:ascii="Arial" w:cs="Arial" w:eastAsia="Arial" w:hAnsi="Arial"/>
                <w:sz w:val="10"/>
                <w:szCs w:val="10"/>
                <w:color w:val="auto"/>
              </w:rPr>
              <w:t>March 2023</w:t>
            </w:r>
          </w:p>
        </w:tc>
        <w:tc>
          <w:tcPr>
            <w:tcW w:w="800" w:type="dxa"/>
            <w:vAlign w:val="bottom"/>
          </w:tcPr>
          <w:p>
            <w:pPr>
              <w:ind w:left="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2"/>
        </w:trPr>
        <w:tc>
          <w:tcPr>
            <w:tcW w:w="1460" w:type="dxa"/>
            <w:vAlign w:val="bottom"/>
            <w:vMerge w:val="restart"/>
          </w:tcPr>
          <w:p>
            <w:pPr>
              <w:spacing w:after="0"/>
              <w:rPr>
                <w:sz w:val="20"/>
                <w:szCs w:val="20"/>
                <w:color w:val="auto"/>
              </w:rPr>
            </w:pPr>
            <w:r>
              <w:rPr>
                <w:rFonts w:ascii="Arial" w:cs="Arial" w:eastAsia="Arial" w:hAnsi="Arial"/>
                <w:sz w:val="10"/>
                <w:szCs w:val="10"/>
                <w:b w:val="1"/>
                <w:bCs w:val="1"/>
                <w:color w:val="auto"/>
              </w:rPr>
              <w:t>Derivatives held as hedges</w:t>
            </w:r>
          </w:p>
        </w:tc>
        <w:tc>
          <w:tcPr>
            <w:tcW w:w="680" w:type="dxa"/>
            <w:vAlign w:val="bottom"/>
          </w:tcPr>
          <w:p>
            <w:pPr>
              <w:spacing w:after="0"/>
              <w:rPr>
                <w:sz w:val="8"/>
                <w:szCs w:val="8"/>
                <w:color w:val="auto"/>
              </w:rPr>
            </w:pPr>
          </w:p>
        </w:tc>
        <w:tc>
          <w:tcPr>
            <w:tcW w:w="540" w:type="dxa"/>
            <w:vAlign w:val="bottom"/>
          </w:tcPr>
          <w:p>
            <w:pPr>
              <w:jc w:val="right"/>
              <w:ind w:right="51"/>
              <w:spacing w:after="0" w:line="103" w:lineRule="exact"/>
              <w:rPr>
                <w:sz w:val="20"/>
                <w:szCs w:val="20"/>
                <w:color w:val="auto"/>
              </w:rPr>
            </w:pPr>
            <w:r>
              <w:rPr>
                <w:rFonts w:ascii="Arial" w:cs="Arial" w:eastAsia="Arial" w:hAnsi="Arial"/>
                <w:sz w:val="10"/>
                <w:szCs w:val="10"/>
                <w:color w:val="auto"/>
              </w:rPr>
              <w:t>909,512</w:t>
            </w:r>
          </w:p>
        </w:tc>
        <w:tc>
          <w:tcPr>
            <w:tcW w:w="20" w:type="dxa"/>
            <w:vAlign w:val="bottom"/>
          </w:tcPr>
          <w:p>
            <w:pPr>
              <w:spacing w:after="0"/>
              <w:rPr>
                <w:sz w:val="8"/>
                <w:szCs w:val="8"/>
                <w:color w:val="auto"/>
              </w:rPr>
            </w:pPr>
          </w:p>
        </w:tc>
        <w:tc>
          <w:tcPr>
            <w:tcW w:w="640" w:type="dxa"/>
            <w:vAlign w:val="bottom"/>
          </w:tcPr>
          <w:p>
            <w:pPr>
              <w:jc w:val="right"/>
              <w:ind w:right="31"/>
              <w:spacing w:after="0" w:line="103" w:lineRule="exact"/>
              <w:rPr>
                <w:sz w:val="20"/>
                <w:szCs w:val="20"/>
                <w:color w:val="auto"/>
              </w:rPr>
            </w:pPr>
            <w:r>
              <w:rPr>
                <w:rFonts w:ascii="Arial" w:cs="Arial" w:eastAsia="Arial" w:hAnsi="Arial"/>
                <w:sz w:val="10"/>
                <w:szCs w:val="10"/>
                <w:color w:val="auto"/>
              </w:rPr>
              <w:t>845,101</w:t>
            </w:r>
          </w:p>
        </w:tc>
        <w:tc>
          <w:tcPr>
            <w:tcW w:w="40" w:type="dxa"/>
            <w:vAlign w:val="bottom"/>
          </w:tcPr>
          <w:p>
            <w:pPr>
              <w:spacing w:after="0"/>
              <w:rPr>
                <w:sz w:val="8"/>
                <w:szCs w:val="8"/>
                <w:color w:val="auto"/>
              </w:rPr>
            </w:pPr>
          </w:p>
        </w:tc>
        <w:tc>
          <w:tcPr>
            <w:tcW w:w="680" w:type="dxa"/>
            <w:vAlign w:val="bottom"/>
          </w:tcPr>
          <w:p>
            <w:pPr>
              <w:jc w:val="right"/>
              <w:ind w:right="51"/>
              <w:spacing w:after="0" w:line="103" w:lineRule="exact"/>
              <w:rPr>
                <w:sz w:val="20"/>
                <w:szCs w:val="20"/>
                <w:color w:val="auto"/>
              </w:rPr>
            </w:pPr>
            <w:r>
              <w:rPr>
                <w:rFonts w:ascii="Arial" w:cs="Arial" w:eastAsia="Arial" w:hAnsi="Arial"/>
                <w:sz w:val="10"/>
                <w:szCs w:val="10"/>
                <w:color w:val="auto"/>
              </w:rPr>
              <w:t>63,115,736</w:t>
            </w:r>
          </w:p>
        </w:tc>
        <w:tc>
          <w:tcPr>
            <w:tcW w:w="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1,327,964</w:t>
            </w:r>
          </w:p>
        </w:tc>
        <w:tc>
          <w:tcPr>
            <w:tcW w:w="40" w:type="dxa"/>
            <w:vAlign w:val="bottom"/>
          </w:tcPr>
          <w:p>
            <w:pPr>
              <w:spacing w:after="0"/>
              <w:rPr>
                <w:sz w:val="8"/>
                <w:szCs w:val="8"/>
                <w:color w:val="auto"/>
              </w:rPr>
            </w:pPr>
          </w:p>
        </w:tc>
        <w:tc>
          <w:tcPr>
            <w:tcW w:w="640" w:type="dxa"/>
            <w:vAlign w:val="bottom"/>
            <w:tcBorders>
              <w:bottom w:val="single" w:sz="8" w:color="auto"/>
            </w:tcBorders>
          </w:tcPr>
          <w:p>
            <w:pPr>
              <w:jc w:val="right"/>
              <w:ind w:right="51"/>
              <w:spacing w:after="0" w:line="103" w:lineRule="exact"/>
              <w:rPr>
                <w:sz w:val="20"/>
                <w:szCs w:val="20"/>
                <w:color w:val="auto"/>
              </w:rPr>
            </w:pPr>
            <w:r>
              <w:rPr>
                <w:rFonts w:ascii="Arial" w:cs="Arial" w:eastAsia="Arial" w:hAnsi="Arial"/>
                <w:sz w:val="10"/>
                <w:szCs w:val="10"/>
                <w:color w:val="auto"/>
              </w:rPr>
              <w:t>1,320,883</w:t>
            </w:r>
          </w:p>
        </w:tc>
        <w:tc>
          <w:tcPr>
            <w:tcW w:w="40" w:type="dxa"/>
            <w:vAlign w:val="bottom"/>
          </w:tcPr>
          <w:p>
            <w:pPr>
              <w:spacing w:after="0"/>
              <w:rPr>
                <w:sz w:val="8"/>
                <w:szCs w:val="8"/>
                <w:color w:val="auto"/>
              </w:rPr>
            </w:pPr>
          </w:p>
        </w:tc>
        <w:tc>
          <w:tcPr>
            <w:tcW w:w="66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61,470,540</w:t>
            </w: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4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460" w:type="dxa"/>
            <w:vAlign w:val="bottom"/>
          </w:tcPr>
          <w:p>
            <w:pPr>
              <w:spacing w:after="0" w:line="112" w:lineRule="exact"/>
              <w:rPr>
                <w:sz w:val="20"/>
                <w:szCs w:val="20"/>
                <w:color w:val="auto"/>
              </w:rPr>
            </w:pPr>
            <w:r>
              <w:rPr>
                <w:rFonts w:ascii="Arial" w:cs="Arial" w:eastAsia="Arial" w:hAnsi="Arial"/>
                <w:sz w:val="10"/>
                <w:szCs w:val="10"/>
                <w:b w:val="1"/>
                <w:bCs w:val="1"/>
                <w:color w:val="auto"/>
              </w:rPr>
              <w:t>Cash flow hedges (ii) -</w:t>
            </w: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Arial" w:cs="Arial" w:eastAsia="Arial" w:hAnsi="Arial"/>
                <w:sz w:val="10"/>
                <w:szCs w:val="10"/>
                <w:color w:val="auto"/>
              </w:rPr>
              <w:t>Cross currency swaps (CCS)</w:t>
            </w:r>
          </w:p>
        </w:tc>
        <w:tc>
          <w:tcPr>
            <w:tcW w:w="680" w:type="dxa"/>
            <w:vAlign w:val="bottom"/>
          </w:tcPr>
          <w:p>
            <w:pPr>
              <w:jc w:val="center"/>
              <w:ind w:right="51"/>
              <w:spacing w:after="0" w:line="110" w:lineRule="exact"/>
              <w:rPr>
                <w:sz w:val="20"/>
                <w:szCs w:val="20"/>
                <w:color w:val="auto"/>
              </w:rPr>
            </w:pPr>
            <w:r>
              <w:rPr>
                <w:rFonts w:ascii="Arial" w:cs="Arial" w:eastAsia="Arial" w:hAnsi="Arial"/>
                <w:sz w:val="10"/>
                <w:szCs w:val="10"/>
                <w:color w:val="auto"/>
                <w:w w:val="92"/>
              </w:rPr>
              <w:t>15(a)(i)</w:t>
            </w:r>
          </w:p>
        </w:tc>
        <w:tc>
          <w:tcPr>
            <w:tcW w:w="5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13,843</w:t>
            </w:r>
          </w:p>
        </w:tc>
        <w:tc>
          <w:tcPr>
            <w:tcW w:w="20" w:type="dxa"/>
            <w:vAlign w:val="bottom"/>
          </w:tcPr>
          <w:p>
            <w:pPr>
              <w:spacing w:after="0"/>
              <w:rPr>
                <w:sz w:val="9"/>
                <w:szCs w:val="9"/>
                <w:color w:val="auto"/>
              </w:rPr>
            </w:pPr>
          </w:p>
        </w:tc>
        <w:tc>
          <w:tcPr>
            <w:tcW w:w="64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25,524</w:t>
            </w:r>
          </w:p>
        </w:tc>
        <w:tc>
          <w:tcPr>
            <w:tcW w:w="40" w:type="dxa"/>
            <w:vAlign w:val="bottom"/>
          </w:tcPr>
          <w:p>
            <w:pPr>
              <w:spacing w:after="0"/>
              <w:rPr>
                <w:sz w:val="9"/>
                <w:szCs w:val="9"/>
                <w:color w:val="auto"/>
              </w:rPr>
            </w:pP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815,980</w:t>
            </w:r>
          </w:p>
        </w:tc>
        <w:tc>
          <w:tcPr>
            <w:tcW w:w="40" w:type="dxa"/>
            <w:vAlign w:val="bottom"/>
          </w:tcPr>
          <w:p>
            <w:pPr>
              <w:spacing w:after="0"/>
              <w:rPr>
                <w:sz w:val="9"/>
                <w:szCs w:val="9"/>
                <w:color w:val="auto"/>
              </w:rPr>
            </w:pPr>
          </w:p>
        </w:tc>
        <w:tc>
          <w:tcPr>
            <w:tcW w:w="1780" w:type="dxa"/>
            <w:vAlign w:val="bottom"/>
            <w:gridSpan w:val="2"/>
          </w:tcPr>
          <w:p>
            <w:pPr>
              <w:ind w:left="80"/>
              <w:spacing w:after="0" w:line="110" w:lineRule="exact"/>
              <w:rPr>
                <w:sz w:val="20"/>
                <w:szCs w:val="20"/>
                <w:color w:val="auto"/>
              </w:rPr>
            </w:pPr>
            <w:r>
              <w:rPr>
                <w:rFonts w:ascii="Arial" w:cs="Arial" w:eastAsia="Arial" w:hAnsi="Arial"/>
                <w:sz w:val="10"/>
                <w:szCs w:val="10"/>
                <w:color w:val="auto"/>
              </w:rPr>
              <w:t>January 2025</w:t>
            </w:r>
          </w:p>
        </w:tc>
        <w:tc>
          <w:tcPr>
            <w:tcW w:w="6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20,114</w:t>
            </w:r>
          </w:p>
        </w:tc>
        <w:tc>
          <w:tcPr>
            <w:tcW w:w="40" w:type="dxa"/>
            <w:vAlign w:val="bottom"/>
          </w:tcPr>
          <w:p>
            <w:pPr>
              <w:spacing w:after="0"/>
              <w:rPr>
                <w:sz w:val="9"/>
                <w:szCs w:val="9"/>
                <w:color w:val="auto"/>
              </w:rPr>
            </w:pP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8,418</w:t>
            </w:r>
          </w:p>
        </w:tc>
        <w:tc>
          <w:tcPr>
            <w:tcW w:w="40" w:type="dxa"/>
            <w:vAlign w:val="bottom"/>
          </w:tcPr>
          <w:p>
            <w:pPr>
              <w:spacing w:after="0"/>
              <w:rPr>
                <w:sz w:val="9"/>
                <w:szCs w:val="9"/>
                <w:color w:val="auto"/>
              </w:rPr>
            </w:pPr>
          </w:p>
        </w:tc>
        <w:tc>
          <w:tcPr>
            <w:tcW w:w="6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839,080</w:t>
            </w:r>
          </w:p>
        </w:tc>
        <w:tc>
          <w:tcPr>
            <w:tcW w:w="1800" w:type="dxa"/>
            <w:vAlign w:val="bottom"/>
            <w:gridSpan w:val="2"/>
          </w:tcPr>
          <w:p>
            <w:pPr>
              <w:ind w:left="140"/>
              <w:spacing w:after="0" w:line="110" w:lineRule="exact"/>
              <w:rPr>
                <w:sz w:val="20"/>
                <w:szCs w:val="20"/>
                <w:color w:val="auto"/>
              </w:rPr>
            </w:pPr>
            <w:r>
              <w:rPr>
                <w:rFonts w:ascii="Arial" w:cs="Arial" w:eastAsia="Arial" w:hAnsi="Arial"/>
                <w:sz w:val="10"/>
                <w:szCs w:val="10"/>
                <w:color w:val="auto"/>
              </w:rPr>
              <w:t>January 2025</w:t>
            </w: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Bonds issued</w:t>
            </w:r>
          </w:p>
        </w:tc>
        <w:tc>
          <w:tcPr>
            <w:tcW w:w="0" w:type="dxa"/>
            <w:vAlign w:val="bottom"/>
          </w:tcPr>
          <w:p>
            <w:pPr>
              <w:spacing w:after="0"/>
              <w:rPr>
                <w:sz w:val="1"/>
                <w:szCs w:val="1"/>
                <w:color w:val="auto"/>
              </w:rPr>
            </w:pPr>
          </w:p>
        </w:tc>
      </w:tr>
      <w:tr>
        <w:trPr>
          <w:trHeight w:val="110"/>
        </w:trPr>
        <w:tc>
          <w:tcPr>
            <w:tcW w:w="1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Repurchase</w:t>
            </w: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Arial" w:cs="Arial" w:eastAsia="Arial" w:hAnsi="Arial"/>
                <w:sz w:val="10"/>
                <w:szCs w:val="10"/>
                <w:color w:val="auto"/>
              </w:rPr>
              <w:t>Cross currency swaps (CCS)</w:t>
            </w:r>
          </w:p>
        </w:tc>
        <w:tc>
          <w:tcPr>
            <w:tcW w:w="680" w:type="dxa"/>
            <w:vAlign w:val="bottom"/>
          </w:tcPr>
          <w:p>
            <w:pPr>
              <w:ind w:left="160"/>
              <w:spacing w:after="0" w:line="110" w:lineRule="exact"/>
              <w:rPr>
                <w:sz w:val="20"/>
                <w:szCs w:val="20"/>
                <w:color w:val="auto"/>
              </w:rPr>
            </w:pPr>
            <w:r>
              <w:rPr>
                <w:rFonts w:ascii="Arial" w:cs="Arial" w:eastAsia="Arial" w:hAnsi="Arial"/>
                <w:sz w:val="10"/>
                <w:szCs w:val="10"/>
                <w:color w:val="auto"/>
              </w:rPr>
              <w:t>5(c)(i)</w:t>
            </w:r>
          </w:p>
        </w:tc>
        <w:tc>
          <w:tcPr>
            <w:tcW w:w="5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4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w:t>
            </w:r>
          </w:p>
        </w:tc>
        <w:tc>
          <w:tcPr>
            <w:tcW w:w="1600" w:type="dxa"/>
            <w:vAlign w:val="bottom"/>
            <w:gridSpan w:val="2"/>
          </w:tcPr>
          <w:p>
            <w:pPr>
              <w:ind w:left="120"/>
              <w:spacing w:after="0" w:line="110"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21,935</w:t>
            </w:r>
          </w:p>
        </w:tc>
        <w:tc>
          <w:tcPr>
            <w:tcW w:w="40" w:type="dxa"/>
            <w:vAlign w:val="bottom"/>
          </w:tcPr>
          <w:p>
            <w:pPr>
              <w:spacing w:after="0"/>
              <w:rPr>
                <w:sz w:val="9"/>
                <w:szCs w:val="9"/>
                <w:color w:val="auto"/>
              </w:rPr>
            </w:pP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171,630</w:t>
            </w:r>
          </w:p>
        </w:tc>
        <w:tc>
          <w:tcPr>
            <w:tcW w:w="1800" w:type="dxa"/>
            <w:vAlign w:val="bottom"/>
            <w:gridSpan w:val="2"/>
          </w:tcPr>
          <w:p>
            <w:pPr>
              <w:ind w:left="140"/>
              <w:spacing w:after="0" w:line="110" w:lineRule="exact"/>
              <w:rPr>
                <w:sz w:val="20"/>
                <w:szCs w:val="20"/>
                <w:color w:val="auto"/>
              </w:rPr>
            </w:pPr>
            <w:r>
              <w:rPr>
                <w:rFonts w:ascii="Arial" w:cs="Arial" w:eastAsia="Arial" w:hAnsi="Arial"/>
                <w:sz w:val="10"/>
                <w:szCs w:val="10"/>
                <w:color w:val="auto"/>
              </w:rPr>
              <w:t>August 2026</w:t>
            </w: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agreements(*)</w:t>
            </w: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Arial" w:cs="Arial" w:eastAsia="Arial" w:hAnsi="Arial"/>
                <w:sz w:val="10"/>
                <w:szCs w:val="10"/>
                <w:color w:val="auto"/>
              </w:rPr>
              <w:t>Cross currency swaps (CCS)</w:t>
            </w:r>
          </w:p>
        </w:tc>
        <w:tc>
          <w:tcPr>
            <w:tcW w:w="680" w:type="dxa"/>
            <w:vAlign w:val="bottom"/>
          </w:tcPr>
          <w:p>
            <w:pPr>
              <w:jc w:val="center"/>
              <w:ind w:right="51"/>
              <w:spacing w:after="0" w:line="110" w:lineRule="exact"/>
              <w:rPr>
                <w:sz w:val="20"/>
                <w:szCs w:val="20"/>
                <w:color w:val="auto"/>
              </w:rPr>
            </w:pPr>
            <w:r>
              <w:rPr>
                <w:rFonts w:ascii="Arial" w:cs="Arial" w:eastAsia="Arial" w:hAnsi="Arial"/>
                <w:sz w:val="10"/>
                <w:szCs w:val="10"/>
                <w:color w:val="auto"/>
                <w:w w:val="96"/>
              </w:rPr>
              <w:t>15(a)(v)</w:t>
            </w:r>
          </w:p>
        </w:tc>
        <w:tc>
          <w:tcPr>
            <w:tcW w:w="5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1,552</w:t>
            </w:r>
          </w:p>
        </w:tc>
        <w:tc>
          <w:tcPr>
            <w:tcW w:w="20" w:type="dxa"/>
            <w:vAlign w:val="bottom"/>
          </w:tcPr>
          <w:p>
            <w:pPr>
              <w:spacing w:after="0"/>
              <w:rPr>
                <w:sz w:val="9"/>
                <w:szCs w:val="9"/>
                <w:color w:val="auto"/>
              </w:rPr>
            </w:pPr>
          </w:p>
        </w:tc>
        <w:tc>
          <w:tcPr>
            <w:tcW w:w="64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78,969</w:t>
            </w:r>
          </w:p>
        </w:tc>
        <w:tc>
          <w:tcPr>
            <w:tcW w:w="40" w:type="dxa"/>
            <w:vAlign w:val="bottom"/>
          </w:tcPr>
          <w:p>
            <w:pPr>
              <w:spacing w:after="0"/>
              <w:rPr>
                <w:sz w:val="9"/>
                <w:szCs w:val="9"/>
                <w:color w:val="auto"/>
              </w:rPr>
            </w:pPr>
          </w:p>
        </w:tc>
        <w:tc>
          <w:tcPr>
            <w:tcW w:w="1780" w:type="dxa"/>
            <w:vAlign w:val="bottom"/>
            <w:gridSpan w:val="2"/>
          </w:tcPr>
          <w:p>
            <w:pPr>
              <w:ind w:left="80"/>
              <w:spacing w:after="0" w:line="110" w:lineRule="exact"/>
              <w:rPr>
                <w:sz w:val="20"/>
                <w:szCs w:val="20"/>
                <w:color w:val="auto"/>
              </w:rPr>
            </w:pPr>
            <w:r>
              <w:rPr>
                <w:rFonts w:ascii="Arial" w:cs="Arial" w:eastAsia="Arial" w:hAnsi="Arial"/>
                <w:sz w:val="10"/>
                <w:szCs w:val="10"/>
                <w:color w:val="auto"/>
              </w:rPr>
              <w:t>November 2025</w:t>
            </w:r>
          </w:p>
        </w:tc>
        <w:tc>
          <w:tcPr>
            <w:tcW w:w="6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13,688</w:t>
            </w:r>
          </w:p>
        </w:tc>
        <w:tc>
          <w:tcPr>
            <w:tcW w:w="40" w:type="dxa"/>
            <w:vAlign w:val="bottom"/>
          </w:tcPr>
          <w:p>
            <w:pPr>
              <w:spacing w:after="0"/>
              <w:rPr>
                <w:sz w:val="9"/>
                <w:szCs w:val="9"/>
                <w:color w:val="auto"/>
              </w:rPr>
            </w:pPr>
          </w:p>
        </w:tc>
        <w:tc>
          <w:tcPr>
            <w:tcW w:w="6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145,715</w:t>
            </w:r>
          </w:p>
        </w:tc>
        <w:tc>
          <w:tcPr>
            <w:tcW w:w="1800" w:type="dxa"/>
            <w:vAlign w:val="bottom"/>
            <w:gridSpan w:val="2"/>
          </w:tcPr>
          <w:p>
            <w:pPr>
              <w:ind w:left="140"/>
              <w:spacing w:after="0" w:line="110" w:lineRule="exact"/>
              <w:rPr>
                <w:sz w:val="20"/>
                <w:szCs w:val="20"/>
                <w:color w:val="auto"/>
              </w:rPr>
            </w:pPr>
            <w:r>
              <w:rPr>
                <w:rFonts w:ascii="Arial" w:cs="Arial" w:eastAsia="Arial" w:hAnsi="Arial"/>
                <w:sz w:val="10"/>
                <w:szCs w:val="10"/>
                <w:color w:val="auto"/>
              </w:rPr>
              <w:t>December 2023</w:t>
            </w: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Bonds issued</w:t>
            </w: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Arial" w:cs="Arial" w:eastAsia="Arial" w:hAnsi="Arial"/>
                <w:sz w:val="10"/>
                <w:szCs w:val="10"/>
                <w:color w:val="auto"/>
              </w:rPr>
              <w:t>Cross currency swaps (CCS)</w:t>
            </w:r>
          </w:p>
        </w:tc>
        <w:tc>
          <w:tcPr>
            <w:tcW w:w="680" w:type="dxa"/>
            <w:vAlign w:val="bottom"/>
          </w:tcPr>
          <w:p>
            <w:pPr>
              <w:ind w:left="160"/>
              <w:spacing w:after="0" w:line="110" w:lineRule="exact"/>
              <w:rPr>
                <w:sz w:val="20"/>
                <w:szCs w:val="20"/>
                <w:color w:val="auto"/>
              </w:rPr>
            </w:pPr>
            <w:r>
              <w:rPr>
                <w:rFonts w:ascii="Arial" w:cs="Arial" w:eastAsia="Arial" w:hAnsi="Arial"/>
                <w:sz w:val="10"/>
                <w:szCs w:val="10"/>
                <w:color w:val="auto"/>
              </w:rPr>
              <w:t>6(b)(i)</w:t>
            </w:r>
          </w:p>
        </w:tc>
        <w:tc>
          <w:tcPr>
            <w:tcW w:w="5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20,359</w:t>
            </w:r>
          </w:p>
        </w:tc>
        <w:tc>
          <w:tcPr>
            <w:tcW w:w="20" w:type="dxa"/>
            <w:vAlign w:val="bottom"/>
          </w:tcPr>
          <w:p>
            <w:pPr>
              <w:spacing w:after="0"/>
              <w:rPr>
                <w:sz w:val="9"/>
                <w:szCs w:val="9"/>
                <w:color w:val="auto"/>
              </w:rPr>
            </w:pPr>
          </w:p>
        </w:tc>
        <w:tc>
          <w:tcPr>
            <w:tcW w:w="640" w:type="dxa"/>
            <w:vAlign w:val="bottom"/>
          </w:tcPr>
          <w:p>
            <w:pPr>
              <w:jc w:val="right"/>
              <w:ind w:right="31"/>
              <w:spacing w:after="0" w:line="110" w:lineRule="exact"/>
              <w:rPr>
                <w:sz w:val="20"/>
                <w:szCs w:val="20"/>
                <w:color w:val="auto"/>
              </w:rPr>
            </w:pPr>
            <w:r>
              <w:rPr>
                <w:rFonts w:ascii="Arial" w:cs="Arial" w:eastAsia="Arial" w:hAnsi="Arial"/>
                <w:sz w:val="10"/>
                <w:szCs w:val="10"/>
                <w:color w:val="auto"/>
              </w:rPr>
              <w:t>9,784</w:t>
            </w:r>
          </w:p>
        </w:tc>
        <w:tc>
          <w:tcPr>
            <w:tcW w:w="40" w:type="dxa"/>
            <w:vAlign w:val="bottom"/>
          </w:tcPr>
          <w:p>
            <w:pPr>
              <w:spacing w:after="0"/>
              <w:rPr>
                <w:sz w:val="9"/>
                <w:szCs w:val="9"/>
                <w:color w:val="auto"/>
              </w:rPr>
            </w:pP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126,624</w:t>
            </w:r>
          </w:p>
        </w:tc>
        <w:tc>
          <w:tcPr>
            <w:tcW w:w="40" w:type="dxa"/>
            <w:vAlign w:val="bottom"/>
          </w:tcPr>
          <w:p>
            <w:pPr>
              <w:spacing w:after="0"/>
              <w:rPr>
                <w:sz w:val="9"/>
                <w:szCs w:val="9"/>
                <w:color w:val="auto"/>
              </w:rPr>
            </w:pPr>
          </w:p>
        </w:tc>
        <w:tc>
          <w:tcPr>
            <w:tcW w:w="1780" w:type="dxa"/>
            <w:vAlign w:val="bottom"/>
            <w:gridSpan w:val="2"/>
          </w:tcPr>
          <w:p>
            <w:pPr>
              <w:ind w:left="80"/>
              <w:spacing w:after="0" w:line="110" w:lineRule="exact"/>
              <w:rPr>
                <w:sz w:val="20"/>
                <w:szCs w:val="20"/>
                <w:color w:val="auto"/>
              </w:rPr>
            </w:pPr>
            <w:r>
              <w:rPr>
                <w:rFonts w:ascii="Arial" w:cs="Arial" w:eastAsia="Arial" w:hAnsi="Arial"/>
                <w:sz w:val="10"/>
                <w:szCs w:val="10"/>
                <w:color w:val="auto"/>
              </w:rPr>
              <w:t>February 2024 / January 2025</w:t>
            </w:r>
          </w:p>
        </w:tc>
        <w:tc>
          <w:tcPr>
            <w:tcW w:w="6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41,746</w:t>
            </w:r>
          </w:p>
        </w:tc>
        <w:tc>
          <w:tcPr>
            <w:tcW w:w="40" w:type="dxa"/>
            <w:vAlign w:val="bottom"/>
          </w:tcPr>
          <w:p>
            <w:pPr>
              <w:spacing w:after="0"/>
              <w:rPr>
                <w:sz w:val="9"/>
                <w:szCs w:val="9"/>
                <w:color w:val="auto"/>
              </w:rPr>
            </w:pP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2,123</w:t>
            </w:r>
          </w:p>
        </w:tc>
        <w:tc>
          <w:tcPr>
            <w:tcW w:w="40" w:type="dxa"/>
            <w:vAlign w:val="bottom"/>
          </w:tcPr>
          <w:p>
            <w:pPr>
              <w:spacing w:after="0"/>
              <w:rPr>
                <w:sz w:val="9"/>
                <w:szCs w:val="9"/>
                <w:color w:val="auto"/>
              </w:rPr>
            </w:pPr>
          </w:p>
        </w:tc>
        <w:tc>
          <w:tcPr>
            <w:tcW w:w="6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131,382</w:t>
            </w:r>
          </w:p>
        </w:tc>
        <w:tc>
          <w:tcPr>
            <w:tcW w:w="1800" w:type="dxa"/>
            <w:vAlign w:val="bottom"/>
            <w:gridSpan w:val="2"/>
          </w:tcPr>
          <w:p>
            <w:pPr>
              <w:ind w:left="140"/>
              <w:spacing w:after="0" w:line="110" w:lineRule="exact"/>
              <w:rPr>
                <w:sz w:val="20"/>
                <w:szCs w:val="20"/>
                <w:color w:val="auto"/>
              </w:rPr>
            </w:pPr>
            <w:r>
              <w:rPr>
                <w:rFonts w:ascii="Arial" w:cs="Arial" w:eastAsia="Arial" w:hAnsi="Arial"/>
                <w:sz w:val="10"/>
                <w:szCs w:val="10"/>
                <w:color w:val="auto"/>
              </w:rPr>
              <w:t>January 2023 / January 2025</w:t>
            </w: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Investments</w:t>
            </w: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Arial" w:cs="Arial" w:eastAsia="Arial" w:hAnsi="Arial"/>
                <w:sz w:val="10"/>
                <w:szCs w:val="10"/>
                <w:color w:val="auto"/>
              </w:rPr>
              <w:t>Cross currency swaps (CCS)</w:t>
            </w:r>
          </w:p>
        </w:tc>
        <w:tc>
          <w:tcPr>
            <w:tcW w:w="680" w:type="dxa"/>
            <w:vAlign w:val="bottom"/>
          </w:tcPr>
          <w:p>
            <w:pPr>
              <w:jc w:val="center"/>
              <w:ind w:right="51"/>
              <w:spacing w:after="0" w:line="110" w:lineRule="exact"/>
              <w:rPr>
                <w:sz w:val="20"/>
                <w:szCs w:val="20"/>
                <w:color w:val="auto"/>
              </w:rPr>
            </w:pPr>
            <w:r>
              <w:rPr>
                <w:rFonts w:ascii="Arial" w:cs="Arial" w:eastAsia="Arial" w:hAnsi="Arial"/>
                <w:sz w:val="10"/>
                <w:szCs w:val="10"/>
                <w:color w:val="auto"/>
                <w:w w:val="98"/>
              </w:rPr>
              <w:t>14(b)(ii)</w:t>
            </w:r>
          </w:p>
        </w:tc>
        <w:tc>
          <w:tcPr>
            <w:tcW w:w="5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4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11,253</w:t>
            </w:r>
          </w:p>
        </w:tc>
        <w:tc>
          <w:tcPr>
            <w:tcW w:w="40" w:type="dxa"/>
            <w:vAlign w:val="bottom"/>
          </w:tcPr>
          <w:p>
            <w:pPr>
              <w:spacing w:after="0"/>
              <w:rPr>
                <w:sz w:val="9"/>
                <w:szCs w:val="9"/>
                <w:color w:val="auto"/>
              </w:rPr>
            </w:pP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222,540</w:t>
            </w:r>
          </w:p>
        </w:tc>
        <w:tc>
          <w:tcPr>
            <w:tcW w:w="40" w:type="dxa"/>
            <w:vAlign w:val="bottom"/>
          </w:tcPr>
          <w:p>
            <w:pPr>
              <w:spacing w:after="0"/>
              <w:rPr>
                <w:sz w:val="9"/>
                <w:szCs w:val="9"/>
                <w:color w:val="auto"/>
              </w:rPr>
            </w:pPr>
          </w:p>
        </w:tc>
        <w:tc>
          <w:tcPr>
            <w:tcW w:w="1780" w:type="dxa"/>
            <w:vAlign w:val="bottom"/>
            <w:gridSpan w:val="2"/>
          </w:tcPr>
          <w:p>
            <w:pPr>
              <w:ind w:left="80"/>
              <w:spacing w:after="0" w:line="110" w:lineRule="exact"/>
              <w:rPr>
                <w:sz w:val="20"/>
                <w:szCs w:val="20"/>
                <w:color w:val="auto"/>
              </w:rPr>
            </w:pPr>
            <w:r>
              <w:rPr>
                <w:rFonts w:ascii="Arial" w:cs="Arial" w:eastAsia="Arial" w:hAnsi="Arial"/>
                <w:sz w:val="10"/>
                <w:szCs w:val="10"/>
                <w:color w:val="auto"/>
              </w:rPr>
              <w:t>May 2025 / June 2025</w:t>
            </w:r>
          </w:p>
        </w:tc>
        <w:tc>
          <w:tcPr>
            <w:tcW w:w="6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156</w:t>
            </w:r>
          </w:p>
        </w:tc>
        <w:tc>
          <w:tcPr>
            <w:tcW w:w="40" w:type="dxa"/>
            <w:vAlign w:val="bottom"/>
          </w:tcPr>
          <w:p>
            <w:pPr>
              <w:spacing w:after="0"/>
              <w:rPr>
                <w:sz w:val="9"/>
                <w:szCs w:val="9"/>
                <w:color w:val="auto"/>
              </w:rPr>
            </w:pPr>
          </w:p>
        </w:tc>
        <w:tc>
          <w:tcPr>
            <w:tcW w:w="6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38,140</w:t>
            </w:r>
          </w:p>
        </w:tc>
        <w:tc>
          <w:tcPr>
            <w:tcW w:w="1800" w:type="dxa"/>
            <w:vAlign w:val="bottom"/>
            <w:gridSpan w:val="2"/>
          </w:tcPr>
          <w:p>
            <w:pPr>
              <w:ind w:left="140"/>
              <w:spacing w:after="0" w:line="110" w:lineRule="exact"/>
              <w:rPr>
                <w:sz w:val="20"/>
                <w:szCs w:val="20"/>
                <w:color w:val="auto"/>
              </w:rPr>
            </w:pPr>
            <w:r>
              <w:rPr>
                <w:rFonts w:ascii="Arial" w:cs="Arial" w:eastAsia="Arial" w:hAnsi="Arial"/>
                <w:sz w:val="10"/>
                <w:szCs w:val="10"/>
                <w:color w:val="auto"/>
              </w:rPr>
              <w:t>June 2025</w:t>
            </w: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Debts to bank</w:t>
            </w:r>
          </w:p>
        </w:tc>
        <w:tc>
          <w:tcPr>
            <w:tcW w:w="0" w:type="dxa"/>
            <w:vAlign w:val="bottom"/>
          </w:tcPr>
          <w:p>
            <w:pPr>
              <w:spacing w:after="0"/>
              <w:rPr>
                <w:sz w:val="1"/>
                <w:szCs w:val="1"/>
                <w:color w:val="auto"/>
              </w:rPr>
            </w:pPr>
          </w:p>
        </w:tc>
      </w:tr>
      <w:tr>
        <w:trPr>
          <w:trHeight w:val="110"/>
        </w:trPr>
        <w:tc>
          <w:tcPr>
            <w:tcW w:w="1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Repurchase</w:t>
            </w: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Arial" w:cs="Arial" w:eastAsia="Arial" w:hAnsi="Arial"/>
                <w:sz w:val="10"/>
                <w:szCs w:val="10"/>
                <w:color w:val="auto"/>
              </w:rPr>
              <w:t>Cross currency swaps (CCS)</w:t>
            </w:r>
          </w:p>
        </w:tc>
        <w:tc>
          <w:tcPr>
            <w:tcW w:w="680" w:type="dxa"/>
            <w:vAlign w:val="bottom"/>
          </w:tcPr>
          <w:p>
            <w:pPr>
              <w:ind w:left="160"/>
              <w:spacing w:after="0" w:line="110" w:lineRule="exact"/>
              <w:rPr>
                <w:sz w:val="20"/>
                <w:szCs w:val="20"/>
                <w:color w:val="auto"/>
              </w:rPr>
            </w:pPr>
            <w:r>
              <w:rPr>
                <w:rFonts w:ascii="Arial" w:cs="Arial" w:eastAsia="Arial" w:hAnsi="Arial"/>
                <w:sz w:val="10"/>
                <w:szCs w:val="10"/>
                <w:color w:val="auto"/>
              </w:rPr>
              <w:t>5(c)(ii)</w:t>
            </w:r>
          </w:p>
        </w:tc>
        <w:tc>
          <w:tcPr>
            <w:tcW w:w="5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4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w:t>
            </w:r>
          </w:p>
        </w:tc>
        <w:tc>
          <w:tcPr>
            <w:tcW w:w="1600" w:type="dxa"/>
            <w:vAlign w:val="bottom"/>
            <w:gridSpan w:val="2"/>
          </w:tcPr>
          <w:p>
            <w:pPr>
              <w:ind w:left="120"/>
              <w:spacing w:after="0" w:line="110"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14,861</w:t>
            </w:r>
          </w:p>
        </w:tc>
        <w:tc>
          <w:tcPr>
            <w:tcW w:w="40" w:type="dxa"/>
            <w:vAlign w:val="bottom"/>
          </w:tcPr>
          <w:p>
            <w:pPr>
              <w:spacing w:after="0"/>
              <w:rPr>
                <w:sz w:val="9"/>
                <w:szCs w:val="9"/>
                <w:color w:val="auto"/>
              </w:rPr>
            </w:pP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95,350</w:t>
            </w:r>
          </w:p>
        </w:tc>
        <w:tc>
          <w:tcPr>
            <w:tcW w:w="1800" w:type="dxa"/>
            <w:vAlign w:val="bottom"/>
            <w:gridSpan w:val="2"/>
          </w:tcPr>
          <w:p>
            <w:pPr>
              <w:ind w:left="140"/>
              <w:spacing w:after="0" w:line="110" w:lineRule="exact"/>
              <w:rPr>
                <w:sz w:val="20"/>
                <w:szCs w:val="20"/>
                <w:color w:val="auto"/>
              </w:rPr>
            </w:pPr>
            <w:r>
              <w:rPr>
                <w:rFonts w:ascii="Arial" w:cs="Arial" w:eastAsia="Arial" w:hAnsi="Arial"/>
                <w:sz w:val="10"/>
                <w:szCs w:val="10"/>
                <w:color w:val="auto"/>
              </w:rPr>
              <w:t>August 2026</w:t>
            </w: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agreements(*)</w:t>
            </w:r>
          </w:p>
        </w:tc>
        <w:tc>
          <w:tcPr>
            <w:tcW w:w="0" w:type="dxa"/>
            <w:vAlign w:val="bottom"/>
          </w:tcPr>
          <w:p>
            <w:pPr>
              <w:spacing w:after="0"/>
              <w:rPr>
                <w:sz w:val="1"/>
                <w:szCs w:val="1"/>
                <w:color w:val="auto"/>
              </w:rPr>
            </w:pPr>
          </w:p>
        </w:tc>
      </w:tr>
      <w:tr>
        <w:trPr>
          <w:trHeight w:val="110"/>
        </w:trPr>
        <w:tc>
          <w:tcPr>
            <w:tcW w:w="1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Cash and due</w:t>
            </w:r>
          </w:p>
        </w:tc>
        <w:tc>
          <w:tcPr>
            <w:tcW w:w="0" w:type="dxa"/>
            <w:vAlign w:val="bottom"/>
          </w:tcPr>
          <w:p>
            <w:pPr>
              <w:spacing w:after="0"/>
              <w:rPr>
                <w:sz w:val="1"/>
                <w:szCs w:val="1"/>
                <w:color w:val="auto"/>
              </w:rPr>
            </w:pPr>
          </w:p>
        </w:tc>
      </w:tr>
      <w:tr>
        <w:trPr>
          <w:trHeight w:val="110"/>
        </w:trPr>
        <w:tc>
          <w:tcPr>
            <w:tcW w:w="1460" w:type="dxa"/>
            <w:vAlign w:val="bottom"/>
          </w:tcPr>
          <w:p>
            <w:pPr>
              <w:spacing w:after="0" w:line="110" w:lineRule="exact"/>
              <w:rPr>
                <w:sz w:val="20"/>
                <w:szCs w:val="20"/>
                <w:color w:val="auto"/>
              </w:rPr>
            </w:pPr>
            <w:r>
              <w:rPr>
                <w:rFonts w:ascii="Arial" w:cs="Arial" w:eastAsia="Arial" w:hAnsi="Arial"/>
                <w:sz w:val="10"/>
                <w:szCs w:val="10"/>
                <w:color w:val="auto"/>
              </w:rPr>
              <w:t>Cross interest rate swaps (IRS)</w:t>
            </w:r>
          </w:p>
        </w:tc>
        <w:tc>
          <w:tcPr>
            <w:tcW w:w="680" w:type="dxa"/>
            <w:vAlign w:val="bottom"/>
          </w:tcPr>
          <w:p>
            <w:pPr>
              <w:jc w:val="center"/>
              <w:ind w:right="51"/>
              <w:spacing w:after="0" w:line="110" w:lineRule="exact"/>
              <w:rPr>
                <w:sz w:val="20"/>
                <w:szCs w:val="20"/>
                <w:color w:val="auto"/>
              </w:rPr>
            </w:pPr>
            <w:r>
              <w:rPr>
                <w:rFonts w:ascii="Arial" w:cs="Arial" w:eastAsia="Arial" w:hAnsi="Arial"/>
                <w:sz w:val="10"/>
                <w:szCs w:val="10"/>
                <w:color w:val="auto"/>
                <w:w w:val="97"/>
              </w:rPr>
              <w:t>4(b)(i)</w:t>
            </w:r>
          </w:p>
        </w:tc>
        <w:tc>
          <w:tcPr>
            <w:tcW w:w="5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786</w:t>
            </w:r>
          </w:p>
        </w:tc>
        <w:tc>
          <w:tcPr>
            <w:tcW w:w="20" w:type="dxa"/>
            <w:vAlign w:val="bottom"/>
          </w:tcPr>
          <w:p>
            <w:pPr>
              <w:spacing w:after="0"/>
              <w:rPr>
                <w:sz w:val="9"/>
                <w:szCs w:val="9"/>
                <w:color w:val="auto"/>
              </w:rPr>
            </w:pPr>
          </w:p>
        </w:tc>
        <w:tc>
          <w:tcPr>
            <w:tcW w:w="64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337</w:t>
            </w:r>
          </w:p>
        </w:tc>
        <w:tc>
          <w:tcPr>
            <w:tcW w:w="40" w:type="dxa"/>
            <w:vAlign w:val="bottom"/>
          </w:tcPr>
          <w:p>
            <w:pPr>
              <w:spacing w:after="0"/>
              <w:rPr>
                <w:sz w:val="9"/>
                <w:szCs w:val="9"/>
                <w:color w:val="auto"/>
              </w:rPr>
            </w:pP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556,350</w:t>
            </w:r>
          </w:p>
        </w:tc>
        <w:tc>
          <w:tcPr>
            <w:tcW w:w="40" w:type="dxa"/>
            <w:vAlign w:val="bottom"/>
          </w:tcPr>
          <w:p>
            <w:pPr>
              <w:spacing w:after="0"/>
              <w:rPr>
                <w:sz w:val="9"/>
                <w:szCs w:val="9"/>
                <w:color w:val="auto"/>
              </w:rPr>
            </w:pPr>
          </w:p>
        </w:tc>
        <w:tc>
          <w:tcPr>
            <w:tcW w:w="1780" w:type="dxa"/>
            <w:vAlign w:val="bottom"/>
            <w:gridSpan w:val="2"/>
          </w:tcPr>
          <w:p>
            <w:pPr>
              <w:ind w:left="80"/>
              <w:spacing w:after="0" w:line="110" w:lineRule="exact"/>
              <w:rPr>
                <w:sz w:val="20"/>
                <w:szCs w:val="20"/>
                <w:color w:val="auto"/>
              </w:rPr>
            </w:pPr>
            <w:r>
              <w:rPr>
                <w:rFonts w:ascii="Arial" w:cs="Arial" w:eastAsia="Arial" w:hAnsi="Arial"/>
                <w:sz w:val="10"/>
                <w:szCs w:val="10"/>
                <w:color w:val="auto"/>
              </w:rPr>
              <w:t>April 2026 / May 2026</w:t>
            </w:r>
          </w:p>
        </w:tc>
        <w:tc>
          <w:tcPr>
            <w:tcW w:w="6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ind w:left="80"/>
              <w:spacing w:after="0" w:line="110" w:lineRule="exact"/>
              <w:rPr>
                <w:sz w:val="20"/>
                <w:szCs w:val="20"/>
                <w:color w:val="auto"/>
              </w:rPr>
            </w:pPr>
            <w:r>
              <w:rPr>
                <w:rFonts w:ascii="Arial" w:cs="Arial" w:eastAsia="Arial" w:hAnsi="Arial"/>
                <w:sz w:val="10"/>
                <w:szCs w:val="10"/>
                <w:color w:val="auto"/>
              </w:rPr>
              <w:t>from banks</w:t>
            </w:r>
          </w:p>
        </w:tc>
        <w:tc>
          <w:tcPr>
            <w:tcW w:w="0" w:type="dxa"/>
            <w:vAlign w:val="bottom"/>
          </w:tcPr>
          <w:p>
            <w:pPr>
              <w:spacing w:after="0"/>
              <w:rPr>
                <w:sz w:val="1"/>
                <w:szCs w:val="1"/>
                <w:color w:val="auto"/>
              </w:rPr>
            </w:pPr>
          </w:p>
        </w:tc>
      </w:tr>
      <w:tr>
        <w:trPr>
          <w:trHeight w:val="126"/>
        </w:trPr>
        <w:tc>
          <w:tcPr>
            <w:tcW w:w="1460" w:type="dxa"/>
            <w:vAlign w:val="bottom"/>
          </w:tcPr>
          <w:p>
            <w:pPr>
              <w:spacing w:after="0"/>
              <w:rPr>
                <w:sz w:val="20"/>
                <w:szCs w:val="20"/>
                <w:color w:val="auto"/>
              </w:rPr>
            </w:pPr>
            <w:r>
              <w:rPr>
                <w:rFonts w:ascii="Arial" w:cs="Arial" w:eastAsia="Arial" w:hAnsi="Arial"/>
                <w:sz w:val="10"/>
                <w:szCs w:val="10"/>
                <w:color w:val="auto"/>
              </w:rPr>
              <w:t>Foreign currency forwards</w:t>
            </w:r>
          </w:p>
        </w:tc>
        <w:tc>
          <w:tcPr>
            <w:tcW w:w="680" w:type="dxa"/>
            <w:vAlign w:val="bottom"/>
          </w:tcPr>
          <w:p>
            <w:pPr>
              <w:jc w:val="center"/>
              <w:ind w:right="51"/>
              <w:spacing w:after="0"/>
              <w:rPr>
                <w:sz w:val="20"/>
                <w:szCs w:val="20"/>
                <w:color w:val="auto"/>
              </w:rPr>
            </w:pPr>
            <w:r>
              <w:rPr>
                <w:rFonts w:ascii="Arial" w:cs="Arial" w:eastAsia="Arial" w:hAnsi="Arial"/>
                <w:sz w:val="10"/>
                <w:szCs w:val="10"/>
                <w:color w:val="auto"/>
                <w:w w:val="94"/>
              </w:rPr>
              <w:t>14(b)</w:t>
            </w: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57</w:t>
            </w:r>
          </w:p>
        </w:tc>
        <w:tc>
          <w:tcPr>
            <w:tcW w:w="20" w:type="dxa"/>
            <w:vAlign w:val="bottom"/>
          </w:tcPr>
          <w:p>
            <w:pPr>
              <w:spacing w:after="0"/>
              <w:rPr>
                <w:sz w:val="10"/>
                <w:szCs w:val="10"/>
                <w:color w:val="auto"/>
              </w:rPr>
            </w:pPr>
          </w:p>
        </w:tc>
        <w:tc>
          <w:tcPr>
            <w:tcW w:w="6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54,392</w:t>
            </w:r>
          </w:p>
        </w:tc>
        <w:tc>
          <w:tcPr>
            <w:tcW w:w="40" w:type="dxa"/>
            <w:vAlign w:val="bottom"/>
          </w:tcPr>
          <w:p>
            <w:pPr>
              <w:spacing w:after="0"/>
              <w:rPr>
                <w:sz w:val="10"/>
                <w:szCs w:val="10"/>
                <w:color w:val="auto"/>
              </w:rPr>
            </w:pPr>
          </w:p>
        </w:tc>
        <w:tc>
          <w:tcPr>
            <w:tcW w:w="1780" w:type="dxa"/>
            <w:vAlign w:val="bottom"/>
            <w:gridSpan w:val="2"/>
          </w:tcPr>
          <w:p>
            <w:pPr>
              <w:ind w:left="80"/>
              <w:spacing w:after="0"/>
              <w:rPr>
                <w:sz w:val="20"/>
                <w:szCs w:val="20"/>
                <w:color w:val="auto"/>
              </w:rPr>
            </w:pPr>
            <w:r>
              <w:rPr>
                <w:rFonts w:ascii="Arial" w:cs="Arial" w:eastAsia="Arial" w:hAnsi="Arial"/>
                <w:sz w:val="10"/>
                <w:szCs w:val="10"/>
                <w:color w:val="auto"/>
              </w:rPr>
              <w:t>June 2024</w:t>
            </w: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0"/>
                <w:szCs w:val="10"/>
                <w:color w:val="auto"/>
              </w:rPr>
              <w:t>Debts to bank</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20"/>
                <w:szCs w:val="20"/>
                <w:color w:val="auto"/>
              </w:rPr>
            </w:pPr>
            <w:r>
              <w:rPr>
                <w:rFonts w:ascii="Arial" w:cs="Arial" w:eastAsia="Arial" w:hAnsi="Arial"/>
                <w:sz w:val="10"/>
                <w:szCs w:val="10"/>
                <w:b w:val="1"/>
                <w:bCs w:val="1"/>
                <w:color w:val="auto"/>
              </w:rPr>
              <w:t>Fair value hedges -</w:t>
            </w: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20"/>
                <w:szCs w:val="20"/>
                <w:color w:val="auto"/>
              </w:rPr>
            </w:pPr>
            <w:r>
              <w:rPr>
                <w:rFonts w:ascii="Arial" w:cs="Arial" w:eastAsia="Arial" w:hAnsi="Arial"/>
                <w:sz w:val="10"/>
                <w:szCs w:val="10"/>
                <w:color w:val="auto"/>
              </w:rPr>
              <w:t>Interest rate swaps (IRS)</w:t>
            </w:r>
          </w:p>
        </w:tc>
        <w:tc>
          <w:tcPr>
            <w:tcW w:w="680" w:type="dxa"/>
            <w:vAlign w:val="bottom"/>
          </w:tcPr>
          <w:p>
            <w:pPr>
              <w:jc w:val="center"/>
              <w:ind w:right="51"/>
              <w:spacing w:after="0"/>
              <w:rPr>
                <w:sz w:val="20"/>
                <w:szCs w:val="20"/>
                <w:color w:val="auto"/>
              </w:rPr>
            </w:pPr>
            <w:r>
              <w:rPr>
                <w:rFonts w:ascii="Arial" w:cs="Arial" w:eastAsia="Arial" w:hAnsi="Arial"/>
                <w:sz w:val="10"/>
                <w:szCs w:val="10"/>
                <w:color w:val="auto"/>
              </w:rPr>
              <w:t>6(b)</w:t>
            </w: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41,554</w:t>
            </w:r>
          </w:p>
        </w:tc>
        <w:tc>
          <w:tcPr>
            <w:tcW w:w="20" w:type="dxa"/>
            <w:vAlign w:val="bottom"/>
          </w:tcPr>
          <w:p>
            <w:pPr>
              <w:spacing w:after="0"/>
              <w:rPr>
                <w:sz w:val="10"/>
                <w:szCs w:val="10"/>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778,890</w:t>
            </w:r>
          </w:p>
        </w:tc>
        <w:tc>
          <w:tcPr>
            <w:tcW w:w="40" w:type="dxa"/>
            <w:vAlign w:val="bottom"/>
          </w:tcPr>
          <w:p>
            <w:pPr>
              <w:spacing w:after="0"/>
              <w:rPr>
                <w:sz w:val="10"/>
                <w:szCs w:val="10"/>
                <w:color w:val="auto"/>
              </w:rPr>
            </w:pPr>
          </w:p>
        </w:tc>
        <w:tc>
          <w:tcPr>
            <w:tcW w:w="1780" w:type="dxa"/>
            <w:vAlign w:val="bottom"/>
            <w:gridSpan w:val="2"/>
          </w:tcPr>
          <w:p>
            <w:pPr>
              <w:ind w:left="80"/>
              <w:spacing w:after="0"/>
              <w:rPr>
                <w:sz w:val="20"/>
                <w:szCs w:val="20"/>
                <w:color w:val="auto"/>
              </w:rPr>
            </w:pPr>
            <w:r>
              <w:rPr>
                <w:rFonts w:ascii="Arial" w:cs="Arial" w:eastAsia="Arial" w:hAnsi="Arial"/>
                <w:sz w:val="10"/>
                <w:szCs w:val="10"/>
                <w:color w:val="auto"/>
              </w:rPr>
              <w:t>March 2025 / February 2028</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52,106</w:t>
            </w:r>
          </w:p>
        </w:tc>
        <w:tc>
          <w:tcPr>
            <w:tcW w:w="40" w:type="dxa"/>
            <w:vAlign w:val="bottom"/>
          </w:tcPr>
          <w:p>
            <w:pPr>
              <w:spacing w:after="0"/>
              <w:rPr>
                <w:sz w:val="10"/>
                <w:szCs w:val="10"/>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397</w:t>
            </w:r>
          </w:p>
        </w:tc>
        <w:tc>
          <w:tcPr>
            <w:tcW w:w="40" w:type="dxa"/>
            <w:vAlign w:val="bottom"/>
          </w:tcPr>
          <w:p>
            <w:pPr>
              <w:spacing w:after="0"/>
              <w:rPr>
                <w:sz w:val="10"/>
                <w:szCs w:val="10"/>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926,497</w:t>
            </w:r>
          </w:p>
        </w:tc>
        <w:tc>
          <w:tcPr>
            <w:tcW w:w="1800" w:type="dxa"/>
            <w:vAlign w:val="bottom"/>
            <w:gridSpan w:val="2"/>
          </w:tcPr>
          <w:p>
            <w:pPr>
              <w:ind w:left="140"/>
              <w:spacing w:after="0"/>
              <w:rPr>
                <w:sz w:val="20"/>
                <w:szCs w:val="20"/>
                <w:color w:val="auto"/>
              </w:rPr>
            </w:pPr>
            <w:r>
              <w:rPr>
                <w:rFonts w:ascii="Arial" w:cs="Arial" w:eastAsia="Arial" w:hAnsi="Arial"/>
                <w:sz w:val="10"/>
                <w:szCs w:val="10"/>
                <w:color w:val="auto"/>
              </w:rPr>
              <w:t>January 2023 / February 2028</w:t>
            </w:r>
          </w:p>
        </w:tc>
        <w:tc>
          <w:tcPr>
            <w:tcW w:w="800" w:type="dxa"/>
            <w:vAlign w:val="bottom"/>
          </w:tcPr>
          <w:p>
            <w:pPr>
              <w:ind w:left="80"/>
              <w:spacing w:after="0"/>
              <w:rPr>
                <w:sz w:val="20"/>
                <w:szCs w:val="20"/>
                <w:color w:val="auto"/>
              </w:rPr>
            </w:pPr>
            <w:r>
              <w:rPr>
                <w:rFonts w:ascii="Arial" w:cs="Arial" w:eastAsia="Arial" w:hAnsi="Arial"/>
                <w:sz w:val="10"/>
                <w:szCs w:val="10"/>
                <w:color w:val="auto"/>
              </w:rPr>
              <w:t>Investments</w:t>
            </w:r>
          </w:p>
        </w:tc>
        <w:tc>
          <w:tcPr>
            <w:tcW w:w="0" w:type="dxa"/>
            <w:vAlign w:val="bottom"/>
          </w:tcPr>
          <w:p>
            <w:pPr>
              <w:spacing w:after="0"/>
              <w:rPr>
                <w:sz w:val="1"/>
                <w:szCs w:val="1"/>
                <w:color w:val="auto"/>
              </w:rPr>
            </w:pPr>
          </w:p>
        </w:tc>
      </w:tr>
      <w:tr>
        <w:trPr>
          <w:trHeight w:val="102"/>
        </w:trPr>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Borders>
              <w:bottom w:val="single" w:sz="8" w:color="auto"/>
            </w:tcBorders>
          </w:tcPr>
          <w:p>
            <w:pPr>
              <w:jc w:val="right"/>
              <w:ind w:right="51"/>
              <w:spacing w:after="0" w:line="103" w:lineRule="exact"/>
              <w:rPr>
                <w:sz w:val="20"/>
                <w:szCs w:val="20"/>
                <w:color w:val="auto"/>
              </w:rPr>
            </w:pPr>
            <w:r>
              <w:rPr>
                <w:rFonts w:ascii="Arial" w:cs="Arial" w:eastAsia="Arial" w:hAnsi="Arial"/>
                <w:sz w:val="10"/>
                <w:szCs w:val="10"/>
                <w:color w:val="auto"/>
              </w:rPr>
              <w:t>78,151</w:t>
            </w:r>
          </w:p>
        </w:tc>
        <w:tc>
          <w:tcPr>
            <w:tcW w:w="20" w:type="dxa"/>
            <w:vAlign w:val="bottom"/>
          </w:tcPr>
          <w:p>
            <w:pPr>
              <w:spacing w:after="0"/>
              <w:rPr>
                <w:sz w:val="8"/>
                <w:szCs w:val="8"/>
                <w:color w:val="auto"/>
              </w:rPr>
            </w:pPr>
          </w:p>
        </w:tc>
        <w:tc>
          <w:tcPr>
            <w:tcW w:w="64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46,898</w:t>
            </w:r>
          </w:p>
        </w:tc>
        <w:tc>
          <w:tcPr>
            <w:tcW w:w="40" w:type="dxa"/>
            <w:vAlign w:val="bottom"/>
          </w:tcPr>
          <w:p>
            <w:pPr>
              <w:spacing w:after="0"/>
              <w:rPr>
                <w:sz w:val="8"/>
                <w:szCs w:val="8"/>
                <w:color w:val="auto"/>
              </w:rPr>
            </w:pPr>
          </w:p>
        </w:tc>
        <w:tc>
          <w:tcPr>
            <w:tcW w:w="680" w:type="dxa"/>
            <w:vAlign w:val="bottom"/>
            <w:tcBorders>
              <w:bottom w:val="single" w:sz="8" w:color="auto"/>
            </w:tcBorders>
          </w:tcPr>
          <w:p>
            <w:pPr>
              <w:jc w:val="right"/>
              <w:ind w:right="51"/>
              <w:spacing w:after="0" w:line="103" w:lineRule="exact"/>
              <w:rPr>
                <w:sz w:val="20"/>
                <w:szCs w:val="20"/>
                <w:color w:val="auto"/>
              </w:rPr>
            </w:pPr>
            <w:r>
              <w:rPr>
                <w:rFonts w:ascii="Arial" w:cs="Arial" w:eastAsia="Arial" w:hAnsi="Arial"/>
                <w:sz w:val="10"/>
                <w:szCs w:val="10"/>
                <w:color w:val="auto"/>
              </w:rPr>
              <w:t>2,633,745</w:t>
            </w:r>
          </w:p>
        </w:tc>
        <w:tc>
          <w:tcPr>
            <w:tcW w:w="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150,762</w:t>
            </w:r>
          </w:p>
        </w:tc>
        <w:tc>
          <w:tcPr>
            <w:tcW w:w="40" w:type="dxa"/>
            <w:vAlign w:val="bottom"/>
          </w:tcPr>
          <w:p>
            <w:pPr>
              <w:spacing w:after="0"/>
              <w:rPr>
                <w:sz w:val="8"/>
                <w:szCs w:val="8"/>
                <w:color w:val="auto"/>
              </w:rPr>
            </w:pPr>
          </w:p>
        </w:tc>
        <w:tc>
          <w:tcPr>
            <w:tcW w:w="640" w:type="dxa"/>
            <w:vAlign w:val="bottom"/>
            <w:tcBorders>
              <w:bottom w:val="single" w:sz="8" w:color="auto"/>
            </w:tcBorders>
          </w:tcPr>
          <w:p>
            <w:pPr>
              <w:jc w:val="right"/>
              <w:ind w:right="51"/>
              <w:spacing w:after="0" w:line="103" w:lineRule="exact"/>
              <w:rPr>
                <w:sz w:val="20"/>
                <w:szCs w:val="20"/>
                <w:color w:val="auto"/>
              </w:rPr>
            </w:pPr>
            <w:r>
              <w:rPr>
                <w:rFonts w:ascii="Arial" w:cs="Arial" w:eastAsia="Arial" w:hAnsi="Arial"/>
                <w:sz w:val="10"/>
                <w:szCs w:val="10"/>
                <w:color w:val="auto"/>
              </w:rPr>
              <w:t>24,782</w:t>
            </w:r>
          </w:p>
        </w:tc>
        <w:tc>
          <w:tcPr>
            <w:tcW w:w="40" w:type="dxa"/>
            <w:vAlign w:val="bottom"/>
          </w:tcPr>
          <w:p>
            <w:pPr>
              <w:spacing w:after="0"/>
              <w:rPr>
                <w:sz w:val="8"/>
                <w:szCs w:val="8"/>
                <w:color w:val="auto"/>
              </w:rPr>
            </w:pPr>
          </w:p>
        </w:tc>
        <w:tc>
          <w:tcPr>
            <w:tcW w:w="66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2,347,794</w:t>
            </w: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Borders>
              <w:bottom w:val="single" w:sz="8" w:color="auto"/>
            </w:tcBorders>
          </w:tcPr>
          <w:p>
            <w:pPr>
              <w:jc w:val="right"/>
              <w:ind w:right="51"/>
              <w:spacing w:after="0" w:line="103" w:lineRule="exact"/>
              <w:rPr>
                <w:sz w:val="20"/>
                <w:szCs w:val="20"/>
                <w:color w:val="auto"/>
              </w:rPr>
            </w:pPr>
            <w:r>
              <w:rPr>
                <w:rFonts w:ascii="Arial" w:cs="Arial" w:eastAsia="Arial" w:hAnsi="Arial"/>
                <w:sz w:val="10"/>
                <w:szCs w:val="10"/>
                <w:color w:val="auto"/>
              </w:rPr>
              <w:t>987,663</w:t>
            </w:r>
          </w:p>
        </w:tc>
        <w:tc>
          <w:tcPr>
            <w:tcW w:w="20" w:type="dxa"/>
            <w:vAlign w:val="bottom"/>
          </w:tcPr>
          <w:p>
            <w:pPr>
              <w:spacing w:after="0"/>
              <w:rPr>
                <w:sz w:val="9"/>
                <w:szCs w:val="9"/>
                <w:color w:val="auto"/>
              </w:rPr>
            </w:pPr>
          </w:p>
        </w:tc>
        <w:tc>
          <w:tcPr>
            <w:tcW w:w="64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891,899</w:t>
            </w:r>
          </w:p>
        </w:tc>
        <w:tc>
          <w:tcPr>
            <w:tcW w:w="40" w:type="dxa"/>
            <w:vAlign w:val="bottom"/>
          </w:tcPr>
          <w:p>
            <w:pPr>
              <w:spacing w:after="0"/>
              <w:rPr>
                <w:sz w:val="9"/>
                <w:szCs w:val="9"/>
                <w:color w:val="auto"/>
              </w:rPr>
            </w:pPr>
          </w:p>
        </w:tc>
        <w:tc>
          <w:tcPr>
            <w:tcW w:w="680" w:type="dxa"/>
            <w:vAlign w:val="bottom"/>
            <w:tcBorders>
              <w:bottom w:val="single" w:sz="8" w:color="auto"/>
            </w:tcBorders>
          </w:tcPr>
          <w:p>
            <w:pPr>
              <w:jc w:val="right"/>
              <w:ind w:right="51"/>
              <w:spacing w:after="0" w:line="103" w:lineRule="exact"/>
              <w:rPr>
                <w:sz w:val="20"/>
                <w:szCs w:val="20"/>
                <w:color w:val="auto"/>
              </w:rPr>
            </w:pPr>
            <w:r>
              <w:rPr>
                <w:rFonts w:ascii="Arial" w:cs="Arial" w:eastAsia="Arial" w:hAnsi="Arial"/>
                <w:sz w:val="10"/>
                <w:szCs w:val="10"/>
                <w:color w:val="auto"/>
              </w:rPr>
              <w:t>65,749,481</w:t>
            </w:r>
          </w:p>
        </w:tc>
        <w:tc>
          <w:tcPr>
            <w:tcW w:w="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1,478,726</w:t>
            </w:r>
          </w:p>
        </w:tc>
        <w:tc>
          <w:tcPr>
            <w:tcW w:w="40" w:type="dxa"/>
            <w:vAlign w:val="bottom"/>
          </w:tcPr>
          <w:p>
            <w:pPr>
              <w:spacing w:after="0"/>
              <w:rPr>
                <w:sz w:val="9"/>
                <w:szCs w:val="9"/>
                <w:color w:val="auto"/>
              </w:rPr>
            </w:pPr>
          </w:p>
        </w:tc>
        <w:tc>
          <w:tcPr>
            <w:tcW w:w="640" w:type="dxa"/>
            <w:vAlign w:val="bottom"/>
            <w:tcBorders>
              <w:bottom w:val="single" w:sz="8" w:color="auto"/>
            </w:tcBorders>
          </w:tcPr>
          <w:p>
            <w:pPr>
              <w:jc w:val="right"/>
              <w:ind w:right="51"/>
              <w:spacing w:after="0" w:line="103" w:lineRule="exact"/>
              <w:rPr>
                <w:sz w:val="20"/>
                <w:szCs w:val="20"/>
                <w:color w:val="auto"/>
              </w:rPr>
            </w:pPr>
            <w:r>
              <w:rPr>
                <w:rFonts w:ascii="Arial" w:cs="Arial" w:eastAsia="Arial" w:hAnsi="Arial"/>
                <w:sz w:val="10"/>
                <w:szCs w:val="10"/>
                <w:color w:val="auto"/>
              </w:rPr>
              <w:t>1,345,665</w:t>
            </w:r>
          </w:p>
        </w:tc>
        <w:tc>
          <w:tcPr>
            <w:tcW w:w="40" w:type="dxa"/>
            <w:vAlign w:val="bottom"/>
          </w:tcPr>
          <w:p>
            <w:pPr>
              <w:spacing w:after="0"/>
              <w:rPr>
                <w:sz w:val="9"/>
                <w:szCs w:val="9"/>
                <w:color w:val="auto"/>
              </w:rPr>
            </w:pPr>
          </w:p>
        </w:tc>
        <w:tc>
          <w:tcPr>
            <w:tcW w:w="66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63,818,334</w:t>
            </w: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956" w:right="180" w:hanging="4956"/>
        <w:spacing w:after="0" w:line="726" w:lineRule="auto"/>
        <w:tabs>
          <w:tab w:leader="none" w:pos="3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Corresponds to investments classified at the fair value through other comprehensive income under IFRS 9 as of December 31, 2023 and 2022.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-214630</wp:posOffset>
            </wp:positionV>
            <wp:extent cx="714565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756"/>
          </w:cols>
          <w:pgMar w:left="904" w:top="306" w:right="239" w:bottom="1440" w:gutter="0" w:footer="0" w:header="0"/>
        </w:sectPr>
      </w:pPr>
    </w:p>
    <w:bookmarkStart w:id="100" w:name="page101"/>
    <w:bookmarkEnd w:id="100"/>
    <w:p>
      <w:pPr>
        <w:jc w:val="both"/>
        <w:ind w:left="296" w:right="260" w:hanging="296"/>
        <w:spacing w:after="0" w:line="259" w:lineRule="auto"/>
        <w:tabs>
          <w:tab w:leader="none" w:pos="29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Held-for-trading derivatives are principally negotiated to satisfy customers’ needs. On the other hand, the Group may also take positions with the expectation of profiting from favorable movements in prices or rates. Also, this caption includes any derivatives which do not comply with IFRS 9 hedge accounting requirements. Fair value of derivatives held for trading classified by contractual maturity is as follows:</w:t>
      </w:r>
    </w:p>
    <w:p>
      <w:pPr>
        <w:spacing w:after="0" w:line="141" w:lineRule="exact"/>
        <w:rPr>
          <w:sz w:val="20"/>
          <w:szCs w:val="20"/>
          <w:color w:val="auto"/>
        </w:rPr>
      </w:pPr>
    </w:p>
    <w:tbl>
      <w:tblPr>
        <w:tblLayout w:type="fixed"/>
        <w:tblInd w:w="296" w:type="dxa"/>
        <w:tblCellMar>
          <w:top w:w="0" w:type="dxa"/>
          <w:left w:w="0" w:type="dxa"/>
          <w:bottom w:w="0" w:type="dxa"/>
          <w:right w:w="0" w:type="dxa"/>
        </w:tblCellMar>
      </w:tblPr>
      <w:tr>
        <w:trPr>
          <w:trHeight w:val="123"/>
        </w:trPr>
        <w:tc>
          <w:tcPr>
            <w:tcW w:w="1520" w:type="dxa"/>
            <w:vAlign w:val="bottom"/>
          </w:tcPr>
          <w:p>
            <w:pPr>
              <w:spacing w:after="0"/>
              <w:rPr>
                <w:sz w:val="10"/>
                <w:szCs w:val="10"/>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2023</w:t>
            </w: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2022</w:t>
            </w: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r>
      <w:tr>
        <w:trPr>
          <w:trHeight w:val="89"/>
        </w:trPr>
        <w:tc>
          <w:tcPr>
            <w:tcW w:w="1520" w:type="dxa"/>
            <w:vAlign w:val="bottom"/>
          </w:tcPr>
          <w:p>
            <w:pPr>
              <w:spacing w:after="0"/>
              <w:rPr>
                <w:sz w:val="7"/>
                <w:szCs w:val="7"/>
                <w:color w:val="auto"/>
              </w:rPr>
            </w:pPr>
          </w:p>
        </w:tc>
        <w:tc>
          <w:tcPr>
            <w:tcW w:w="64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Up to 3</w:t>
            </w:r>
          </w:p>
        </w:tc>
        <w:tc>
          <w:tcPr>
            <w:tcW w:w="94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From 3 months</w:t>
            </w:r>
          </w:p>
        </w:tc>
        <w:tc>
          <w:tcPr>
            <w:tcW w:w="76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From 1 to 3</w:t>
            </w:r>
          </w:p>
        </w:tc>
        <w:tc>
          <w:tcPr>
            <w:tcW w:w="76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From 3 to 5</w:t>
            </w:r>
          </w:p>
        </w:tc>
        <w:tc>
          <w:tcPr>
            <w:tcW w:w="58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Over 5</w:t>
            </w: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Up to 3</w:t>
            </w:r>
          </w:p>
        </w:tc>
        <w:tc>
          <w:tcPr>
            <w:tcW w:w="94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From 3 months</w:t>
            </w:r>
          </w:p>
        </w:tc>
        <w:tc>
          <w:tcPr>
            <w:tcW w:w="76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From 1 to 3</w:t>
            </w:r>
          </w:p>
        </w:tc>
        <w:tc>
          <w:tcPr>
            <w:tcW w:w="76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From 3 to 5</w:t>
            </w:r>
          </w:p>
        </w:tc>
        <w:tc>
          <w:tcPr>
            <w:tcW w:w="62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Over 5</w:t>
            </w:r>
          </w:p>
        </w:tc>
        <w:tc>
          <w:tcPr>
            <w:tcW w:w="620" w:type="dxa"/>
            <w:vAlign w:val="bottom"/>
          </w:tcPr>
          <w:p>
            <w:pPr>
              <w:spacing w:after="0"/>
              <w:rPr>
                <w:sz w:val="7"/>
                <w:szCs w:val="7"/>
                <w:color w:val="auto"/>
              </w:rPr>
            </w:pPr>
          </w:p>
        </w:tc>
      </w:tr>
      <w:tr>
        <w:trPr>
          <w:trHeight w:val="123"/>
        </w:trPr>
        <w:tc>
          <w:tcPr>
            <w:tcW w:w="152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months</w:t>
            </w: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to 1 year</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58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58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months</w:t>
            </w: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to 1 year</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62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620" w:type="dxa"/>
            <w:vAlign w:val="bottom"/>
          </w:tcPr>
          <w:p>
            <w:pPr>
              <w:ind w:left="80"/>
              <w:spacing w:after="0"/>
              <w:rPr>
                <w:sz w:val="20"/>
                <w:szCs w:val="20"/>
                <w:color w:val="auto"/>
              </w:rPr>
            </w:pPr>
            <w:r>
              <w:rPr>
                <w:rFonts w:ascii="Arial" w:cs="Arial" w:eastAsia="Arial" w:hAnsi="Arial"/>
                <w:sz w:val="10"/>
                <w:szCs w:val="10"/>
                <w:b w:val="1"/>
                <w:bCs w:val="1"/>
                <w:color w:val="auto"/>
              </w:rPr>
              <w:t>Total</w:t>
            </w:r>
          </w:p>
        </w:tc>
      </w:tr>
      <w:tr>
        <w:trPr>
          <w:trHeight w:val="91"/>
        </w:trPr>
        <w:tc>
          <w:tcPr>
            <w:tcW w:w="1520" w:type="dxa"/>
            <w:vAlign w:val="bottom"/>
          </w:tcPr>
          <w:p>
            <w:pPr>
              <w:spacing w:after="0"/>
              <w:rPr>
                <w:sz w:val="7"/>
                <w:szCs w:val="7"/>
                <w:color w:val="auto"/>
              </w:rPr>
            </w:pPr>
          </w:p>
        </w:tc>
        <w:tc>
          <w:tcPr>
            <w:tcW w:w="58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88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70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70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52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56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52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88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70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70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56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62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r>
      <w:tr>
        <w:trPr>
          <w:trHeight w:val="110"/>
        </w:trPr>
        <w:tc>
          <w:tcPr>
            <w:tcW w:w="1520" w:type="dxa"/>
            <w:vAlign w:val="bottom"/>
          </w:tcPr>
          <w:p>
            <w:pPr>
              <w:spacing w:after="0" w:line="110" w:lineRule="exact"/>
              <w:rPr>
                <w:sz w:val="20"/>
                <w:szCs w:val="20"/>
                <w:color w:val="auto"/>
              </w:rPr>
            </w:pPr>
            <w:r>
              <w:rPr>
                <w:rFonts w:ascii="Arial" w:cs="Arial" w:eastAsia="Arial" w:hAnsi="Arial"/>
                <w:sz w:val="10"/>
                <w:szCs w:val="10"/>
                <w:color w:val="auto"/>
              </w:rPr>
              <w:t>Foreign currency forwards</w:t>
            </w:r>
          </w:p>
        </w:tc>
        <w:tc>
          <w:tcPr>
            <w:tcW w:w="5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201,816</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129,504</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3,185</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334,505</w:t>
            </w:r>
          </w:p>
        </w:tc>
        <w:tc>
          <w:tcPr>
            <w:tcW w:w="20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276,887</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226,117</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(2,656)</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500,348</w:t>
            </w:r>
          </w:p>
        </w:tc>
      </w:tr>
      <w:tr>
        <w:trPr>
          <w:trHeight w:val="110"/>
        </w:trPr>
        <w:tc>
          <w:tcPr>
            <w:tcW w:w="1520" w:type="dxa"/>
            <w:vAlign w:val="bottom"/>
          </w:tcPr>
          <w:p>
            <w:pPr>
              <w:spacing w:after="0" w:line="110" w:lineRule="exact"/>
              <w:rPr>
                <w:sz w:val="20"/>
                <w:szCs w:val="20"/>
                <w:color w:val="auto"/>
              </w:rPr>
            </w:pPr>
            <w:r>
              <w:rPr>
                <w:rFonts w:ascii="Arial" w:cs="Arial" w:eastAsia="Arial" w:hAnsi="Arial"/>
                <w:sz w:val="10"/>
                <w:szCs w:val="10"/>
                <w:color w:val="auto"/>
              </w:rPr>
              <w:t>Interest rate swaps</w:t>
            </w:r>
          </w:p>
        </w:tc>
        <w:tc>
          <w:tcPr>
            <w:tcW w:w="5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8,870</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11,790</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94,681</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128,141</w:t>
            </w:r>
          </w:p>
        </w:tc>
        <w:tc>
          <w:tcPr>
            <w:tcW w:w="6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98,416</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341,898</w:t>
            </w:r>
          </w:p>
        </w:tc>
        <w:tc>
          <w:tcPr>
            <w:tcW w:w="20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12,395</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43,395</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58,726</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122,943</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177,575</w:t>
            </w:r>
          </w:p>
        </w:tc>
        <w:tc>
          <w:tcPr>
            <w:tcW w:w="60" w:type="dxa"/>
            <w:vAlign w:val="bottom"/>
          </w:tcPr>
          <w:p>
            <w:pPr>
              <w:spacing w:after="0"/>
              <w:rPr>
                <w:sz w:val="9"/>
                <w:szCs w:val="9"/>
                <w:color w:val="auto"/>
              </w:rPr>
            </w:pPr>
          </w:p>
        </w:tc>
        <w:tc>
          <w:tcPr>
            <w:tcW w:w="6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415,034</w:t>
            </w:r>
          </w:p>
        </w:tc>
      </w:tr>
      <w:tr>
        <w:trPr>
          <w:trHeight w:val="110"/>
        </w:trPr>
        <w:tc>
          <w:tcPr>
            <w:tcW w:w="1520" w:type="dxa"/>
            <w:vAlign w:val="bottom"/>
          </w:tcPr>
          <w:p>
            <w:pPr>
              <w:spacing w:after="0" w:line="110" w:lineRule="exact"/>
              <w:rPr>
                <w:sz w:val="20"/>
                <w:szCs w:val="20"/>
                <w:color w:val="auto"/>
              </w:rPr>
            </w:pPr>
            <w:r>
              <w:rPr>
                <w:rFonts w:ascii="Arial" w:cs="Arial" w:eastAsia="Arial" w:hAnsi="Arial"/>
                <w:sz w:val="10"/>
                <w:szCs w:val="10"/>
                <w:color w:val="auto"/>
              </w:rPr>
              <w:t>Currency swaps</w:t>
            </w:r>
          </w:p>
        </w:tc>
        <w:tc>
          <w:tcPr>
            <w:tcW w:w="5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4,955</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45,436</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69,962</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78,513</w:t>
            </w:r>
          </w:p>
        </w:tc>
        <w:tc>
          <w:tcPr>
            <w:tcW w:w="6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31,952</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230,818</w:t>
            </w:r>
          </w:p>
        </w:tc>
        <w:tc>
          <w:tcPr>
            <w:tcW w:w="20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63,465</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60,940</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86,950</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84,650</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114,434</w:t>
            </w:r>
          </w:p>
        </w:tc>
        <w:tc>
          <w:tcPr>
            <w:tcW w:w="60" w:type="dxa"/>
            <w:vAlign w:val="bottom"/>
          </w:tcPr>
          <w:p>
            <w:pPr>
              <w:spacing w:after="0"/>
              <w:rPr>
                <w:sz w:val="9"/>
                <w:szCs w:val="9"/>
                <w:color w:val="auto"/>
              </w:rPr>
            </w:pPr>
          </w:p>
        </w:tc>
        <w:tc>
          <w:tcPr>
            <w:tcW w:w="6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410,439</w:t>
            </w:r>
          </w:p>
        </w:tc>
      </w:tr>
      <w:tr>
        <w:trPr>
          <w:trHeight w:val="110"/>
        </w:trPr>
        <w:tc>
          <w:tcPr>
            <w:tcW w:w="1520" w:type="dxa"/>
            <w:vAlign w:val="bottom"/>
          </w:tcPr>
          <w:p>
            <w:pPr>
              <w:spacing w:after="0" w:line="110" w:lineRule="exact"/>
              <w:rPr>
                <w:sz w:val="20"/>
                <w:szCs w:val="20"/>
                <w:color w:val="auto"/>
              </w:rPr>
            </w:pPr>
            <w:r>
              <w:rPr>
                <w:rFonts w:ascii="Arial" w:cs="Arial" w:eastAsia="Arial" w:hAnsi="Arial"/>
                <w:sz w:val="10"/>
                <w:szCs w:val="10"/>
                <w:color w:val="auto"/>
              </w:rPr>
              <w:t>Foreign exchange options</w:t>
            </w:r>
          </w:p>
        </w:tc>
        <w:tc>
          <w:tcPr>
            <w:tcW w:w="5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471</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592</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41</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1,104</w:t>
            </w:r>
          </w:p>
        </w:tc>
        <w:tc>
          <w:tcPr>
            <w:tcW w:w="20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153</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1,163</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33</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1,349</w:t>
            </w:r>
          </w:p>
        </w:tc>
      </w:tr>
      <w:tr>
        <w:trPr>
          <w:trHeight w:val="121"/>
        </w:trPr>
        <w:tc>
          <w:tcPr>
            <w:tcW w:w="1520" w:type="dxa"/>
            <w:vAlign w:val="bottom"/>
          </w:tcPr>
          <w:p>
            <w:pPr>
              <w:spacing w:after="0"/>
              <w:rPr>
                <w:sz w:val="20"/>
                <w:szCs w:val="20"/>
                <w:color w:val="auto"/>
              </w:rPr>
            </w:pPr>
            <w:r>
              <w:rPr>
                <w:rFonts w:ascii="Arial" w:cs="Arial" w:eastAsia="Arial" w:hAnsi="Arial"/>
                <w:sz w:val="10"/>
                <w:szCs w:val="10"/>
                <w:color w:val="auto"/>
              </w:rPr>
              <w:t>Futures</w:t>
            </w: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1,187</w:t>
            </w:r>
          </w:p>
        </w:tc>
        <w:tc>
          <w:tcPr>
            <w:tcW w:w="60" w:type="dxa"/>
            <w:vAlign w:val="bottom"/>
          </w:tcPr>
          <w:p>
            <w:pPr>
              <w:spacing w:after="0"/>
              <w:rPr>
                <w:sz w:val="10"/>
                <w:szCs w:val="1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1,187</w:t>
            </w:r>
          </w:p>
        </w:tc>
        <w:tc>
          <w:tcPr>
            <w:tcW w:w="200" w:type="dxa"/>
            <w:vAlign w:val="bottom"/>
          </w:tcPr>
          <w:p>
            <w:pPr>
              <w:spacing w:after="0"/>
              <w:rPr>
                <w:sz w:val="10"/>
                <w:szCs w:val="10"/>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794</w:t>
            </w:r>
          </w:p>
        </w:tc>
        <w:tc>
          <w:tcPr>
            <w:tcW w:w="60" w:type="dxa"/>
            <w:vAlign w:val="bottom"/>
          </w:tcPr>
          <w:p>
            <w:pPr>
              <w:spacing w:after="0"/>
              <w:rPr>
                <w:sz w:val="10"/>
                <w:szCs w:val="1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794</w:t>
            </w:r>
          </w:p>
        </w:tc>
      </w:tr>
      <w:tr>
        <w:trPr>
          <w:trHeight w:val="107"/>
        </w:trPr>
        <w:tc>
          <w:tcPr>
            <w:tcW w:w="1520" w:type="dxa"/>
            <w:vAlign w:val="bottom"/>
          </w:tcPr>
          <w:p>
            <w:pPr>
              <w:spacing w:after="0" w:line="103" w:lineRule="exact"/>
              <w:rPr>
                <w:sz w:val="20"/>
                <w:szCs w:val="20"/>
                <w:color w:val="auto"/>
              </w:rPr>
            </w:pPr>
            <w:r>
              <w:rPr>
                <w:rFonts w:ascii="Arial" w:cs="Arial" w:eastAsia="Arial" w:hAnsi="Arial"/>
                <w:sz w:val="10"/>
                <w:szCs w:val="10"/>
                <w:b w:val="1"/>
                <w:bCs w:val="1"/>
                <w:color w:val="auto"/>
              </w:rPr>
              <w:t>Total assets</w:t>
            </w:r>
          </w:p>
        </w:tc>
        <w:tc>
          <w:tcPr>
            <w:tcW w:w="58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217,299</w:t>
            </w:r>
          </w:p>
        </w:tc>
        <w:tc>
          <w:tcPr>
            <w:tcW w:w="60" w:type="dxa"/>
            <w:vAlign w:val="bottom"/>
          </w:tcPr>
          <w:p>
            <w:pPr>
              <w:spacing w:after="0"/>
              <w:rPr>
                <w:sz w:val="9"/>
                <w:szCs w:val="9"/>
                <w:color w:val="auto"/>
              </w:rPr>
            </w:pPr>
          </w:p>
        </w:tc>
        <w:tc>
          <w:tcPr>
            <w:tcW w:w="88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187,322</w:t>
            </w:r>
          </w:p>
        </w:tc>
        <w:tc>
          <w:tcPr>
            <w:tcW w:w="60" w:type="dxa"/>
            <w:vAlign w:val="bottom"/>
          </w:tcPr>
          <w:p>
            <w:pPr>
              <w:spacing w:after="0"/>
              <w:rPr>
                <w:sz w:val="9"/>
                <w:szCs w:val="9"/>
                <w:color w:val="auto"/>
              </w:rPr>
            </w:pPr>
          </w:p>
        </w:tc>
        <w:tc>
          <w:tcPr>
            <w:tcW w:w="70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167,869</w:t>
            </w:r>
          </w:p>
        </w:tc>
        <w:tc>
          <w:tcPr>
            <w:tcW w:w="60" w:type="dxa"/>
            <w:vAlign w:val="bottom"/>
          </w:tcPr>
          <w:p>
            <w:pPr>
              <w:spacing w:after="0"/>
              <w:rPr>
                <w:sz w:val="9"/>
                <w:szCs w:val="9"/>
                <w:color w:val="auto"/>
              </w:rPr>
            </w:pPr>
          </w:p>
        </w:tc>
        <w:tc>
          <w:tcPr>
            <w:tcW w:w="70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206,654</w:t>
            </w:r>
          </w:p>
        </w:tc>
        <w:tc>
          <w:tcPr>
            <w:tcW w:w="60" w:type="dxa"/>
            <w:vAlign w:val="bottom"/>
          </w:tcPr>
          <w:p>
            <w:pPr>
              <w:spacing w:after="0"/>
              <w:rPr>
                <w:sz w:val="9"/>
                <w:szCs w:val="9"/>
                <w:color w:val="auto"/>
              </w:rPr>
            </w:pPr>
          </w:p>
        </w:tc>
        <w:tc>
          <w:tcPr>
            <w:tcW w:w="52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130,368</w:t>
            </w:r>
          </w:p>
        </w:tc>
        <w:tc>
          <w:tcPr>
            <w:tcW w:w="60" w:type="dxa"/>
            <w:vAlign w:val="bottom"/>
          </w:tcPr>
          <w:p>
            <w:pPr>
              <w:spacing w:after="0"/>
              <w:rPr>
                <w:sz w:val="9"/>
                <w:szCs w:val="9"/>
                <w:color w:val="auto"/>
              </w:rPr>
            </w:pPr>
          </w:p>
        </w:tc>
        <w:tc>
          <w:tcPr>
            <w:tcW w:w="56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909,512</w:t>
            </w:r>
          </w:p>
        </w:tc>
        <w:tc>
          <w:tcPr>
            <w:tcW w:w="200" w:type="dxa"/>
            <w:vAlign w:val="bottom"/>
          </w:tcPr>
          <w:p>
            <w:pPr>
              <w:spacing w:after="0"/>
              <w:rPr>
                <w:sz w:val="9"/>
                <w:szCs w:val="9"/>
                <w:color w:val="auto"/>
              </w:rPr>
            </w:pPr>
          </w:p>
        </w:tc>
        <w:tc>
          <w:tcPr>
            <w:tcW w:w="52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353,694</w:t>
            </w:r>
          </w:p>
        </w:tc>
        <w:tc>
          <w:tcPr>
            <w:tcW w:w="60" w:type="dxa"/>
            <w:vAlign w:val="bottom"/>
          </w:tcPr>
          <w:p>
            <w:pPr>
              <w:spacing w:after="0"/>
              <w:rPr>
                <w:sz w:val="9"/>
                <w:szCs w:val="9"/>
                <w:color w:val="auto"/>
              </w:rPr>
            </w:pPr>
          </w:p>
        </w:tc>
        <w:tc>
          <w:tcPr>
            <w:tcW w:w="88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331,615</w:t>
            </w:r>
          </w:p>
        </w:tc>
        <w:tc>
          <w:tcPr>
            <w:tcW w:w="60" w:type="dxa"/>
            <w:vAlign w:val="bottom"/>
          </w:tcPr>
          <w:p>
            <w:pPr>
              <w:spacing w:after="0"/>
              <w:rPr>
                <w:sz w:val="9"/>
                <w:szCs w:val="9"/>
                <w:color w:val="auto"/>
              </w:rPr>
            </w:pPr>
          </w:p>
        </w:tc>
        <w:tc>
          <w:tcPr>
            <w:tcW w:w="70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143,053</w:t>
            </w:r>
          </w:p>
        </w:tc>
        <w:tc>
          <w:tcPr>
            <w:tcW w:w="60" w:type="dxa"/>
            <w:vAlign w:val="bottom"/>
          </w:tcPr>
          <w:p>
            <w:pPr>
              <w:spacing w:after="0"/>
              <w:rPr>
                <w:sz w:val="9"/>
                <w:szCs w:val="9"/>
                <w:color w:val="auto"/>
              </w:rPr>
            </w:pPr>
          </w:p>
        </w:tc>
        <w:tc>
          <w:tcPr>
            <w:tcW w:w="70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207,593</w:t>
            </w:r>
          </w:p>
        </w:tc>
        <w:tc>
          <w:tcPr>
            <w:tcW w:w="60" w:type="dxa"/>
            <w:vAlign w:val="bottom"/>
          </w:tcPr>
          <w:p>
            <w:pPr>
              <w:spacing w:after="0"/>
              <w:rPr>
                <w:sz w:val="9"/>
                <w:szCs w:val="9"/>
                <w:color w:val="auto"/>
              </w:rPr>
            </w:pPr>
          </w:p>
        </w:tc>
        <w:tc>
          <w:tcPr>
            <w:tcW w:w="56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292,009</w:t>
            </w:r>
          </w:p>
        </w:tc>
        <w:tc>
          <w:tcPr>
            <w:tcW w:w="60" w:type="dxa"/>
            <w:vAlign w:val="bottom"/>
          </w:tcPr>
          <w:p>
            <w:pPr>
              <w:spacing w:after="0"/>
              <w:rPr>
                <w:sz w:val="9"/>
                <w:szCs w:val="9"/>
                <w:color w:val="auto"/>
              </w:rPr>
            </w:pPr>
          </w:p>
        </w:tc>
        <w:tc>
          <w:tcPr>
            <w:tcW w:w="62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1,327,964</w:t>
            </w:r>
          </w:p>
        </w:tc>
      </w:tr>
      <w:tr>
        <w:trPr>
          <w:trHeight w:val="220"/>
        </w:trPr>
        <w:tc>
          <w:tcPr>
            <w:tcW w:w="1520" w:type="dxa"/>
            <w:vAlign w:val="bottom"/>
          </w:tcPr>
          <w:p>
            <w:pPr>
              <w:spacing w:after="0"/>
              <w:rPr>
                <w:sz w:val="19"/>
                <w:szCs w:val="19"/>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2023</w:t>
            </w: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2022</w:t>
            </w: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89"/>
        </w:trPr>
        <w:tc>
          <w:tcPr>
            <w:tcW w:w="1520" w:type="dxa"/>
            <w:vAlign w:val="bottom"/>
          </w:tcPr>
          <w:p>
            <w:pPr>
              <w:spacing w:after="0"/>
              <w:rPr>
                <w:sz w:val="7"/>
                <w:szCs w:val="7"/>
                <w:color w:val="auto"/>
              </w:rPr>
            </w:pPr>
          </w:p>
        </w:tc>
        <w:tc>
          <w:tcPr>
            <w:tcW w:w="64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Up to 3</w:t>
            </w:r>
          </w:p>
        </w:tc>
        <w:tc>
          <w:tcPr>
            <w:tcW w:w="94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From 3 months</w:t>
            </w:r>
          </w:p>
        </w:tc>
        <w:tc>
          <w:tcPr>
            <w:tcW w:w="76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From 1 to 3</w:t>
            </w:r>
          </w:p>
        </w:tc>
        <w:tc>
          <w:tcPr>
            <w:tcW w:w="76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From 3 to 5</w:t>
            </w:r>
          </w:p>
        </w:tc>
        <w:tc>
          <w:tcPr>
            <w:tcW w:w="58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Over 5</w:t>
            </w: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Up to 3</w:t>
            </w:r>
          </w:p>
        </w:tc>
        <w:tc>
          <w:tcPr>
            <w:tcW w:w="94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From 3 months</w:t>
            </w:r>
          </w:p>
        </w:tc>
        <w:tc>
          <w:tcPr>
            <w:tcW w:w="76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From 1 to 3</w:t>
            </w:r>
          </w:p>
        </w:tc>
        <w:tc>
          <w:tcPr>
            <w:tcW w:w="76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From 3 to 5</w:t>
            </w:r>
          </w:p>
        </w:tc>
        <w:tc>
          <w:tcPr>
            <w:tcW w:w="62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Over 5</w:t>
            </w:r>
          </w:p>
        </w:tc>
        <w:tc>
          <w:tcPr>
            <w:tcW w:w="620" w:type="dxa"/>
            <w:vAlign w:val="bottom"/>
          </w:tcPr>
          <w:p>
            <w:pPr>
              <w:spacing w:after="0"/>
              <w:rPr>
                <w:sz w:val="7"/>
                <w:szCs w:val="7"/>
                <w:color w:val="auto"/>
              </w:rPr>
            </w:pPr>
          </w:p>
        </w:tc>
      </w:tr>
      <w:tr>
        <w:trPr>
          <w:trHeight w:val="123"/>
        </w:trPr>
        <w:tc>
          <w:tcPr>
            <w:tcW w:w="152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months</w:t>
            </w: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to 1 year</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58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58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months</w:t>
            </w: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to 1 year</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62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years</w:t>
            </w:r>
          </w:p>
        </w:tc>
        <w:tc>
          <w:tcPr>
            <w:tcW w:w="620" w:type="dxa"/>
            <w:vAlign w:val="bottom"/>
          </w:tcPr>
          <w:p>
            <w:pPr>
              <w:ind w:left="80"/>
              <w:spacing w:after="0"/>
              <w:rPr>
                <w:sz w:val="20"/>
                <w:szCs w:val="20"/>
                <w:color w:val="auto"/>
              </w:rPr>
            </w:pPr>
            <w:r>
              <w:rPr>
                <w:rFonts w:ascii="Arial" w:cs="Arial" w:eastAsia="Arial" w:hAnsi="Arial"/>
                <w:sz w:val="10"/>
                <w:szCs w:val="10"/>
                <w:b w:val="1"/>
                <w:bCs w:val="1"/>
                <w:color w:val="auto"/>
              </w:rPr>
              <w:t>Total</w:t>
            </w:r>
          </w:p>
        </w:tc>
      </w:tr>
      <w:tr>
        <w:trPr>
          <w:trHeight w:val="91"/>
        </w:trPr>
        <w:tc>
          <w:tcPr>
            <w:tcW w:w="1520" w:type="dxa"/>
            <w:vAlign w:val="bottom"/>
          </w:tcPr>
          <w:p>
            <w:pPr>
              <w:spacing w:after="0"/>
              <w:rPr>
                <w:sz w:val="7"/>
                <w:szCs w:val="7"/>
                <w:color w:val="auto"/>
              </w:rPr>
            </w:pPr>
          </w:p>
        </w:tc>
        <w:tc>
          <w:tcPr>
            <w:tcW w:w="58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88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70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70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52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56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200" w:type="dxa"/>
            <w:vAlign w:val="bottom"/>
          </w:tcPr>
          <w:p>
            <w:pPr>
              <w:spacing w:after="0"/>
              <w:rPr>
                <w:sz w:val="7"/>
                <w:szCs w:val="7"/>
                <w:color w:val="auto"/>
              </w:rPr>
            </w:pPr>
          </w:p>
        </w:tc>
        <w:tc>
          <w:tcPr>
            <w:tcW w:w="52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88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70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70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56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c>
          <w:tcPr>
            <w:tcW w:w="60" w:type="dxa"/>
            <w:vAlign w:val="bottom"/>
          </w:tcPr>
          <w:p>
            <w:pPr>
              <w:spacing w:after="0"/>
              <w:rPr>
                <w:sz w:val="7"/>
                <w:szCs w:val="7"/>
                <w:color w:val="auto"/>
              </w:rPr>
            </w:pPr>
          </w:p>
        </w:tc>
        <w:tc>
          <w:tcPr>
            <w:tcW w:w="620" w:type="dxa"/>
            <w:vAlign w:val="bottom"/>
            <w:tcBorders>
              <w:top w:val="single" w:sz="8" w:color="auto"/>
            </w:tcBorders>
          </w:tcPr>
          <w:p>
            <w:pPr>
              <w:ind w:left="80"/>
              <w:spacing w:after="0" w:line="92" w:lineRule="exact"/>
              <w:rPr>
                <w:sz w:val="20"/>
                <w:szCs w:val="20"/>
                <w:color w:val="auto"/>
              </w:rPr>
            </w:pPr>
            <w:r>
              <w:rPr>
                <w:rFonts w:ascii="Arial" w:cs="Arial" w:eastAsia="Arial" w:hAnsi="Arial"/>
                <w:sz w:val="10"/>
                <w:szCs w:val="10"/>
                <w:b w:val="1"/>
                <w:bCs w:val="1"/>
                <w:color w:val="auto"/>
              </w:rPr>
              <w:t>S/(000)</w:t>
            </w:r>
          </w:p>
        </w:tc>
      </w:tr>
      <w:tr>
        <w:trPr>
          <w:trHeight w:val="110"/>
        </w:trPr>
        <w:tc>
          <w:tcPr>
            <w:tcW w:w="1520" w:type="dxa"/>
            <w:vAlign w:val="bottom"/>
          </w:tcPr>
          <w:p>
            <w:pPr>
              <w:spacing w:after="0" w:line="110" w:lineRule="exact"/>
              <w:rPr>
                <w:sz w:val="20"/>
                <w:szCs w:val="20"/>
                <w:color w:val="auto"/>
              </w:rPr>
            </w:pPr>
            <w:r>
              <w:rPr>
                <w:rFonts w:ascii="Arial" w:cs="Arial" w:eastAsia="Arial" w:hAnsi="Arial"/>
                <w:sz w:val="10"/>
                <w:szCs w:val="10"/>
                <w:color w:val="auto"/>
              </w:rPr>
              <w:t>Foreign currency forwards</w:t>
            </w:r>
          </w:p>
        </w:tc>
        <w:tc>
          <w:tcPr>
            <w:tcW w:w="5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142,293</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57,319</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5,729</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205,341</w:t>
            </w:r>
          </w:p>
        </w:tc>
        <w:tc>
          <w:tcPr>
            <w:tcW w:w="20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203,269</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85,222</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366</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288,857</w:t>
            </w:r>
          </w:p>
        </w:tc>
      </w:tr>
      <w:tr>
        <w:trPr>
          <w:trHeight w:val="110"/>
        </w:trPr>
        <w:tc>
          <w:tcPr>
            <w:tcW w:w="1520" w:type="dxa"/>
            <w:vAlign w:val="bottom"/>
          </w:tcPr>
          <w:p>
            <w:pPr>
              <w:spacing w:after="0" w:line="110" w:lineRule="exact"/>
              <w:rPr>
                <w:sz w:val="20"/>
                <w:szCs w:val="20"/>
                <w:color w:val="auto"/>
              </w:rPr>
            </w:pPr>
            <w:r>
              <w:rPr>
                <w:rFonts w:ascii="Arial" w:cs="Arial" w:eastAsia="Arial" w:hAnsi="Arial"/>
                <w:sz w:val="10"/>
                <w:szCs w:val="10"/>
                <w:color w:val="auto"/>
              </w:rPr>
              <w:t>Interest rate swaps</w:t>
            </w:r>
          </w:p>
        </w:tc>
        <w:tc>
          <w:tcPr>
            <w:tcW w:w="5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20,615</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20,739</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48,110</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36,596</w:t>
            </w:r>
          </w:p>
        </w:tc>
        <w:tc>
          <w:tcPr>
            <w:tcW w:w="6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78,715</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204,775</w:t>
            </w:r>
          </w:p>
        </w:tc>
        <w:tc>
          <w:tcPr>
            <w:tcW w:w="20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8,073</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37,418</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45,352</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62,460</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124,685</w:t>
            </w:r>
          </w:p>
        </w:tc>
        <w:tc>
          <w:tcPr>
            <w:tcW w:w="60" w:type="dxa"/>
            <w:vAlign w:val="bottom"/>
          </w:tcPr>
          <w:p>
            <w:pPr>
              <w:spacing w:after="0"/>
              <w:rPr>
                <w:sz w:val="9"/>
                <w:szCs w:val="9"/>
                <w:color w:val="auto"/>
              </w:rPr>
            </w:pPr>
          </w:p>
        </w:tc>
        <w:tc>
          <w:tcPr>
            <w:tcW w:w="6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277,988</w:t>
            </w:r>
          </w:p>
        </w:tc>
      </w:tr>
      <w:tr>
        <w:trPr>
          <w:trHeight w:val="110"/>
        </w:trPr>
        <w:tc>
          <w:tcPr>
            <w:tcW w:w="1520" w:type="dxa"/>
            <w:vAlign w:val="bottom"/>
          </w:tcPr>
          <w:p>
            <w:pPr>
              <w:spacing w:after="0" w:line="110" w:lineRule="exact"/>
              <w:rPr>
                <w:sz w:val="20"/>
                <w:szCs w:val="20"/>
                <w:color w:val="auto"/>
              </w:rPr>
            </w:pPr>
            <w:r>
              <w:rPr>
                <w:rFonts w:ascii="Arial" w:cs="Arial" w:eastAsia="Arial" w:hAnsi="Arial"/>
                <w:sz w:val="10"/>
                <w:szCs w:val="10"/>
                <w:color w:val="auto"/>
              </w:rPr>
              <w:t>Currency swaps</w:t>
            </w:r>
          </w:p>
        </w:tc>
        <w:tc>
          <w:tcPr>
            <w:tcW w:w="5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78,941</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129,935</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86,455</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99,804</w:t>
            </w:r>
          </w:p>
        </w:tc>
        <w:tc>
          <w:tcPr>
            <w:tcW w:w="6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34,230</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429,365</w:t>
            </w:r>
          </w:p>
        </w:tc>
        <w:tc>
          <w:tcPr>
            <w:tcW w:w="20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140,363</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258,962</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100,267</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127,404</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122,424</w:t>
            </w:r>
          </w:p>
        </w:tc>
        <w:tc>
          <w:tcPr>
            <w:tcW w:w="60" w:type="dxa"/>
            <w:vAlign w:val="bottom"/>
          </w:tcPr>
          <w:p>
            <w:pPr>
              <w:spacing w:after="0"/>
              <w:rPr>
                <w:sz w:val="9"/>
                <w:szCs w:val="9"/>
                <w:color w:val="auto"/>
              </w:rPr>
            </w:pPr>
          </w:p>
        </w:tc>
        <w:tc>
          <w:tcPr>
            <w:tcW w:w="6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749,420</w:t>
            </w:r>
          </w:p>
        </w:tc>
      </w:tr>
      <w:tr>
        <w:trPr>
          <w:trHeight w:val="110"/>
        </w:trPr>
        <w:tc>
          <w:tcPr>
            <w:tcW w:w="1520" w:type="dxa"/>
            <w:vAlign w:val="bottom"/>
          </w:tcPr>
          <w:p>
            <w:pPr>
              <w:spacing w:after="0" w:line="110" w:lineRule="exact"/>
              <w:rPr>
                <w:sz w:val="20"/>
                <w:szCs w:val="20"/>
                <w:color w:val="auto"/>
              </w:rPr>
            </w:pPr>
            <w:r>
              <w:rPr>
                <w:rFonts w:ascii="Arial" w:cs="Arial" w:eastAsia="Arial" w:hAnsi="Arial"/>
                <w:sz w:val="10"/>
                <w:szCs w:val="10"/>
                <w:color w:val="auto"/>
              </w:rPr>
              <w:t>Foreign exchange options</w:t>
            </w:r>
          </w:p>
        </w:tc>
        <w:tc>
          <w:tcPr>
            <w:tcW w:w="5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1,355</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2,525</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122</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4,002</w:t>
            </w:r>
          </w:p>
        </w:tc>
        <w:tc>
          <w:tcPr>
            <w:tcW w:w="20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554</w:t>
            </w:r>
          </w:p>
        </w:tc>
        <w:tc>
          <w:tcPr>
            <w:tcW w:w="60" w:type="dxa"/>
            <w:vAlign w:val="bottom"/>
          </w:tcPr>
          <w:p>
            <w:pPr>
              <w:spacing w:after="0"/>
              <w:rPr>
                <w:sz w:val="9"/>
                <w:szCs w:val="9"/>
                <w:color w:val="auto"/>
              </w:rPr>
            </w:pPr>
          </w:p>
        </w:tc>
        <w:tc>
          <w:tcPr>
            <w:tcW w:w="880" w:type="dxa"/>
            <w:vAlign w:val="bottom"/>
          </w:tcPr>
          <w:p>
            <w:pPr>
              <w:jc w:val="right"/>
              <w:ind w:right="31"/>
              <w:spacing w:after="0" w:line="110" w:lineRule="exact"/>
              <w:rPr>
                <w:sz w:val="20"/>
                <w:szCs w:val="20"/>
                <w:color w:val="auto"/>
              </w:rPr>
            </w:pPr>
            <w:r>
              <w:rPr>
                <w:rFonts w:ascii="Arial" w:cs="Arial" w:eastAsia="Arial" w:hAnsi="Arial"/>
                <w:sz w:val="10"/>
                <w:szCs w:val="10"/>
                <w:color w:val="auto"/>
              </w:rPr>
              <w:t>2,483</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131</w:t>
            </w:r>
          </w:p>
        </w:tc>
        <w:tc>
          <w:tcPr>
            <w:tcW w:w="60" w:type="dxa"/>
            <w:vAlign w:val="bottom"/>
          </w:tcPr>
          <w:p>
            <w:pPr>
              <w:spacing w:after="0"/>
              <w:rPr>
                <w:sz w:val="9"/>
                <w:szCs w:val="9"/>
                <w:color w:val="auto"/>
              </w:rPr>
            </w:pPr>
          </w:p>
        </w:tc>
        <w:tc>
          <w:tcPr>
            <w:tcW w:w="70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tcPr>
          <w:p>
            <w:pPr>
              <w:jc w:val="right"/>
              <w:ind w:right="31"/>
              <w:spacing w:after="0" w:line="110"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tcPr>
          <w:p>
            <w:pPr>
              <w:jc w:val="right"/>
              <w:ind w:right="31"/>
              <w:spacing w:after="0" w:line="110" w:lineRule="exact"/>
              <w:rPr>
                <w:sz w:val="20"/>
                <w:szCs w:val="20"/>
                <w:color w:val="auto"/>
              </w:rPr>
            </w:pPr>
            <w:r>
              <w:rPr>
                <w:rFonts w:ascii="Arial" w:cs="Arial" w:eastAsia="Arial" w:hAnsi="Arial"/>
                <w:sz w:val="10"/>
                <w:szCs w:val="10"/>
                <w:color w:val="auto"/>
              </w:rPr>
              <w:t>3,168</w:t>
            </w:r>
          </w:p>
        </w:tc>
      </w:tr>
      <w:tr>
        <w:trPr>
          <w:trHeight w:val="121"/>
        </w:trPr>
        <w:tc>
          <w:tcPr>
            <w:tcW w:w="1520" w:type="dxa"/>
            <w:vAlign w:val="bottom"/>
          </w:tcPr>
          <w:p>
            <w:pPr>
              <w:spacing w:after="0"/>
              <w:rPr>
                <w:sz w:val="20"/>
                <w:szCs w:val="20"/>
                <w:color w:val="auto"/>
              </w:rPr>
            </w:pPr>
            <w:r>
              <w:rPr>
                <w:rFonts w:ascii="Arial" w:cs="Arial" w:eastAsia="Arial" w:hAnsi="Arial"/>
                <w:sz w:val="10"/>
                <w:szCs w:val="10"/>
                <w:color w:val="auto"/>
              </w:rPr>
              <w:t>Futures</w:t>
            </w: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1,618</w:t>
            </w:r>
          </w:p>
        </w:tc>
        <w:tc>
          <w:tcPr>
            <w:tcW w:w="60" w:type="dxa"/>
            <w:vAlign w:val="bottom"/>
          </w:tcPr>
          <w:p>
            <w:pPr>
              <w:spacing w:after="0"/>
              <w:rPr>
                <w:sz w:val="10"/>
                <w:szCs w:val="1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1,618</w:t>
            </w:r>
          </w:p>
        </w:tc>
        <w:tc>
          <w:tcPr>
            <w:tcW w:w="200" w:type="dxa"/>
            <w:vAlign w:val="bottom"/>
          </w:tcPr>
          <w:p>
            <w:pPr>
              <w:spacing w:after="0"/>
              <w:rPr>
                <w:sz w:val="10"/>
                <w:szCs w:val="10"/>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1,450</w:t>
            </w:r>
          </w:p>
        </w:tc>
        <w:tc>
          <w:tcPr>
            <w:tcW w:w="60" w:type="dxa"/>
            <w:vAlign w:val="bottom"/>
          </w:tcPr>
          <w:p>
            <w:pPr>
              <w:spacing w:after="0"/>
              <w:rPr>
                <w:sz w:val="10"/>
                <w:szCs w:val="1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1,450</w:t>
            </w:r>
          </w:p>
        </w:tc>
      </w:tr>
      <w:tr>
        <w:trPr>
          <w:trHeight w:val="107"/>
        </w:trPr>
        <w:tc>
          <w:tcPr>
            <w:tcW w:w="1520" w:type="dxa"/>
            <w:vAlign w:val="bottom"/>
          </w:tcPr>
          <w:p>
            <w:pPr>
              <w:spacing w:after="0" w:line="103" w:lineRule="exact"/>
              <w:rPr>
                <w:sz w:val="20"/>
                <w:szCs w:val="20"/>
                <w:color w:val="auto"/>
              </w:rPr>
            </w:pPr>
            <w:r>
              <w:rPr>
                <w:rFonts w:ascii="Arial" w:cs="Arial" w:eastAsia="Arial" w:hAnsi="Arial"/>
                <w:sz w:val="10"/>
                <w:szCs w:val="10"/>
                <w:b w:val="1"/>
                <w:bCs w:val="1"/>
                <w:color w:val="auto"/>
              </w:rPr>
              <w:t>Total liabilities</w:t>
            </w:r>
          </w:p>
        </w:tc>
        <w:tc>
          <w:tcPr>
            <w:tcW w:w="58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244,822</w:t>
            </w:r>
          </w:p>
        </w:tc>
        <w:tc>
          <w:tcPr>
            <w:tcW w:w="60" w:type="dxa"/>
            <w:vAlign w:val="bottom"/>
          </w:tcPr>
          <w:p>
            <w:pPr>
              <w:spacing w:after="0"/>
              <w:rPr>
                <w:sz w:val="9"/>
                <w:szCs w:val="9"/>
                <w:color w:val="auto"/>
              </w:rPr>
            </w:pPr>
          </w:p>
        </w:tc>
        <w:tc>
          <w:tcPr>
            <w:tcW w:w="88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210,518</w:t>
            </w:r>
          </w:p>
        </w:tc>
        <w:tc>
          <w:tcPr>
            <w:tcW w:w="60" w:type="dxa"/>
            <w:vAlign w:val="bottom"/>
          </w:tcPr>
          <w:p>
            <w:pPr>
              <w:spacing w:after="0"/>
              <w:rPr>
                <w:sz w:val="9"/>
                <w:szCs w:val="9"/>
                <w:color w:val="auto"/>
              </w:rPr>
            </w:pPr>
          </w:p>
        </w:tc>
        <w:tc>
          <w:tcPr>
            <w:tcW w:w="70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140,416</w:t>
            </w:r>
          </w:p>
        </w:tc>
        <w:tc>
          <w:tcPr>
            <w:tcW w:w="60" w:type="dxa"/>
            <w:vAlign w:val="bottom"/>
          </w:tcPr>
          <w:p>
            <w:pPr>
              <w:spacing w:after="0"/>
              <w:rPr>
                <w:sz w:val="9"/>
                <w:szCs w:val="9"/>
                <w:color w:val="auto"/>
              </w:rPr>
            </w:pPr>
          </w:p>
        </w:tc>
        <w:tc>
          <w:tcPr>
            <w:tcW w:w="70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136,400</w:t>
            </w:r>
          </w:p>
        </w:tc>
        <w:tc>
          <w:tcPr>
            <w:tcW w:w="60" w:type="dxa"/>
            <w:vAlign w:val="bottom"/>
          </w:tcPr>
          <w:p>
            <w:pPr>
              <w:spacing w:after="0"/>
              <w:rPr>
                <w:sz w:val="9"/>
                <w:szCs w:val="9"/>
                <w:color w:val="auto"/>
              </w:rPr>
            </w:pPr>
          </w:p>
        </w:tc>
        <w:tc>
          <w:tcPr>
            <w:tcW w:w="52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112,945</w:t>
            </w:r>
          </w:p>
        </w:tc>
        <w:tc>
          <w:tcPr>
            <w:tcW w:w="60" w:type="dxa"/>
            <w:vAlign w:val="bottom"/>
          </w:tcPr>
          <w:p>
            <w:pPr>
              <w:spacing w:after="0"/>
              <w:rPr>
                <w:sz w:val="9"/>
                <w:szCs w:val="9"/>
                <w:color w:val="auto"/>
              </w:rPr>
            </w:pPr>
          </w:p>
        </w:tc>
        <w:tc>
          <w:tcPr>
            <w:tcW w:w="56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845,101</w:t>
            </w:r>
          </w:p>
        </w:tc>
        <w:tc>
          <w:tcPr>
            <w:tcW w:w="200" w:type="dxa"/>
            <w:vAlign w:val="bottom"/>
          </w:tcPr>
          <w:p>
            <w:pPr>
              <w:spacing w:after="0"/>
              <w:rPr>
                <w:sz w:val="9"/>
                <w:szCs w:val="9"/>
                <w:color w:val="auto"/>
              </w:rPr>
            </w:pPr>
          </w:p>
        </w:tc>
        <w:tc>
          <w:tcPr>
            <w:tcW w:w="52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353,709</w:t>
            </w:r>
          </w:p>
        </w:tc>
        <w:tc>
          <w:tcPr>
            <w:tcW w:w="60" w:type="dxa"/>
            <w:vAlign w:val="bottom"/>
          </w:tcPr>
          <w:p>
            <w:pPr>
              <w:spacing w:after="0"/>
              <w:rPr>
                <w:sz w:val="9"/>
                <w:szCs w:val="9"/>
                <w:color w:val="auto"/>
              </w:rPr>
            </w:pPr>
          </w:p>
        </w:tc>
        <w:tc>
          <w:tcPr>
            <w:tcW w:w="88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384,085</w:t>
            </w:r>
          </w:p>
        </w:tc>
        <w:tc>
          <w:tcPr>
            <w:tcW w:w="60" w:type="dxa"/>
            <w:vAlign w:val="bottom"/>
          </w:tcPr>
          <w:p>
            <w:pPr>
              <w:spacing w:after="0"/>
              <w:rPr>
                <w:sz w:val="9"/>
                <w:szCs w:val="9"/>
                <w:color w:val="auto"/>
              </w:rPr>
            </w:pPr>
          </w:p>
        </w:tc>
        <w:tc>
          <w:tcPr>
            <w:tcW w:w="70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146,116</w:t>
            </w:r>
          </w:p>
        </w:tc>
        <w:tc>
          <w:tcPr>
            <w:tcW w:w="60" w:type="dxa"/>
            <w:vAlign w:val="bottom"/>
          </w:tcPr>
          <w:p>
            <w:pPr>
              <w:spacing w:after="0"/>
              <w:rPr>
                <w:sz w:val="9"/>
                <w:szCs w:val="9"/>
                <w:color w:val="auto"/>
              </w:rPr>
            </w:pPr>
          </w:p>
        </w:tc>
        <w:tc>
          <w:tcPr>
            <w:tcW w:w="70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189,864</w:t>
            </w:r>
          </w:p>
        </w:tc>
        <w:tc>
          <w:tcPr>
            <w:tcW w:w="60" w:type="dxa"/>
            <w:vAlign w:val="bottom"/>
          </w:tcPr>
          <w:p>
            <w:pPr>
              <w:spacing w:after="0"/>
              <w:rPr>
                <w:sz w:val="9"/>
                <w:szCs w:val="9"/>
                <w:color w:val="auto"/>
              </w:rPr>
            </w:pPr>
          </w:p>
        </w:tc>
        <w:tc>
          <w:tcPr>
            <w:tcW w:w="56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247,109</w:t>
            </w:r>
          </w:p>
        </w:tc>
        <w:tc>
          <w:tcPr>
            <w:tcW w:w="60" w:type="dxa"/>
            <w:vAlign w:val="bottom"/>
          </w:tcPr>
          <w:p>
            <w:pPr>
              <w:spacing w:after="0"/>
              <w:rPr>
                <w:sz w:val="9"/>
                <w:szCs w:val="9"/>
                <w:color w:val="auto"/>
              </w:rPr>
            </w:pPr>
          </w:p>
        </w:tc>
        <w:tc>
          <w:tcPr>
            <w:tcW w:w="620" w:type="dxa"/>
            <w:vAlign w:val="bottom"/>
            <w:tcBorders>
              <w:bottom w:val="single" w:sz="8" w:color="auto"/>
            </w:tcBorders>
          </w:tcPr>
          <w:p>
            <w:pPr>
              <w:jc w:val="right"/>
              <w:ind w:right="31"/>
              <w:spacing w:after="0" w:line="103" w:lineRule="exact"/>
              <w:rPr>
                <w:sz w:val="20"/>
                <w:szCs w:val="20"/>
                <w:color w:val="auto"/>
              </w:rPr>
            </w:pPr>
            <w:r>
              <w:rPr>
                <w:rFonts w:ascii="Arial" w:cs="Arial" w:eastAsia="Arial" w:hAnsi="Arial"/>
                <w:sz w:val="10"/>
                <w:szCs w:val="10"/>
                <w:color w:val="auto"/>
              </w:rPr>
              <w:t>1,320,883</w:t>
            </w:r>
          </w:p>
        </w:tc>
      </w:tr>
    </w:tbl>
    <w:p>
      <w:pPr>
        <w:spacing w:after="0" w:line="93" w:lineRule="exact"/>
        <w:rPr>
          <w:sz w:val="20"/>
          <w:szCs w:val="20"/>
          <w:color w:val="auto"/>
        </w:rPr>
      </w:pPr>
    </w:p>
    <w:p>
      <w:pPr>
        <w:ind w:left="296" w:hanging="296"/>
        <w:spacing w:after="0" w:line="280" w:lineRule="auto"/>
        <w:tabs>
          <w:tab w:leader="none" w:pos="29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Group is exposed to variability in future cash flows on assets and liabilities in foreign currency and/or those that bear interest at variable rates. The Group uses derivative financial instruments as cash flow hedges to cover these risks.</w:t>
      </w:r>
    </w:p>
    <w:p>
      <w:pPr>
        <w:spacing w:after="0" w:line="120" w:lineRule="exact"/>
        <w:rPr>
          <w:sz w:val="20"/>
          <w:szCs w:val="20"/>
          <w:color w:val="auto"/>
        </w:rPr>
      </w:pPr>
    </w:p>
    <w:p>
      <w:pPr>
        <w:jc w:val="both"/>
        <w:ind w:left="296"/>
        <w:spacing w:after="0" w:line="280" w:lineRule="auto"/>
        <w:rPr>
          <w:sz w:val="20"/>
          <w:szCs w:val="20"/>
          <w:color w:val="auto"/>
        </w:rPr>
      </w:pPr>
      <w:r>
        <w:rPr>
          <w:rFonts w:ascii="Arial" w:cs="Arial" w:eastAsia="Arial" w:hAnsi="Arial"/>
          <w:sz w:val="16"/>
          <w:szCs w:val="16"/>
          <w:color w:val="auto"/>
        </w:rPr>
        <w:t>A schedule indicating the periods when the current cash flow hedges are expected to occur and affect the consolidated statement of income, net of deferred income tax is presented below:</w:t>
      </w:r>
    </w:p>
    <w:p>
      <w:pPr>
        <w:spacing w:after="0" w:line="122" w:lineRule="exact"/>
        <w:rPr>
          <w:sz w:val="20"/>
          <w:szCs w:val="20"/>
          <w:color w:val="auto"/>
        </w:rPr>
      </w:pPr>
    </w:p>
    <w:tbl>
      <w:tblPr>
        <w:tblLayout w:type="fixed"/>
        <w:tblInd w:w="296" w:type="dxa"/>
        <w:tblCellMar>
          <w:top w:w="0" w:type="dxa"/>
          <w:left w:w="0" w:type="dxa"/>
          <w:bottom w:w="0" w:type="dxa"/>
          <w:right w:w="0" w:type="dxa"/>
        </w:tblCellMar>
      </w:tblPr>
      <w:tr>
        <w:trPr>
          <w:trHeight w:val="138"/>
        </w:trPr>
        <w:tc>
          <w:tcPr>
            <w:tcW w:w="1560" w:type="dxa"/>
            <w:vAlign w:val="bottom"/>
          </w:tcPr>
          <w:p>
            <w:pPr>
              <w:spacing w:after="0"/>
              <w:rPr>
                <w:sz w:val="11"/>
                <w:szCs w:val="11"/>
                <w:color w:val="auto"/>
              </w:rPr>
            </w:pPr>
          </w:p>
        </w:tc>
        <w:tc>
          <w:tcPr>
            <w:tcW w:w="920" w:type="dxa"/>
            <w:vAlign w:val="bottom"/>
            <w:gridSpan w:val="2"/>
          </w:tcPr>
          <w:p>
            <w:pPr>
              <w:ind w:left="260"/>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top w:val="single" w:sz="8" w:color="auto"/>
            </w:tcBorders>
            <w:gridSpan w:val="2"/>
          </w:tcPr>
          <w:p>
            <w:pPr>
              <w:spacing w:after="0" w:line="99" w:lineRule="exact"/>
              <w:rPr>
                <w:sz w:val="20"/>
                <w:szCs w:val="20"/>
                <w:color w:val="auto"/>
              </w:rPr>
            </w:pPr>
            <w:r>
              <w:rPr>
                <w:rFonts w:ascii="Arial" w:cs="Arial" w:eastAsia="Arial" w:hAnsi="Arial"/>
                <w:sz w:val="11"/>
                <w:szCs w:val="11"/>
                <w:b w:val="1"/>
                <w:bCs w:val="1"/>
                <w:color w:val="auto"/>
              </w:rPr>
              <w:t>Up to 1</w:t>
            </w:r>
          </w:p>
        </w:tc>
        <w:tc>
          <w:tcPr>
            <w:tcW w:w="980" w:type="dxa"/>
            <w:vAlign w:val="bottom"/>
            <w:tcBorders>
              <w:top w:val="single" w:sz="8" w:color="auto"/>
            </w:tcBorders>
            <w:gridSpan w:val="2"/>
          </w:tcPr>
          <w:p>
            <w:pPr>
              <w:spacing w:after="0" w:line="99" w:lineRule="exact"/>
              <w:rPr>
                <w:sz w:val="20"/>
                <w:szCs w:val="20"/>
                <w:color w:val="auto"/>
              </w:rPr>
            </w:pPr>
            <w:r>
              <w:rPr>
                <w:rFonts w:ascii="Arial" w:cs="Arial" w:eastAsia="Arial" w:hAnsi="Arial"/>
                <w:sz w:val="11"/>
                <w:szCs w:val="11"/>
                <w:b w:val="1"/>
                <w:bCs w:val="1"/>
                <w:color w:val="auto"/>
              </w:rPr>
              <w:t>From 1 to 3</w:t>
            </w:r>
          </w:p>
        </w:tc>
        <w:tc>
          <w:tcPr>
            <w:tcW w:w="720" w:type="dxa"/>
            <w:vAlign w:val="bottom"/>
            <w:tcBorders>
              <w:top w:val="single" w:sz="8" w:color="auto"/>
            </w:tcBorders>
            <w:gridSpan w:val="2"/>
          </w:tcPr>
          <w:p>
            <w:pPr>
              <w:spacing w:after="0" w:line="99" w:lineRule="exact"/>
              <w:rPr>
                <w:sz w:val="20"/>
                <w:szCs w:val="20"/>
                <w:color w:val="auto"/>
              </w:rPr>
            </w:pPr>
            <w:r>
              <w:rPr>
                <w:rFonts w:ascii="Arial" w:cs="Arial" w:eastAsia="Arial" w:hAnsi="Arial"/>
                <w:sz w:val="11"/>
                <w:szCs w:val="11"/>
                <w:b w:val="1"/>
                <w:bCs w:val="1"/>
                <w:color w:val="auto"/>
              </w:rPr>
              <w:t>From 3 to 5</w:t>
            </w:r>
          </w:p>
        </w:tc>
        <w:tc>
          <w:tcPr>
            <w:tcW w:w="620" w:type="dxa"/>
            <w:vAlign w:val="bottom"/>
            <w:tcBorders>
              <w:top w:val="single" w:sz="8" w:color="auto"/>
            </w:tcBorders>
            <w:gridSpan w:val="3"/>
          </w:tcPr>
          <w:p>
            <w:pPr>
              <w:ind w:left="40"/>
              <w:spacing w:after="0" w:line="99" w:lineRule="exact"/>
              <w:rPr>
                <w:sz w:val="20"/>
                <w:szCs w:val="20"/>
                <w:color w:val="auto"/>
              </w:rPr>
            </w:pPr>
            <w:r>
              <w:rPr>
                <w:rFonts w:ascii="Arial" w:cs="Arial" w:eastAsia="Arial" w:hAnsi="Arial"/>
                <w:sz w:val="11"/>
                <w:szCs w:val="11"/>
                <w:b w:val="1"/>
                <w:bCs w:val="1"/>
                <w:color w:val="auto"/>
              </w:rPr>
              <w:t>Over 5</w:t>
            </w:r>
          </w:p>
        </w:tc>
        <w:tc>
          <w:tcPr>
            <w:tcW w:w="780" w:type="dxa"/>
            <w:vAlign w:val="bottom"/>
            <w:tcBorders>
              <w:top w:val="single" w:sz="8" w:color="auto"/>
            </w:tcBorders>
            <w:vMerge w:val="restart"/>
          </w:tcPr>
          <w:p>
            <w:pPr>
              <w:spacing w:after="0"/>
              <w:rPr>
                <w:sz w:val="20"/>
                <w:szCs w:val="20"/>
                <w:color w:val="auto"/>
              </w:rPr>
            </w:pPr>
            <w:r>
              <w:rPr>
                <w:rFonts w:ascii="Arial" w:cs="Arial" w:eastAsia="Arial" w:hAnsi="Arial"/>
                <w:sz w:val="11"/>
                <w:szCs w:val="11"/>
                <w:b w:val="1"/>
                <w:bCs w:val="1"/>
                <w:color w:val="auto"/>
              </w:rPr>
              <w:t>Total</w:t>
            </w:r>
          </w:p>
        </w:tc>
        <w:tc>
          <w:tcPr>
            <w:tcW w:w="100" w:type="dxa"/>
            <w:vAlign w:val="bottom"/>
            <w:vMerge w:val="restart"/>
          </w:tcPr>
          <w:p>
            <w:pPr>
              <w:spacing w:after="0"/>
              <w:rPr>
                <w:sz w:val="8"/>
                <w:szCs w:val="8"/>
                <w:color w:val="auto"/>
              </w:rPr>
            </w:pPr>
          </w:p>
        </w:tc>
        <w:tc>
          <w:tcPr>
            <w:tcW w:w="760" w:type="dxa"/>
            <w:vAlign w:val="bottom"/>
            <w:tcBorders>
              <w:top w:val="single" w:sz="8" w:color="auto"/>
            </w:tcBorders>
            <w:gridSpan w:val="2"/>
          </w:tcPr>
          <w:p>
            <w:pPr>
              <w:spacing w:after="0" w:line="99" w:lineRule="exact"/>
              <w:rPr>
                <w:sz w:val="20"/>
                <w:szCs w:val="20"/>
                <w:color w:val="auto"/>
              </w:rPr>
            </w:pPr>
            <w:r>
              <w:rPr>
                <w:rFonts w:ascii="Arial" w:cs="Arial" w:eastAsia="Arial" w:hAnsi="Arial"/>
                <w:sz w:val="11"/>
                <w:szCs w:val="11"/>
                <w:b w:val="1"/>
                <w:bCs w:val="1"/>
                <w:color w:val="auto"/>
              </w:rPr>
              <w:t>Up to 1</w:t>
            </w:r>
          </w:p>
        </w:tc>
        <w:tc>
          <w:tcPr>
            <w:tcW w:w="840" w:type="dxa"/>
            <w:vAlign w:val="bottom"/>
            <w:tcBorders>
              <w:top w:val="single" w:sz="8" w:color="auto"/>
            </w:tcBorders>
            <w:gridSpan w:val="2"/>
          </w:tcPr>
          <w:p>
            <w:pPr>
              <w:spacing w:after="0" w:line="99" w:lineRule="exact"/>
              <w:rPr>
                <w:sz w:val="20"/>
                <w:szCs w:val="20"/>
                <w:color w:val="auto"/>
              </w:rPr>
            </w:pPr>
            <w:r>
              <w:rPr>
                <w:rFonts w:ascii="Arial" w:cs="Arial" w:eastAsia="Arial" w:hAnsi="Arial"/>
                <w:sz w:val="11"/>
                <w:szCs w:val="11"/>
                <w:b w:val="1"/>
                <w:bCs w:val="1"/>
                <w:color w:val="auto"/>
              </w:rPr>
              <w:t>From 1 to 3</w:t>
            </w:r>
          </w:p>
        </w:tc>
        <w:tc>
          <w:tcPr>
            <w:tcW w:w="720" w:type="dxa"/>
            <w:vAlign w:val="bottom"/>
            <w:tcBorders>
              <w:top w:val="single" w:sz="8" w:color="auto"/>
            </w:tcBorders>
            <w:gridSpan w:val="2"/>
          </w:tcPr>
          <w:p>
            <w:pPr>
              <w:spacing w:after="0" w:line="99" w:lineRule="exact"/>
              <w:rPr>
                <w:sz w:val="20"/>
                <w:szCs w:val="20"/>
                <w:color w:val="auto"/>
              </w:rPr>
            </w:pPr>
            <w:r>
              <w:rPr>
                <w:rFonts w:ascii="Arial" w:cs="Arial" w:eastAsia="Arial" w:hAnsi="Arial"/>
                <w:sz w:val="11"/>
                <w:szCs w:val="11"/>
                <w:b w:val="1"/>
                <w:bCs w:val="1"/>
                <w:color w:val="auto"/>
              </w:rPr>
              <w:t>From 3 to 5</w:t>
            </w:r>
          </w:p>
        </w:tc>
        <w:tc>
          <w:tcPr>
            <w:tcW w:w="600" w:type="dxa"/>
            <w:vAlign w:val="bottom"/>
            <w:tcBorders>
              <w:top w:val="single" w:sz="8" w:color="auto"/>
            </w:tcBorders>
            <w:gridSpan w:val="3"/>
          </w:tcPr>
          <w:p>
            <w:pPr>
              <w:ind w:left="40"/>
              <w:spacing w:after="0" w:line="99" w:lineRule="exact"/>
              <w:rPr>
                <w:sz w:val="20"/>
                <w:szCs w:val="20"/>
                <w:color w:val="auto"/>
              </w:rPr>
            </w:pPr>
            <w:r>
              <w:rPr>
                <w:rFonts w:ascii="Arial" w:cs="Arial" w:eastAsia="Arial" w:hAnsi="Arial"/>
                <w:sz w:val="11"/>
                <w:szCs w:val="11"/>
                <w:b w:val="1"/>
                <w:bCs w:val="1"/>
                <w:color w:val="auto"/>
              </w:rPr>
              <w:t>Over 5</w:t>
            </w:r>
          </w:p>
        </w:tc>
        <w:tc>
          <w:tcPr>
            <w:tcW w:w="860" w:type="dxa"/>
            <w:vAlign w:val="bottom"/>
            <w:tcBorders>
              <w:top w:val="single" w:sz="8" w:color="auto"/>
            </w:tcBorders>
            <w:vMerge w:val="restart"/>
          </w:tcPr>
          <w:p>
            <w:pPr>
              <w:spacing w:after="0"/>
              <w:rPr>
                <w:sz w:val="20"/>
                <w:szCs w:val="20"/>
                <w:color w:val="auto"/>
              </w:rPr>
            </w:pPr>
            <w:r>
              <w:rPr>
                <w:rFonts w:ascii="Arial" w:cs="Arial" w:eastAsia="Arial" w:hAnsi="Arial"/>
                <w:sz w:val="11"/>
                <w:szCs w:val="11"/>
                <w:b w:val="1"/>
                <w:bCs w:val="1"/>
                <w:color w:val="auto"/>
              </w:rPr>
              <w:t>Total</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1020" w:type="dxa"/>
            <w:vAlign w:val="bottom"/>
            <w:gridSpan w:val="3"/>
          </w:tcPr>
          <w:p>
            <w:pPr>
              <w:ind w:left="260"/>
              <w:spacing w:after="0"/>
              <w:rPr>
                <w:sz w:val="20"/>
                <w:szCs w:val="20"/>
                <w:color w:val="auto"/>
              </w:rPr>
            </w:pPr>
            <w:r>
              <w:rPr>
                <w:rFonts w:ascii="Arial" w:cs="Arial" w:eastAsia="Arial" w:hAnsi="Arial"/>
                <w:sz w:val="11"/>
                <w:szCs w:val="11"/>
                <w:b w:val="1"/>
                <w:bCs w:val="1"/>
                <w:color w:val="auto"/>
              </w:rPr>
              <w:t>year</w:t>
            </w: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years</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years</w:t>
            </w:r>
          </w:p>
        </w:tc>
        <w:tc>
          <w:tcPr>
            <w:tcW w:w="620" w:type="dxa"/>
            <w:vAlign w:val="bottom"/>
            <w:gridSpan w:val="3"/>
          </w:tcPr>
          <w:p>
            <w:pPr>
              <w:ind w:left="40"/>
              <w:spacing w:after="0"/>
              <w:rPr>
                <w:sz w:val="20"/>
                <w:szCs w:val="20"/>
                <w:color w:val="auto"/>
              </w:rPr>
            </w:pPr>
            <w:r>
              <w:rPr>
                <w:rFonts w:ascii="Arial" w:cs="Arial" w:eastAsia="Arial" w:hAnsi="Arial"/>
                <w:sz w:val="11"/>
                <w:szCs w:val="11"/>
                <w:b w:val="1"/>
                <w:bCs w:val="1"/>
                <w:color w:val="auto"/>
              </w:rPr>
              <w:t>years</w:t>
            </w:r>
          </w:p>
        </w:tc>
        <w:tc>
          <w:tcPr>
            <w:tcW w:w="78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year</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years</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years</w:t>
            </w:r>
          </w:p>
        </w:tc>
        <w:tc>
          <w:tcPr>
            <w:tcW w:w="600" w:type="dxa"/>
            <w:vAlign w:val="bottom"/>
            <w:gridSpan w:val="3"/>
          </w:tcPr>
          <w:p>
            <w:pPr>
              <w:ind w:left="40"/>
              <w:spacing w:after="0"/>
              <w:rPr>
                <w:sz w:val="20"/>
                <w:szCs w:val="20"/>
                <w:color w:val="auto"/>
              </w:rPr>
            </w:pPr>
            <w:r>
              <w:rPr>
                <w:rFonts w:ascii="Arial" w:cs="Arial" w:eastAsia="Arial" w:hAnsi="Arial"/>
                <w:sz w:val="11"/>
                <w:szCs w:val="11"/>
                <w:b w:val="1"/>
                <w:bCs w:val="1"/>
                <w:color w:val="auto"/>
              </w:rPr>
              <w:t>years</w:t>
            </w:r>
          </w:p>
        </w:tc>
        <w:tc>
          <w:tcPr>
            <w:tcW w:w="8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top w:val="single" w:sz="8" w:color="auto"/>
            </w:tcBorders>
          </w:tcPr>
          <w:p>
            <w:pPr>
              <w:spacing w:after="0" w:line="99" w:lineRule="exact"/>
              <w:rPr>
                <w:sz w:val="20"/>
                <w:szCs w:val="20"/>
                <w:color w:val="auto"/>
              </w:rPr>
            </w:pPr>
            <w:r>
              <w:rPr>
                <w:rFonts w:ascii="Arial" w:cs="Arial" w:eastAsia="Arial" w:hAnsi="Arial"/>
                <w:sz w:val="11"/>
                <w:szCs w:val="11"/>
                <w:b w:val="1"/>
                <w:bCs w:val="1"/>
                <w:color w:val="auto"/>
              </w:rPr>
              <w:t>S/(000)</w:t>
            </w:r>
          </w:p>
        </w:tc>
        <w:tc>
          <w:tcPr>
            <w:tcW w:w="100" w:type="dxa"/>
            <w:vAlign w:val="bottom"/>
          </w:tcPr>
          <w:p>
            <w:pPr>
              <w:spacing w:after="0"/>
              <w:rPr>
                <w:sz w:val="8"/>
                <w:szCs w:val="8"/>
                <w:color w:val="auto"/>
              </w:rPr>
            </w:pPr>
          </w:p>
        </w:tc>
        <w:tc>
          <w:tcPr>
            <w:tcW w:w="880" w:type="dxa"/>
            <w:vAlign w:val="bottom"/>
            <w:tcBorders>
              <w:top w:val="single" w:sz="8" w:color="auto"/>
            </w:tcBorders>
          </w:tcPr>
          <w:p>
            <w:pPr>
              <w:spacing w:after="0" w:line="99" w:lineRule="exact"/>
              <w:rPr>
                <w:sz w:val="20"/>
                <w:szCs w:val="20"/>
                <w:color w:val="auto"/>
              </w:rPr>
            </w:pPr>
            <w:r>
              <w:rPr>
                <w:rFonts w:ascii="Arial" w:cs="Arial" w:eastAsia="Arial" w:hAnsi="Arial"/>
                <w:sz w:val="11"/>
                <w:szCs w:val="11"/>
                <w:b w:val="1"/>
                <w:bCs w:val="1"/>
                <w:color w:val="auto"/>
              </w:rPr>
              <w:t>S/(000)</w:t>
            </w: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line="99" w:lineRule="exact"/>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line="99" w:lineRule="exact"/>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8"/>
                <w:szCs w:val="8"/>
                <w:color w:val="auto"/>
              </w:rPr>
            </w:pPr>
          </w:p>
        </w:tc>
        <w:tc>
          <w:tcPr>
            <w:tcW w:w="780" w:type="dxa"/>
            <w:vAlign w:val="bottom"/>
            <w:tcBorders>
              <w:top w:val="single" w:sz="8" w:color="auto"/>
            </w:tcBorders>
          </w:tcPr>
          <w:p>
            <w:pPr>
              <w:spacing w:after="0" w:line="99" w:lineRule="exact"/>
              <w:rPr>
                <w:sz w:val="20"/>
                <w:szCs w:val="20"/>
                <w:color w:val="auto"/>
              </w:rPr>
            </w:pPr>
            <w:r>
              <w:rPr>
                <w:rFonts w:ascii="Arial" w:cs="Arial" w:eastAsia="Arial" w:hAnsi="Arial"/>
                <w:sz w:val="11"/>
                <w:szCs w:val="11"/>
                <w:b w:val="1"/>
                <w:bCs w:val="1"/>
                <w:color w:val="auto"/>
              </w:rPr>
              <w:t>S/(000)</w:t>
            </w: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line="99" w:lineRule="exact"/>
              <w:rPr>
                <w:sz w:val="20"/>
                <w:szCs w:val="20"/>
                <w:color w:val="auto"/>
              </w:rPr>
            </w:pPr>
            <w:r>
              <w:rPr>
                <w:rFonts w:ascii="Arial" w:cs="Arial" w:eastAsia="Arial" w:hAnsi="Arial"/>
                <w:sz w:val="11"/>
                <w:szCs w:val="11"/>
                <w:b w:val="1"/>
                <w:bCs w:val="1"/>
                <w:color w:val="auto"/>
              </w:rPr>
              <w:t>S/(000)</w:t>
            </w:r>
          </w:p>
        </w:tc>
        <w:tc>
          <w:tcPr>
            <w:tcW w:w="100" w:type="dxa"/>
            <w:vAlign w:val="bottom"/>
          </w:tcPr>
          <w:p>
            <w:pPr>
              <w:spacing w:after="0"/>
              <w:rPr>
                <w:sz w:val="8"/>
                <w:szCs w:val="8"/>
                <w:color w:val="auto"/>
              </w:rPr>
            </w:pPr>
          </w:p>
        </w:tc>
        <w:tc>
          <w:tcPr>
            <w:tcW w:w="760" w:type="dxa"/>
            <w:vAlign w:val="bottom"/>
            <w:tcBorders>
              <w:top w:val="single" w:sz="8" w:color="auto"/>
            </w:tcBorders>
          </w:tcPr>
          <w:p>
            <w:pPr>
              <w:spacing w:after="0" w:line="99" w:lineRule="exact"/>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line="99" w:lineRule="exact"/>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line="99" w:lineRule="exact"/>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8"/>
                <w:szCs w:val="8"/>
                <w:color w:val="auto"/>
              </w:rPr>
            </w:pPr>
          </w:p>
        </w:tc>
        <w:tc>
          <w:tcPr>
            <w:tcW w:w="860" w:type="dxa"/>
            <w:vAlign w:val="bottom"/>
            <w:tcBorders>
              <w:top w:val="single" w:sz="8" w:color="auto"/>
            </w:tcBorders>
          </w:tcPr>
          <w:p>
            <w:pPr>
              <w:spacing w:after="0" w:line="99" w:lineRule="exact"/>
              <w:rPr>
                <w:sz w:val="20"/>
                <w:szCs w:val="20"/>
                <w:color w:val="auto"/>
              </w:rPr>
            </w:pPr>
            <w:r>
              <w:rPr>
                <w:rFonts w:ascii="Arial" w:cs="Arial" w:eastAsia="Arial" w:hAnsi="Arial"/>
                <w:sz w:val="11"/>
                <w:szCs w:val="11"/>
                <w:b w:val="1"/>
                <w:bCs w:val="1"/>
                <w:color w:val="auto"/>
              </w:rPr>
              <w:t>S/(000)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line="122" w:lineRule="exact"/>
              <w:rPr>
                <w:sz w:val="20"/>
                <w:szCs w:val="20"/>
                <w:color w:val="auto"/>
              </w:rPr>
            </w:pPr>
            <w:r>
              <w:rPr>
                <w:rFonts w:ascii="Arial" w:cs="Arial" w:eastAsia="Arial" w:hAnsi="Arial"/>
                <w:sz w:val="11"/>
                <w:szCs w:val="11"/>
                <w:color w:val="auto"/>
              </w:rPr>
              <w:t>Cash inflows (assets)</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160,643</w:t>
            </w:r>
          </w:p>
        </w:tc>
        <w:tc>
          <w:tcPr>
            <w:tcW w:w="100" w:type="dxa"/>
            <w:vAlign w:val="bottom"/>
          </w:tcPr>
          <w:p>
            <w:pPr>
              <w:spacing w:after="0"/>
              <w:rPr>
                <w:sz w:val="10"/>
                <w:szCs w:val="10"/>
                <w:color w:val="auto"/>
              </w:rPr>
            </w:pP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1,742,147</w:t>
            </w: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1,902,790</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250,835</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938,513</w:t>
            </w:r>
          </w:p>
        </w:tc>
        <w:tc>
          <w:tcPr>
            <w:tcW w:w="8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76,280</w:t>
            </w:r>
          </w:p>
        </w:tc>
        <w:tc>
          <w:tcPr>
            <w:tcW w:w="60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1,265,628</w:t>
            </w:r>
          </w:p>
        </w:tc>
        <w:tc>
          <w:tcPr>
            <w:tcW w:w="0" w:type="dxa"/>
            <w:vAlign w:val="bottom"/>
          </w:tcPr>
          <w:p>
            <w:pPr>
              <w:spacing w:after="0"/>
              <w:rPr>
                <w:sz w:val="1"/>
                <w:szCs w:val="1"/>
                <w:color w:val="auto"/>
              </w:rPr>
            </w:pPr>
          </w:p>
        </w:tc>
      </w:tr>
      <w:tr>
        <w:trPr>
          <w:trHeight w:val="122"/>
        </w:trPr>
        <w:tc>
          <w:tcPr>
            <w:tcW w:w="1560" w:type="dxa"/>
            <w:vAlign w:val="bottom"/>
          </w:tcPr>
          <w:p>
            <w:pPr>
              <w:spacing w:after="0" w:line="122" w:lineRule="exact"/>
              <w:rPr>
                <w:sz w:val="20"/>
                <w:szCs w:val="20"/>
                <w:color w:val="auto"/>
              </w:rPr>
            </w:pPr>
            <w:r>
              <w:rPr>
                <w:rFonts w:ascii="Arial" w:cs="Arial" w:eastAsia="Arial" w:hAnsi="Arial"/>
                <w:sz w:val="11"/>
                <w:szCs w:val="11"/>
                <w:color w:val="auto"/>
              </w:rPr>
              <w:t>Cash outflows (liabilities)</w:t>
            </w:r>
          </w:p>
        </w:tc>
        <w:tc>
          <w:tcPr>
            <w:tcW w:w="102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(153,240)</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(1,749,748)</w:t>
            </w: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(1,902,988)</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(294,548)</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(934,119)</w:t>
            </w:r>
          </w:p>
        </w:tc>
        <w:tc>
          <w:tcPr>
            <w:tcW w:w="8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(73,232)</w:t>
            </w:r>
          </w:p>
        </w:tc>
        <w:tc>
          <w:tcPr>
            <w:tcW w:w="60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(1,301,899)</w:t>
            </w:r>
          </w:p>
        </w:tc>
        <w:tc>
          <w:tcPr>
            <w:tcW w:w="0" w:type="dxa"/>
            <w:vAlign w:val="bottom"/>
          </w:tcPr>
          <w:p>
            <w:pPr>
              <w:spacing w:after="0"/>
              <w:rPr>
                <w:sz w:val="1"/>
                <w:szCs w:val="1"/>
                <w:color w:val="auto"/>
              </w:rPr>
            </w:pPr>
          </w:p>
        </w:tc>
      </w:tr>
      <w:tr>
        <w:trPr>
          <w:trHeight w:val="122"/>
        </w:trPr>
        <w:tc>
          <w:tcPr>
            <w:tcW w:w="1560" w:type="dxa"/>
            <w:vAlign w:val="bottom"/>
          </w:tcPr>
          <w:p>
            <w:pPr>
              <w:spacing w:after="0" w:line="122" w:lineRule="exact"/>
              <w:rPr>
                <w:sz w:val="20"/>
                <w:szCs w:val="20"/>
                <w:color w:val="auto"/>
              </w:rPr>
            </w:pPr>
            <w:r>
              <w:rPr>
                <w:rFonts w:ascii="Arial" w:cs="Arial" w:eastAsia="Arial" w:hAnsi="Arial"/>
                <w:sz w:val="11"/>
                <w:szCs w:val="11"/>
                <w:color w:val="auto"/>
              </w:rPr>
              <w:t>Consolidated statement of</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20"/>
                <w:szCs w:val="20"/>
                <w:color w:val="auto"/>
              </w:rPr>
            </w:pPr>
            <w:r>
              <w:rPr>
                <w:rFonts w:ascii="Arial" w:cs="Arial" w:eastAsia="Arial" w:hAnsi="Arial"/>
                <w:sz w:val="11"/>
                <w:szCs w:val="11"/>
                <w:color w:val="auto"/>
              </w:rPr>
              <w:t>income</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485</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(17,192)</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(16,707)</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397</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(7,222)</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7,070</w:t>
            </w:r>
          </w:p>
        </w:tc>
        <w:tc>
          <w:tcPr>
            <w:tcW w:w="6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296"/>
        <w:spacing w:after="0" w:line="254" w:lineRule="auto"/>
        <w:rPr>
          <w:sz w:val="20"/>
          <w:szCs w:val="20"/>
          <w:color w:val="auto"/>
        </w:rPr>
      </w:pPr>
      <w:r>
        <w:rPr>
          <w:rFonts w:ascii="Arial" w:cs="Arial" w:eastAsia="Arial" w:hAnsi="Arial"/>
          <w:sz w:val="16"/>
          <w:szCs w:val="16"/>
          <w:color w:val="auto"/>
        </w:rPr>
        <w:t>As of December 31, 2023, the accumulated balance of the unrealized result from cash flow hedges, net of the corresponding deferred income tax, results from current hedges which maintain an unrealized loss of approximately S/16.7 million and revoked hedges that maintain an unrealized gain of S/5.8 million (As of December 31, 2022, current hedges maintained an unrealized gain of approximately S/0.2 million) See in note 16(c).</w:t>
      </w:r>
    </w:p>
    <w:p>
      <w:pPr>
        <w:spacing w:after="0" w:line="200" w:lineRule="exact"/>
        <w:rPr>
          <w:sz w:val="20"/>
          <w:szCs w:val="20"/>
          <w:color w:val="auto"/>
        </w:rPr>
      </w:pPr>
    </w:p>
    <w:p>
      <w:pPr>
        <w:spacing w:after="0" w:line="291" w:lineRule="exact"/>
        <w:rPr>
          <w:sz w:val="20"/>
          <w:szCs w:val="20"/>
          <w:color w:val="auto"/>
        </w:rPr>
      </w:pPr>
    </w:p>
    <w:p>
      <w:pPr>
        <w:ind w:left="4956"/>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56"/>
          </w:cols>
          <w:pgMar w:left="904" w:top="306" w:right="339" w:bottom="1440" w:gutter="0" w:footer="0" w:header="0"/>
        </w:sectPr>
      </w:pPr>
    </w:p>
    <w:bookmarkStart w:id="101" w:name="page102"/>
    <w:bookmarkEnd w:id="101"/>
    <w:p>
      <w:pPr>
        <w:ind w:left="340" w:right="780" w:hanging="340"/>
        <w:spacing w:after="0" w:line="280"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As of December 31, 2023 and 2022, corresponds to accounts receivable and payable for the sale and purchase of financial investments negotiated during the last days of the month, which were settled during the first days of the following month.</w:t>
      </w:r>
    </w:p>
    <w:p>
      <w:pPr>
        <w:spacing w:after="0" w:line="120" w:lineRule="exact"/>
        <w:rPr>
          <w:rFonts w:ascii="Arial" w:cs="Arial" w:eastAsia="Arial" w:hAnsi="Arial"/>
          <w:sz w:val="16"/>
          <w:szCs w:val="16"/>
          <w:color w:val="auto"/>
        </w:rPr>
      </w:pPr>
    </w:p>
    <w:p>
      <w:pPr>
        <w:jc w:val="both"/>
        <w:ind w:left="340" w:hanging="340"/>
        <w:spacing w:after="0" w:line="259"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Transactions in process include deposits received, granted and collected loans, funds transferred and other similar types of transactions, which are made in the final days of the month and not reclassified to their final accounts in the interim condensed consolidated statement of financial position until the first days of the following month. The regularization of these transactions does not affect the Group’s net income.</w:t>
      </w:r>
    </w:p>
    <w:p>
      <w:pPr>
        <w:spacing w:after="0" w:line="137" w:lineRule="exact"/>
        <w:rPr>
          <w:rFonts w:ascii="Arial" w:cs="Arial" w:eastAsia="Arial" w:hAnsi="Arial"/>
          <w:sz w:val="16"/>
          <w:szCs w:val="16"/>
          <w:color w:val="auto"/>
        </w:rPr>
      </w:pPr>
    </w:p>
    <w:p>
      <w:pPr>
        <w:ind w:left="340" w:right="60" w:hanging="340"/>
        <w:spacing w:after="0" w:line="252"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As of December 31, 2023, the balance corresponds mainly to the payment in advance in favor of Latam Airlines Group S.A. Perú Branch for US$169.7 million, equivalent to S/629.5 million, (US$128.0 million, equivalent to S/488.4 million as of December 31, 2022) on account of the Latam Pass Miles that the Bank has been crediting to its clients for the use of your credit and debit cards, and other financial products BCP Latam Pass. Customers can use these miles directly with Latam to exchange tickets, goods or services offered by them.</w:t>
      </w:r>
    </w:p>
    <w:p>
      <w:pPr>
        <w:spacing w:after="0" w:line="143" w:lineRule="exact"/>
        <w:rPr>
          <w:rFonts w:ascii="Arial" w:cs="Arial" w:eastAsia="Arial" w:hAnsi="Arial"/>
          <w:sz w:val="16"/>
          <w:szCs w:val="16"/>
          <w:color w:val="auto"/>
        </w:rPr>
      </w:pPr>
    </w:p>
    <w:p>
      <w:pPr>
        <w:ind w:left="340" w:right="560" w:hanging="340"/>
        <w:spacing w:after="0" w:line="280"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Credicorp’s principal associate is Pacífico S.A Entidad Prestadora de Salud (Pacífico EPS), whose balance amounts to S/686.6 million and S/627.9 million as of December 31, 2023 and 2022, respectively.</w:t>
      </w:r>
    </w:p>
    <w:p>
      <w:pPr>
        <w:spacing w:after="0" w:line="120" w:lineRule="exact"/>
        <w:rPr>
          <w:rFonts w:ascii="Arial" w:cs="Arial" w:eastAsia="Arial" w:hAnsi="Arial"/>
          <w:sz w:val="16"/>
          <w:szCs w:val="16"/>
          <w:color w:val="auto"/>
        </w:rPr>
      </w:pPr>
    </w:p>
    <w:p>
      <w:pPr>
        <w:ind w:left="340" w:hanging="340"/>
        <w:spacing w:after="0"/>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Investment properties -</w:t>
      </w:r>
    </w:p>
    <w:p>
      <w:pPr>
        <w:spacing w:after="0" w:line="182"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The movement of investment properties is as follows:</w:t>
      </w:r>
    </w:p>
    <w:p>
      <w:pPr>
        <w:spacing w:after="0" w:line="183" w:lineRule="exact"/>
        <w:rPr>
          <w:sz w:val="20"/>
          <w:szCs w:val="20"/>
          <w:color w:val="auto"/>
        </w:rPr>
      </w:pPr>
    </w:p>
    <w:tbl>
      <w:tblPr>
        <w:tblLayout w:type="fixed"/>
        <w:tblInd w:w="5320" w:type="dxa"/>
        <w:tblCellMar>
          <w:top w:w="0" w:type="dxa"/>
          <w:left w:w="0" w:type="dxa"/>
          <w:bottom w:w="0" w:type="dxa"/>
          <w:right w:w="0" w:type="dxa"/>
        </w:tblCellMar>
      </w:tblPr>
      <w:tr>
        <w:trPr>
          <w:trHeight w:val="200"/>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r>
      <w:tr>
        <w:trPr>
          <w:trHeight w:val="175"/>
        </w:trPr>
        <w:tc>
          <w:tcPr>
            <w:tcW w:w="134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Land</w:t>
            </w:r>
          </w:p>
        </w:tc>
        <w:tc>
          <w:tcPr>
            <w:tcW w:w="134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Buildings</w:t>
            </w:r>
          </w:p>
        </w:tc>
        <w:tc>
          <w:tcPr>
            <w:tcW w:w="112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5"/>
                <w:szCs w:val="15"/>
                <w:color w:val="auto"/>
              </w:rPr>
            </w:pPr>
          </w:p>
        </w:tc>
        <w:tc>
          <w:tcPr>
            <w:tcW w:w="114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w:t>
            </w:r>
          </w:p>
        </w:tc>
      </w:tr>
      <w:tr>
        <w:trPr>
          <w:trHeight w:val="175"/>
        </w:trPr>
        <w:tc>
          <w:tcPr>
            <w:tcW w:w="1120" w:type="dxa"/>
            <w:vAlign w:val="bottom"/>
            <w:tcBorders>
              <w:top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5"/>
                <w:szCs w:val="15"/>
                <w:color w:val="auto"/>
              </w:rPr>
            </w:pPr>
          </w:p>
        </w:tc>
        <w:tc>
          <w:tcPr>
            <w:tcW w:w="1120" w:type="dxa"/>
            <w:vAlign w:val="bottom"/>
            <w:tcBorders>
              <w:top w:val="single" w:sz="8" w:color="auto"/>
            </w:tcBorders>
          </w:tcPr>
          <w:p>
            <w:pPr>
              <w:ind w:left="60"/>
              <w:spacing w:after="0" w:line="175"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5"/>
                <w:szCs w:val="15"/>
                <w:color w:val="auto"/>
              </w:rPr>
            </w:pPr>
          </w:p>
        </w:tc>
        <w:tc>
          <w:tcPr>
            <w:tcW w:w="1120" w:type="dxa"/>
            <w:vAlign w:val="bottom"/>
            <w:tcBorders>
              <w:top w:val="single" w:sz="8" w:color="auto"/>
            </w:tcBorders>
          </w:tcPr>
          <w:p>
            <w:pPr>
              <w:ind w:left="60"/>
              <w:spacing w:after="0" w:line="175"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5"/>
                <w:szCs w:val="15"/>
                <w:color w:val="auto"/>
              </w:rPr>
            </w:pPr>
          </w:p>
        </w:tc>
        <w:tc>
          <w:tcPr>
            <w:tcW w:w="1140" w:type="dxa"/>
            <w:vAlign w:val="bottom"/>
            <w:tcBorders>
              <w:top w:val="single" w:sz="8" w:color="auto"/>
            </w:tcBorders>
          </w:tcPr>
          <w:p>
            <w:pPr>
              <w:ind w:left="60"/>
              <w:spacing w:after="0" w:line="175" w:lineRule="exact"/>
              <w:rPr>
                <w:sz w:val="20"/>
                <w:szCs w:val="20"/>
                <w:color w:val="auto"/>
              </w:rPr>
            </w:pPr>
            <w:r>
              <w:rPr>
                <w:rFonts w:ascii="Arial" w:cs="Arial" w:eastAsia="Arial" w:hAnsi="Arial"/>
                <w:sz w:val="16"/>
                <w:szCs w:val="16"/>
                <w:b w:val="1"/>
                <w:bCs w:val="1"/>
                <w:color w:val="auto"/>
              </w:rPr>
              <w:t>S/(000)</w:t>
            </w:r>
          </w:p>
        </w:tc>
      </w:tr>
    </w:tbl>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4960" w:type="dxa"/>
            <w:vAlign w:val="bottom"/>
          </w:tcPr>
          <w:p>
            <w:pPr>
              <w:spacing w:after="0" w:line="168" w:lineRule="exact"/>
              <w:rPr>
                <w:sz w:val="20"/>
                <w:szCs w:val="20"/>
                <w:color w:val="auto"/>
              </w:rPr>
            </w:pPr>
            <w:r>
              <w:rPr>
                <w:rFonts w:ascii="Arial" w:cs="Arial" w:eastAsia="Arial" w:hAnsi="Arial"/>
                <w:sz w:val="16"/>
                <w:szCs w:val="16"/>
                <w:b w:val="1"/>
                <w:bCs w:val="1"/>
                <w:color w:val="auto"/>
              </w:rPr>
              <w:t>Cost</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60" w:type="dxa"/>
            <w:vAlign w:val="bottom"/>
          </w:tcPr>
          <w:p>
            <w:pPr>
              <w:spacing w:after="0"/>
              <w:rPr>
                <w:sz w:val="20"/>
                <w:szCs w:val="20"/>
                <w:color w:val="auto"/>
              </w:rPr>
            </w:pPr>
            <w:r>
              <w:rPr>
                <w:rFonts w:ascii="Arial" w:cs="Arial" w:eastAsia="Arial" w:hAnsi="Arial"/>
                <w:sz w:val="16"/>
                <w:szCs w:val="16"/>
                <w:color w:val="auto"/>
              </w:rPr>
              <w:t>Balance at January 1</w:t>
            </w:r>
          </w:p>
        </w:tc>
        <w:tc>
          <w:tcPr>
            <w:tcW w:w="1120" w:type="dxa"/>
            <w:vAlign w:val="bottom"/>
          </w:tcPr>
          <w:p>
            <w:pPr>
              <w:jc w:val="right"/>
              <w:spacing w:after="0"/>
              <w:rPr>
                <w:sz w:val="20"/>
                <w:szCs w:val="20"/>
                <w:color w:val="auto"/>
              </w:rPr>
            </w:pPr>
            <w:r>
              <w:rPr>
                <w:rFonts w:ascii="Arial" w:cs="Arial" w:eastAsia="Arial" w:hAnsi="Arial"/>
                <w:sz w:val="16"/>
                <w:szCs w:val="16"/>
                <w:color w:val="auto"/>
              </w:rPr>
              <w:t>328,131</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285,188</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613,319</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526,935</w:t>
            </w:r>
          </w:p>
        </w:tc>
        <w:tc>
          <w:tcPr>
            <w:tcW w:w="0" w:type="dxa"/>
            <w:vAlign w:val="bottom"/>
          </w:tcPr>
          <w:p>
            <w:pPr>
              <w:spacing w:after="0"/>
              <w:rPr>
                <w:sz w:val="1"/>
                <w:szCs w:val="1"/>
                <w:color w:val="auto"/>
              </w:rPr>
            </w:pPr>
          </w:p>
        </w:tc>
      </w:tr>
      <w:tr>
        <w:trPr>
          <w:trHeight w:val="183"/>
        </w:trPr>
        <w:tc>
          <w:tcPr>
            <w:tcW w:w="4960" w:type="dxa"/>
            <w:vAlign w:val="bottom"/>
          </w:tcPr>
          <w:p>
            <w:pPr>
              <w:spacing w:after="0"/>
              <w:rPr>
                <w:sz w:val="20"/>
                <w:szCs w:val="20"/>
                <w:color w:val="auto"/>
              </w:rPr>
            </w:pPr>
            <w:r>
              <w:rPr>
                <w:rFonts w:ascii="Arial" w:cs="Arial" w:eastAsia="Arial" w:hAnsi="Arial"/>
                <w:sz w:val="16"/>
                <w:szCs w:val="16"/>
                <w:color w:val="auto"/>
              </w:rPr>
              <w:t>Additions (i)</w:t>
            </w: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25,034</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25,034</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87,132</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Arial" w:cs="Arial" w:eastAsia="Arial" w:hAnsi="Arial"/>
                <w:sz w:val="16"/>
                <w:szCs w:val="16"/>
                <w:color w:val="auto"/>
              </w:rPr>
              <w:t>Disposals and others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14,486</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(13,146)</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175"/>
        </w:trPr>
        <w:tc>
          <w:tcPr>
            <w:tcW w:w="4960" w:type="dxa"/>
            <w:vAlign w:val="bottom"/>
          </w:tcPr>
          <w:p>
            <w:pPr>
              <w:spacing w:after="0" w:line="175" w:lineRule="exact"/>
              <w:rPr>
                <w:sz w:val="20"/>
                <w:szCs w:val="20"/>
                <w:color w:val="auto"/>
              </w:rPr>
            </w:pPr>
            <w:r>
              <w:rPr>
                <w:rFonts w:ascii="Arial" w:cs="Arial" w:eastAsia="Arial" w:hAnsi="Arial"/>
                <w:sz w:val="16"/>
                <w:szCs w:val="16"/>
                <w:b w:val="1"/>
                <w:bCs w:val="1"/>
                <w:color w:val="auto"/>
              </w:rPr>
              <w:t>Ending Period</w:t>
            </w: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342,617</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297,076</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639,693</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613,319</w:t>
            </w:r>
          </w:p>
        </w:tc>
        <w:tc>
          <w:tcPr>
            <w:tcW w:w="0" w:type="dxa"/>
            <w:vAlign w:val="bottom"/>
          </w:tcPr>
          <w:p>
            <w:pPr>
              <w:spacing w:after="0"/>
              <w:rPr>
                <w:sz w:val="1"/>
                <w:szCs w:val="1"/>
                <w:color w:val="auto"/>
              </w:rPr>
            </w:pPr>
          </w:p>
        </w:tc>
      </w:tr>
      <w:tr>
        <w:trPr>
          <w:trHeight w:val="342"/>
        </w:trPr>
        <w:tc>
          <w:tcPr>
            <w:tcW w:w="4960" w:type="dxa"/>
            <w:vAlign w:val="bottom"/>
          </w:tcPr>
          <w:p>
            <w:pPr>
              <w:spacing w:after="0"/>
              <w:rPr>
                <w:sz w:val="20"/>
                <w:szCs w:val="20"/>
                <w:color w:val="auto"/>
              </w:rPr>
            </w:pPr>
            <w:r>
              <w:rPr>
                <w:rFonts w:ascii="Arial" w:cs="Arial" w:eastAsia="Arial" w:hAnsi="Arial"/>
                <w:sz w:val="16"/>
                <w:szCs w:val="16"/>
                <w:b w:val="1"/>
                <w:bCs w:val="1"/>
                <w:color w:val="auto"/>
              </w:rPr>
              <w:t>Accumulated depreciation</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60" w:type="dxa"/>
            <w:vAlign w:val="bottom"/>
          </w:tcPr>
          <w:p>
            <w:pPr>
              <w:spacing w:after="0"/>
              <w:rPr>
                <w:sz w:val="20"/>
                <w:szCs w:val="20"/>
                <w:color w:val="auto"/>
              </w:rPr>
            </w:pPr>
            <w:r>
              <w:rPr>
                <w:rFonts w:ascii="Arial" w:cs="Arial" w:eastAsia="Arial" w:hAnsi="Arial"/>
                <w:sz w:val="16"/>
                <w:szCs w:val="16"/>
                <w:color w:val="auto"/>
              </w:rPr>
              <w:t>Balance at January 1</w:t>
            </w: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63,351</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63,351</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56,412</w:t>
            </w:r>
          </w:p>
        </w:tc>
        <w:tc>
          <w:tcPr>
            <w:tcW w:w="0" w:type="dxa"/>
            <w:vAlign w:val="bottom"/>
          </w:tcPr>
          <w:p>
            <w:pPr>
              <w:spacing w:after="0"/>
              <w:rPr>
                <w:sz w:val="1"/>
                <w:szCs w:val="1"/>
                <w:color w:val="auto"/>
              </w:rPr>
            </w:pPr>
          </w:p>
        </w:tc>
      </w:tr>
      <w:tr>
        <w:trPr>
          <w:trHeight w:val="183"/>
        </w:trPr>
        <w:tc>
          <w:tcPr>
            <w:tcW w:w="4960" w:type="dxa"/>
            <w:vAlign w:val="bottom"/>
          </w:tcPr>
          <w:p>
            <w:pPr>
              <w:spacing w:after="0"/>
              <w:rPr>
                <w:sz w:val="20"/>
                <w:szCs w:val="20"/>
                <w:color w:val="auto"/>
              </w:rPr>
            </w:pPr>
            <w:r>
              <w:rPr>
                <w:rFonts w:ascii="Arial" w:cs="Arial" w:eastAsia="Arial" w:hAnsi="Arial"/>
                <w:sz w:val="16"/>
                <w:szCs w:val="16"/>
                <w:color w:val="auto"/>
              </w:rPr>
              <w:t>Depreciation for the period</w:t>
            </w: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8,115</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8,115</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7,107</w:t>
            </w:r>
          </w:p>
        </w:tc>
        <w:tc>
          <w:tcPr>
            <w:tcW w:w="0" w:type="dxa"/>
            <w:vAlign w:val="bottom"/>
          </w:tcPr>
          <w:p>
            <w:pPr>
              <w:spacing w:after="0"/>
              <w:rPr>
                <w:sz w:val="1"/>
                <w:szCs w:val="1"/>
                <w:color w:val="auto"/>
              </w:rPr>
            </w:pPr>
          </w:p>
        </w:tc>
      </w:tr>
      <w:tr>
        <w:trPr>
          <w:trHeight w:val="200"/>
        </w:trPr>
        <w:tc>
          <w:tcPr>
            <w:tcW w:w="4960" w:type="dxa"/>
            <w:vAlign w:val="bottom"/>
          </w:tcPr>
          <w:p>
            <w:pPr>
              <w:spacing w:after="0"/>
              <w:rPr>
                <w:sz w:val="20"/>
                <w:szCs w:val="20"/>
                <w:color w:val="auto"/>
              </w:rPr>
            </w:pPr>
            <w:r>
              <w:rPr>
                <w:rFonts w:ascii="Arial" w:cs="Arial" w:eastAsia="Arial" w:hAnsi="Arial"/>
                <w:sz w:val="16"/>
                <w:szCs w:val="16"/>
                <w:color w:val="auto"/>
              </w:rPr>
              <w:t>Disposals and others</w:t>
            </w: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1,543</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1,543</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75"/>
        </w:trPr>
        <w:tc>
          <w:tcPr>
            <w:tcW w:w="4960" w:type="dxa"/>
            <w:vAlign w:val="bottom"/>
          </w:tcPr>
          <w:p>
            <w:pPr>
              <w:spacing w:after="0" w:line="175" w:lineRule="exact"/>
              <w:rPr>
                <w:sz w:val="20"/>
                <w:szCs w:val="20"/>
                <w:color w:val="auto"/>
              </w:rPr>
            </w:pPr>
            <w:r>
              <w:rPr>
                <w:rFonts w:ascii="Arial" w:cs="Arial" w:eastAsia="Arial" w:hAnsi="Arial"/>
                <w:sz w:val="16"/>
                <w:szCs w:val="16"/>
                <w:b w:val="1"/>
                <w:bCs w:val="1"/>
                <w:color w:val="auto"/>
              </w:rPr>
              <w:t>Ending Period</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73,009</w:t>
            </w:r>
          </w:p>
        </w:tc>
        <w:tc>
          <w:tcPr>
            <w:tcW w:w="2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73,009</w:t>
            </w: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63,351</w:t>
            </w:r>
          </w:p>
        </w:tc>
        <w:tc>
          <w:tcPr>
            <w:tcW w:w="0" w:type="dxa"/>
            <w:vAlign w:val="bottom"/>
          </w:tcPr>
          <w:p>
            <w:pPr>
              <w:spacing w:after="0"/>
              <w:rPr>
                <w:sz w:val="1"/>
                <w:szCs w:val="1"/>
                <w:color w:val="auto"/>
              </w:rPr>
            </w:pPr>
          </w:p>
        </w:tc>
      </w:tr>
      <w:tr>
        <w:trPr>
          <w:trHeight w:val="175"/>
        </w:trPr>
        <w:tc>
          <w:tcPr>
            <w:tcW w:w="4960" w:type="dxa"/>
            <w:vAlign w:val="bottom"/>
            <w:vMerge w:val="restart"/>
          </w:tcPr>
          <w:p>
            <w:pPr>
              <w:spacing w:after="0"/>
              <w:rPr>
                <w:sz w:val="20"/>
                <w:szCs w:val="20"/>
                <w:color w:val="auto"/>
              </w:rPr>
            </w:pPr>
            <w:r>
              <w:rPr>
                <w:rFonts w:ascii="Arial" w:cs="Arial" w:eastAsia="Arial" w:hAnsi="Arial"/>
                <w:sz w:val="16"/>
                <w:szCs w:val="16"/>
                <w:b w:val="1"/>
                <w:bCs w:val="1"/>
                <w:color w:val="auto"/>
              </w:rPr>
              <w:t>Impairment losses (ii)</w:t>
            </w: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689</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721</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1,410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175"/>
        </w:trPr>
        <w:tc>
          <w:tcPr>
            <w:tcW w:w="4960" w:type="dxa"/>
            <w:vAlign w:val="bottom"/>
            <w:vMerge w:val="restart"/>
          </w:tcPr>
          <w:p>
            <w:pPr>
              <w:spacing w:after="0"/>
              <w:rPr>
                <w:sz w:val="20"/>
                <w:szCs w:val="20"/>
                <w:color w:val="auto"/>
              </w:rPr>
            </w:pPr>
            <w:r>
              <w:rPr>
                <w:rFonts w:ascii="Arial" w:cs="Arial" w:eastAsia="Arial" w:hAnsi="Arial"/>
                <w:sz w:val="16"/>
                <w:szCs w:val="16"/>
                <w:b w:val="1"/>
                <w:bCs w:val="1"/>
                <w:color w:val="auto"/>
              </w:rPr>
              <w:t>Net carrying amount</w:t>
            </w: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6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341,928</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223,346</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565,274</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548,558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Land and buildings are mainly used for office rental, which are free of all encumbrances.</w:t>
      </w:r>
    </w:p>
    <w:p>
      <w:pPr>
        <w:spacing w:after="0" w:line="183" w:lineRule="exact"/>
        <w:rPr>
          <w:sz w:val="20"/>
          <w:szCs w:val="20"/>
          <w:color w:val="auto"/>
        </w:rPr>
      </w:pPr>
    </w:p>
    <w:p>
      <w:pPr>
        <w:ind w:left="680" w:right="200" w:hanging="338"/>
        <w:spacing w:after="0" w:line="280" w:lineRule="auto"/>
        <w:tabs>
          <w:tab w:leader="none" w:pos="6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As of December 31, 2023, the Group has made disbursements for the acquisition of land and real estate for S/25.0 million. As of December 31, 2022, the Group has made disbursements for property improvements for S/87.1 million.</w:t>
      </w:r>
    </w:p>
    <w:p>
      <w:pPr>
        <w:spacing w:after="0" w:line="120" w:lineRule="exact"/>
        <w:rPr>
          <w:rFonts w:ascii="Arial" w:cs="Arial" w:eastAsia="Arial" w:hAnsi="Arial"/>
          <w:sz w:val="16"/>
          <w:szCs w:val="16"/>
          <w:color w:val="auto"/>
        </w:rPr>
      </w:pPr>
    </w:p>
    <w:p>
      <w:pPr>
        <w:ind w:left="680" w:hanging="338"/>
        <w:spacing w:after="0"/>
        <w:tabs>
          <w:tab w:leader="none" w:pos="6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Group’s Management has determined that the recoverable value of its investment properties is greater than their net carrying amount.</w:t>
      </w:r>
    </w:p>
    <w:p>
      <w:pPr>
        <w:spacing w:after="0" w:line="341"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41275</wp:posOffset>
            </wp:positionV>
            <wp:extent cx="714565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900"/>
          </w:cols>
          <w:pgMar w:left="660" w:top="306" w:right="339" w:bottom="1440" w:gutter="0" w:footer="0" w:header="0"/>
        </w:sectPr>
      </w:pPr>
    </w:p>
    <w:bookmarkStart w:id="102" w:name="page103"/>
    <w:bookmarkEnd w:id="102"/>
    <w:p>
      <w:pPr>
        <w:ind w:left="1042" w:right="300"/>
        <w:spacing w:after="0" w:line="280" w:lineRule="auto"/>
        <w:rPr>
          <w:sz w:val="20"/>
          <w:szCs w:val="20"/>
          <w:color w:val="auto"/>
        </w:rPr>
      </w:pPr>
      <w:r>
        <w:rPr>
          <w:rFonts w:ascii="Arial" w:cs="Arial" w:eastAsia="Arial" w:hAnsi="Arial"/>
          <w:sz w:val="16"/>
          <w:szCs w:val="16"/>
          <w:color w:val="auto"/>
        </w:rPr>
        <w:t>As of December 31, 2023, and 2022, the market value of the properties amounts to approximately S/1,235.2 million and S/1,206.5 million, respectively; which was determined through a valuation made by an independent appraiser.</w:t>
      </w:r>
    </w:p>
    <w:p>
      <w:pPr>
        <w:spacing w:after="0" w:line="120" w:lineRule="exact"/>
        <w:rPr>
          <w:sz w:val="20"/>
          <w:szCs w:val="20"/>
          <w:color w:val="auto"/>
        </w:rPr>
      </w:pPr>
    </w:p>
    <w:p>
      <w:pPr>
        <w:ind w:left="702"/>
        <w:spacing w:after="0" w:line="252" w:lineRule="auto"/>
        <w:rPr>
          <w:sz w:val="20"/>
          <w:szCs w:val="20"/>
          <w:color w:val="auto"/>
        </w:rPr>
      </w:pPr>
      <w:r>
        <w:rPr>
          <w:rFonts w:ascii="Arial" w:cs="Arial" w:eastAsia="Arial" w:hAnsi="Arial"/>
          <w:sz w:val="16"/>
          <w:szCs w:val="16"/>
          <w:color w:val="auto"/>
        </w:rPr>
        <w:t>As of December 31, 2023, and 2022, the balance corresponds mainly to accounts payable to suppliers, accounts payable to client investors in stock exchange, for accounts payable to policyholders, account payable to intermediaries, accounts payable for premiums to the deposit insurance fund, dividend payable to minor shareholders, accounts payable for foreign exchange sale, interbank operations to be settled with the BCRP, among others.</w:t>
      </w:r>
    </w:p>
    <w:p>
      <w:pPr>
        <w:spacing w:after="0" w:line="144" w:lineRule="exact"/>
        <w:rPr>
          <w:sz w:val="20"/>
          <w:szCs w:val="20"/>
          <w:color w:val="auto"/>
        </w:rPr>
      </w:pPr>
    </w:p>
    <w:p>
      <w:pPr>
        <w:ind w:left="682" w:hanging="340"/>
        <w:spacing w:after="0"/>
        <w:tabs>
          <w:tab w:leader="none" w:pos="68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movement of the provision for sundry risks for the years ended December 31, 2023, 2022 and 2021 was as follows:</w:t>
      </w:r>
    </w:p>
    <w:p>
      <w:pPr>
        <w:spacing w:after="0" w:line="183" w:lineRule="exact"/>
        <w:rPr>
          <w:sz w:val="20"/>
          <w:szCs w:val="20"/>
          <w:color w:val="auto"/>
        </w:rPr>
      </w:pPr>
    </w:p>
    <w:tbl>
      <w:tblPr>
        <w:tblLayout w:type="fixed"/>
        <w:tblInd w:w="702" w:type="dxa"/>
        <w:tblCellMar>
          <w:top w:w="0" w:type="dxa"/>
          <w:left w:w="0" w:type="dxa"/>
          <w:bottom w:w="0" w:type="dxa"/>
          <w:right w:w="0" w:type="dxa"/>
        </w:tblCellMar>
      </w:tblPr>
      <w:tr>
        <w:trPr>
          <w:trHeight w:val="200"/>
        </w:trPr>
        <w:tc>
          <w:tcPr>
            <w:tcW w:w="6240" w:type="dxa"/>
            <w:vAlign w:val="bottom"/>
            <w:gridSpan w:val="2"/>
          </w:tcPr>
          <w:p>
            <w:pPr>
              <w:ind w:left="5660"/>
              <w:spacing w:after="0"/>
              <w:rPr>
                <w:sz w:val="20"/>
                <w:szCs w:val="20"/>
                <w:color w:val="auto"/>
              </w:rPr>
            </w:pPr>
            <w:r>
              <w:rPr>
                <w:rFonts w:ascii="Arial" w:cs="Arial" w:eastAsia="Arial" w:hAnsi="Arial"/>
                <w:sz w:val="16"/>
                <w:szCs w:val="16"/>
                <w:b w:val="1"/>
                <w:bCs w:val="1"/>
                <w:color w:val="auto"/>
              </w:rPr>
              <w:t>2023</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7"/>
                <w:szCs w:val="17"/>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2021</w:t>
            </w:r>
          </w:p>
        </w:tc>
      </w:tr>
      <w:tr>
        <w:trPr>
          <w:trHeight w:val="216"/>
        </w:trPr>
        <w:tc>
          <w:tcPr>
            <w:tcW w:w="5600" w:type="dxa"/>
            <w:vAlign w:val="bottom"/>
          </w:tcPr>
          <w:p>
            <w:pPr>
              <w:spacing w:after="0"/>
              <w:rPr>
                <w:sz w:val="18"/>
                <w:szCs w:val="18"/>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r>
      <w:tr>
        <w:trPr>
          <w:trHeight w:val="310"/>
        </w:trPr>
        <w:tc>
          <w:tcPr>
            <w:tcW w:w="6240" w:type="dxa"/>
            <w:vAlign w:val="bottom"/>
            <w:gridSpan w:val="2"/>
          </w:tcPr>
          <w:p>
            <w:pPr>
              <w:spacing w:after="0"/>
              <w:rPr>
                <w:sz w:val="20"/>
                <w:szCs w:val="20"/>
                <w:color w:val="auto"/>
              </w:rPr>
            </w:pPr>
            <w:r>
              <w:rPr>
                <w:rFonts w:ascii="Arial" w:cs="Arial" w:eastAsia="Arial" w:hAnsi="Arial"/>
                <w:sz w:val="16"/>
                <w:szCs w:val="16"/>
                <w:b w:val="1"/>
                <w:bCs w:val="1"/>
                <w:color w:val="auto"/>
              </w:rPr>
              <w:t>Balance at the beginning of the year</w:t>
            </w:r>
          </w:p>
        </w:tc>
        <w:tc>
          <w:tcPr>
            <w:tcW w:w="720" w:type="dxa"/>
            <w:vAlign w:val="bottom"/>
          </w:tcPr>
          <w:p>
            <w:pPr>
              <w:jc w:val="right"/>
              <w:spacing w:after="0"/>
              <w:rPr>
                <w:sz w:val="20"/>
                <w:szCs w:val="20"/>
                <w:color w:val="auto"/>
              </w:rPr>
            </w:pPr>
            <w:r>
              <w:rPr>
                <w:rFonts w:ascii="Arial" w:cs="Arial" w:eastAsia="Arial" w:hAnsi="Arial"/>
                <w:sz w:val="16"/>
                <w:szCs w:val="16"/>
                <w:color w:val="auto"/>
              </w:rPr>
              <w:t>624,149</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614,012</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514,382</w:t>
            </w:r>
          </w:p>
        </w:tc>
      </w:tr>
      <w:tr>
        <w:trPr>
          <w:trHeight w:val="183"/>
        </w:trPr>
        <w:tc>
          <w:tcPr>
            <w:tcW w:w="6240" w:type="dxa"/>
            <w:vAlign w:val="bottom"/>
            <w:gridSpan w:val="2"/>
          </w:tcPr>
          <w:p>
            <w:pPr>
              <w:spacing w:after="0"/>
              <w:rPr>
                <w:sz w:val="20"/>
                <w:szCs w:val="20"/>
                <w:color w:val="auto"/>
              </w:rPr>
            </w:pPr>
            <w:r>
              <w:rPr>
                <w:rFonts w:ascii="Arial" w:cs="Arial" w:eastAsia="Arial" w:hAnsi="Arial"/>
                <w:sz w:val="16"/>
                <w:szCs w:val="16"/>
                <w:color w:val="auto"/>
              </w:rPr>
              <w:t>Provision, note 25</w:t>
            </w:r>
          </w:p>
        </w:tc>
        <w:tc>
          <w:tcPr>
            <w:tcW w:w="720" w:type="dxa"/>
            <w:vAlign w:val="bottom"/>
          </w:tcPr>
          <w:p>
            <w:pPr>
              <w:jc w:val="right"/>
              <w:spacing w:after="0"/>
              <w:rPr>
                <w:sz w:val="20"/>
                <w:szCs w:val="20"/>
                <w:color w:val="auto"/>
              </w:rPr>
            </w:pPr>
            <w:r>
              <w:rPr>
                <w:rFonts w:ascii="Arial" w:cs="Arial" w:eastAsia="Arial" w:hAnsi="Arial"/>
                <w:sz w:val="16"/>
                <w:szCs w:val="16"/>
                <w:color w:val="auto"/>
              </w:rPr>
              <w:t>95,873</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43,846</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70,824</w:t>
            </w:r>
          </w:p>
        </w:tc>
      </w:tr>
      <w:tr>
        <w:trPr>
          <w:trHeight w:val="200"/>
        </w:trPr>
        <w:tc>
          <w:tcPr>
            <w:tcW w:w="6240" w:type="dxa"/>
            <w:vAlign w:val="bottom"/>
            <w:gridSpan w:val="2"/>
          </w:tcPr>
          <w:p>
            <w:pPr>
              <w:spacing w:after="0"/>
              <w:rPr>
                <w:sz w:val="20"/>
                <w:szCs w:val="20"/>
                <w:color w:val="auto"/>
              </w:rPr>
            </w:pPr>
            <w:r>
              <w:rPr>
                <w:rFonts w:ascii="Arial" w:cs="Arial" w:eastAsia="Arial" w:hAnsi="Arial"/>
                <w:sz w:val="16"/>
                <w:szCs w:val="16"/>
                <w:color w:val="auto"/>
              </w:rPr>
              <w:t>Increase (decrease), net</w:t>
            </w:r>
          </w:p>
        </w:tc>
        <w:tc>
          <w:tcPr>
            <w:tcW w:w="720" w:type="dxa"/>
            <w:vAlign w:val="bottom"/>
          </w:tcPr>
          <w:p>
            <w:pPr>
              <w:jc w:val="right"/>
              <w:spacing w:after="0"/>
              <w:rPr>
                <w:sz w:val="20"/>
                <w:szCs w:val="20"/>
                <w:color w:val="auto"/>
              </w:rPr>
            </w:pPr>
            <w:r>
              <w:rPr>
                <w:rFonts w:ascii="Arial" w:cs="Arial" w:eastAsia="Arial" w:hAnsi="Arial"/>
                <w:sz w:val="16"/>
                <w:szCs w:val="16"/>
                <w:color w:val="auto"/>
              </w:rPr>
              <w:t>(58,285)</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(33,709)</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28,806</w:t>
            </w:r>
          </w:p>
        </w:tc>
      </w:tr>
      <w:tr>
        <w:trPr>
          <w:trHeight w:val="180"/>
        </w:trPr>
        <w:tc>
          <w:tcPr>
            <w:tcW w:w="5600" w:type="dxa"/>
            <w:vAlign w:val="bottom"/>
          </w:tcPr>
          <w:p>
            <w:pPr>
              <w:spacing w:after="0" w:line="175" w:lineRule="exact"/>
              <w:rPr>
                <w:sz w:val="20"/>
                <w:szCs w:val="20"/>
                <w:color w:val="auto"/>
              </w:rPr>
            </w:pPr>
            <w:r>
              <w:rPr>
                <w:rFonts w:ascii="Arial" w:cs="Arial" w:eastAsia="Arial" w:hAnsi="Arial"/>
                <w:sz w:val="16"/>
                <w:szCs w:val="16"/>
                <w:b w:val="1"/>
                <w:bCs w:val="1"/>
                <w:color w:val="auto"/>
              </w:rPr>
              <w:t>Balances at the end of the year</w:t>
            </w:r>
          </w:p>
        </w:tc>
        <w:tc>
          <w:tcPr>
            <w:tcW w:w="6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661,737</w:t>
            </w:r>
          </w:p>
        </w:tc>
        <w:tc>
          <w:tcPr>
            <w:tcW w:w="22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624,149</w:t>
            </w:r>
          </w:p>
        </w:tc>
        <w:tc>
          <w:tcPr>
            <w:tcW w:w="22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614,012</w:t>
            </w:r>
          </w:p>
        </w:tc>
      </w:tr>
    </w:tbl>
    <w:p>
      <w:pPr>
        <w:spacing w:after="0" w:line="166" w:lineRule="exact"/>
        <w:rPr>
          <w:sz w:val="20"/>
          <w:szCs w:val="20"/>
          <w:color w:val="auto"/>
        </w:rPr>
      </w:pPr>
    </w:p>
    <w:p>
      <w:pPr>
        <w:ind w:left="702" w:right="160"/>
        <w:spacing w:after="0" w:line="249" w:lineRule="auto"/>
        <w:rPr>
          <w:sz w:val="20"/>
          <w:szCs w:val="20"/>
          <w:color w:val="auto"/>
        </w:rPr>
      </w:pPr>
      <w:r>
        <w:rPr>
          <w:rFonts w:ascii="Arial" w:cs="Arial" w:eastAsia="Arial" w:hAnsi="Arial"/>
          <w:sz w:val="16"/>
          <w:szCs w:val="16"/>
          <w:color w:val="auto"/>
        </w:rPr>
        <w:t>Because of the nature of its business, the Group has various pending lawsuits, which provisions are recorded when, in Management’s and its in-house legal advisors opinion, it is likely that these may result in an additional liability and such amount can be reliably estimated. Regarding lawsuits against the Group which have not been recorded as a provision, in Management’s and its in-house legal advisors opinion, they will not result in an additional liability other than those recorded previously and they will not have a material effect on the Group’s consolidated financial statements.</w:t>
      </w:r>
    </w:p>
    <w:p>
      <w:pPr>
        <w:spacing w:after="0" w:line="145" w:lineRule="exact"/>
        <w:rPr>
          <w:sz w:val="20"/>
          <w:szCs w:val="20"/>
          <w:color w:val="auto"/>
        </w:rPr>
      </w:pPr>
    </w:p>
    <w:p>
      <w:pPr>
        <w:ind w:left="342" w:hanging="342"/>
        <w:spacing w:after="0"/>
        <w:tabs>
          <w:tab w:leader="none" w:pos="342"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DEPOSITS AND OBLIGATIONS</w:t>
      </w:r>
    </w:p>
    <w:p>
      <w:pPr>
        <w:spacing w:after="0" w:line="182" w:lineRule="exact"/>
        <w:rPr>
          <w:rFonts w:ascii="Arial" w:cs="Arial" w:eastAsia="Arial" w:hAnsi="Arial"/>
          <w:sz w:val="16"/>
          <w:szCs w:val="16"/>
          <w:b w:val="1"/>
          <w:bCs w:val="1"/>
          <w:color w:val="auto"/>
        </w:rPr>
      </w:pPr>
    </w:p>
    <w:p>
      <w:pPr>
        <w:ind w:left="682" w:hanging="316"/>
        <w:spacing w:after="0"/>
        <w:tabs>
          <w:tab w:leader="none" w:pos="68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183" w:lineRule="exact"/>
        <w:rPr>
          <w:sz w:val="20"/>
          <w:szCs w:val="20"/>
          <w:color w:val="auto"/>
        </w:rPr>
      </w:pPr>
    </w:p>
    <w:tbl>
      <w:tblPr>
        <w:tblLayout w:type="fixed"/>
        <w:tblInd w:w="702" w:type="dxa"/>
        <w:tblCellMar>
          <w:top w:w="0" w:type="dxa"/>
          <w:left w:w="0" w:type="dxa"/>
          <w:bottom w:w="0" w:type="dxa"/>
          <w:right w:w="0" w:type="dxa"/>
        </w:tblCellMar>
      </w:tblPr>
      <w:tr>
        <w:trPr>
          <w:trHeight w:val="200"/>
        </w:trPr>
        <w:tc>
          <w:tcPr>
            <w:tcW w:w="7180" w:type="dxa"/>
            <w:vAlign w:val="bottom"/>
          </w:tcPr>
          <w:p>
            <w:pPr>
              <w:spacing w:after="0"/>
              <w:rPr>
                <w:sz w:val="17"/>
                <w:szCs w:val="17"/>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2022</w:t>
            </w:r>
          </w:p>
        </w:tc>
      </w:tr>
      <w:tr>
        <w:trPr>
          <w:trHeight w:val="216"/>
        </w:trPr>
        <w:tc>
          <w:tcPr>
            <w:tcW w:w="718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S/(000)</w:t>
            </w:r>
          </w:p>
        </w:tc>
      </w:tr>
      <w:tr>
        <w:trPr>
          <w:trHeight w:val="310"/>
        </w:trPr>
        <w:tc>
          <w:tcPr>
            <w:tcW w:w="7180" w:type="dxa"/>
            <w:vAlign w:val="bottom"/>
          </w:tcPr>
          <w:p>
            <w:pPr>
              <w:spacing w:after="0"/>
              <w:rPr>
                <w:sz w:val="20"/>
                <w:szCs w:val="20"/>
                <w:color w:val="auto"/>
              </w:rPr>
            </w:pPr>
            <w:r>
              <w:rPr>
                <w:rFonts w:ascii="Arial" w:cs="Arial" w:eastAsia="Arial" w:hAnsi="Arial"/>
                <w:sz w:val="16"/>
                <w:szCs w:val="16"/>
                <w:color w:val="auto"/>
              </w:rPr>
              <w:t>Saving deposits</w:t>
            </w:r>
          </w:p>
        </w:tc>
        <w:tc>
          <w:tcPr>
            <w:tcW w:w="1360" w:type="dxa"/>
            <w:vAlign w:val="bottom"/>
          </w:tcPr>
          <w:p>
            <w:pPr>
              <w:jc w:val="right"/>
              <w:spacing w:after="0"/>
              <w:rPr>
                <w:sz w:val="20"/>
                <w:szCs w:val="20"/>
                <w:color w:val="auto"/>
              </w:rPr>
            </w:pPr>
            <w:r>
              <w:rPr>
                <w:rFonts w:ascii="Arial" w:cs="Arial" w:eastAsia="Arial" w:hAnsi="Arial"/>
                <w:sz w:val="16"/>
                <w:szCs w:val="16"/>
                <w:color w:val="auto"/>
              </w:rPr>
              <w:t>52,375,813</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54,769,045</w:t>
            </w:r>
          </w:p>
        </w:tc>
      </w:tr>
      <w:tr>
        <w:trPr>
          <w:trHeight w:val="183"/>
        </w:trPr>
        <w:tc>
          <w:tcPr>
            <w:tcW w:w="7180" w:type="dxa"/>
            <w:vAlign w:val="bottom"/>
          </w:tcPr>
          <w:p>
            <w:pPr>
              <w:spacing w:after="0"/>
              <w:rPr>
                <w:sz w:val="20"/>
                <w:szCs w:val="20"/>
                <w:color w:val="auto"/>
              </w:rPr>
            </w:pPr>
            <w:r>
              <w:rPr>
                <w:rFonts w:ascii="Arial" w:cs="Arial" w:eastAsia="Arial" w:hAnsi="Arial"/>
                <w:sz w:val="16"/>
                <w:szCs w:val="16"/>
                <w:color w:val="auto"/>
              </w:rPr>
              <w:t>Demand deposits</w:t>
            </w:r>
          </w:p>
        </w:tc>
        <w:tc>
          <w:tcPr>
            <w:tcW w:w="1360" w:type="dxa"/>
            <w:vAlign w:val="bottom"/>
          </w:tcPr>
          <w:p>
            <w:pPr>
              <w:jc w:val="right"/>
              <w:spacing w:after="0"/>
              <w:rPr>
                <w:sz w:val="20"/>
                <w:szCs w:val="20"/>
                <w:color w:val="auto"/>
              </w:rPr>
            </w:pPr>
            <w:r>
              <w:rPr>
                <w:rFonts w:ascii="Arial" w:cs="Arial" w:eastAsia="Arial" w:hAnsi="Arial"/>
                <w:sz w:val="16"/>
                <w:szCs w:val="16"/>
                <w:color w:val="auto"/>
              </w:rPr>
              <w:t>48,229,323</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48,467,248</w:t>
            </w:r>
          </w:p>
        </w:tc>
      </w:tr>
      <w:tr>
        <w:trPr>
          <w:trHeight w:val="183"/>
        </w:trPr>
        <w:tc>
          <w:tcPr>
            <w:tcW w:w="7180" w:type="dxa"/>
            <w:vAlign w:val="bottom"/>
          </w:tcPr>
          <w:p>
            <w:pPr>
              <w:spacing w:after="0"/>
              <w:rPr>
                <w:sz w:val="20"/>
                <w:szCs w:val="20"/>
                <w:color w:val="auto"/>
              </w:rPr>
            </w:pPr>
            <w:r>
              <w:rPr>
                <w:rFonts w:ascii="Arial" w:cs="Arial" w:eastAsia="Arial" w:hAnsi="Arial"/>
                <w:sz w:val="16"/>
                <w:szCs w:val="16"/>
                <w:color w:val="auto"/>
              </w:rPr>
              <w:t>Time deposits (c)</w:t>
            </w:r>
          </w:p>
        </w:tc>
        <w:tc>
          <w:tcPr>
            <w:tcW w:w="1360" w:type="dxa"/>
            <w:vAlign w:val="bottom"/>
          </w:tcPr>
          <w:p>
            <w:pPr>
              <w:jc w:val="right"/>
              <w:spacing w:after="0"/>
              <w:rPr>
                <w:sz w:val="20"/>
                <w:szCs w:val="20"/>
                <w:color w:val="auto"/>
              </w:rPr>
            </w:pPr>
            <w:r>
              <w:rPr>
                <w:rFonts w:ascii="Arial" w:cs="Arial" w:eastAsia="Arial" w:hAnsi="Arial"/>
                <w:sz w:val="16"/>
                <w:szCs w:val="16"/>
                <w:color w:val="auto"/>
              </w:rPr>
              <w:t>41,290,011</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37,478,269</w:t>
            </w:r>
          </w:p>
        </w:tc>
      </w:tr>
      <w:tr>
        <w:trPr>
          <w:trHeight w:val="183"/>
        </w:trPr>
        <w:tc>
          <w:tcPr>
            <w:tcW w:w="7180" w:type="dxa"/>
            <w:vAlign w:val="bottom"/>
          </w:tcPr>
          <w:p>
            <w:pPr>
              <w:spacing w:after="0"/>
              <w:rPr>
                <w:sz w:val="20"/>
                <w:szCs w:val="20"/>
                <w:color w:val="auto"/>
              </w:rPr>
            </w:pPr>
            <w:r>
              <w:rPr>
                <w:rFonts w:ascii="Arial" w:cs="Arial" w:eastAsia="Arial" w:hAnsi="Arial"/>
                <w:sz w:val="16"/>
                <w:szCs w:val="16"/>
                <w:color w:val="auto"/>
              </w:rPr>
              <w:t>Severance indemnity deposits</w:t>
            </w:r>
          </w:p>
        </w:tc>
        <w:tc>
          <w:tcPr>
            <w:tcW w:w="1360" w:type="dxa"/>
            <w:vAlign w:val="bottom"/>
          </w:tcPr>
          <w:p>
            <w:pPr>
              <w:jc w:val="right"/>
              <w:spacing w:after="0"/>
              <w:rPr>
                <w:sz w:val="20"/>
                <w:szCs w:val="20"/>
                <w:color w:val="auto"/>
              </w:rPr>
            </w:pPr>
            <w:r>
              <w:rPr>
                <w:rFonts w:ascii="Arial" w:cs="Arial" w:eastAsia="Arial" w:hAnsi="Arial"/>
                <w:sz w:val="16"/>
                <w:szCs w:val="16"/>
                <w:color w:val="auto"/>
              </w:rPr>
              <w:t>3,185,603</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3,824,629</w:t>
            </w:r>
          </w:p>
        </w:tc>
      </w:tr>
      <w:tr>
        <w:trPr>
          <w:trHeight w:val="200"/>
        </w:trPr>
        <w:tc>
          <w:tcPr>
            <w:tcW w:w="7180" w:type="dxa"/>
            <w:vAlign w:val="bottom"/>
          </w:tcPr>
          <w:p>
            <w:pPr>
              <w:spacing w:after="0"/>
              <w:rPr>
                <w:sz w:val="20"/>
                <w:szCs w:val="20"/>
                <w:color w:val="auto"/>
              </w:rPr>
            </w:pPr>
            <w:r>
              <w:rPr>
                <w:rFonts w:ascii="Arial" w:cs="Arial" w:eastAsia="Arial" w:hAnsi="Arial"/>
                <w:sz w:val="16"/>
                <w:szCs w:val="16"/>
                <w:color w:val="auto"/>
              </w:rPr>
              <w:t>Bank’s negotiable certificates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1,194,653</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1,418,740</w:t>
            </w:r>
          </w:p>
        </w:tc>
      </w:tr>
      <w:tr>
        <w:trPr>
          <w:trHeight w:val="159"/>
        </w:trPr>
        <w:tc>
          <w:tcPr>
            <w:tcW w:w="7180" w:type="dxa"/>
            <w:vAlign w:val="bottom"/>
          </w:tcPr>
          <w:p>
            <w:pPr>
              <w:spacing w:after="0" w:line="159" w:lineRule="exact"/>
              <w:rPr>
                <w:sz w:val="20"/>
                <w:szCs w:val="20"/>
                <w:color w:val="auto"/>
              </w:rPr>
            </w:pPr>
            <w:r>
              <w:rPr>
                <w:rFonts w:ascii="Arial" w:cs="Arial" w:eastAsia="Arial" w:hAnsi="Arial"/>
                <w:sz w:val="16"/>
                <w:szCs w:val="16"/>
                <w:b w:val="1"/>
                <w:bCs w:val="1"/>
                <w:color w:val="auto"/>
              </w:rPr>
              <w:t>Total</w:t>
            </w:r>
          </w:p>
        </w:tc>
        <w:tc>
          <w:tcPr>
            <w:tcW w:w="1360" w:type="dxa"/>
            <w:vAlign w:val="bottom"/>
          </w:tcPr>
          <w:p>
            <w:pPr>
              <w:jc w:val="right"/>
              <w:spacing w:after="0" w:line="159" w:lineRule="exact"/>
              <w:rPr>
                <w:sz w:val="20"/>
                <w:szCs w:val="20"/>
                <w:color w:val="auto"/>
              </w:rPr>
            </w:pPr>
            <w:r>
              <w:rPr>
                <w:rFonts w:ascii="Arial" w:cs="Arial" w:eastAsia="Arial" w:hAnsi="Arial"/>
                <w:sz w:val="16"/>
                <w:szCs w:val="16"/>
                <w:color w:val="auto"/>
              </w:rPr>
              <w:t>146,275,403</w:t>
            </w:r>
          </w:p>
        </w:tc>
        <w:tc>
          <w:tcPr>
            <w:tcW w:w="220" w:type="dxa"/>
            <w:vAlign w:val="bottom"/>
          </w:tcPr>
          <w:p>
            <w:pPr>
              <w:spacing w:after="0"/>
              <w:rPr>
                <w:sz w:val="13"/>
                <w:szCs w:val="13"/>
                <w:color w:val="auto"/>
              </w:rPr>
            </w:pPr>
          </w:p>
        </w:tc>
        <w:tc>
          <w:tcPr>
            <w:tcW w:w="1360" w:type="dxa"/>
            <w:vAlign w:val="bottom"/>
          </w:tcPr>
          <w:p>
            <w:pPr>
              <w:jc w:val="right"/>
              <w:spacing w:after="0" w:line="159" w:lineRule="exact"/>
              <w:rPr>
                <w:sz w:val="20"/>
                <w:szCs w:val="20"/>
                <w:color w:val="auto"/>
              </w:rPr>
            </w:pPr>
            <w:r>
              <w:rPr>
                <w:rFonts w:ascii="Arial" w:cs="Arial" w:eastAsia="Arial" w:hAnsi="Arial"/>
                <w:sz w:val="16"/>
                <w:szCs w:val="16"/>
                <w:color w:val="auto"/>
              </w:rPr>
              <w:t>145,957,931</w:t>
            </w:r>
          </w:p>
        </w:tc>
      </w:tr>
      <w:tr>
        <w:trPr>
          <w:trHeight w:val="200"/>
        </w:trPr>
        <w:tc>
          <w:tcPr>
            <w:tcW w:w="7180" w:type="dxa"/>
            <w:vAlign w:val="bottom"/>
          </w:tcPr>
          <w:p>
            <w:pPr>
              <w:spacing w:after="0"/>
              <w:rPr>
                <w:sz w:val="20"/>
                <w:szCs w:val="20"/>
                <w:color w:val="auto"/>
              </w:rPr>
            </w:pPr>
            <w:r>
              <w:rPr>
                <w:rFonts w:ascii="Arial" w:cs="Arial" w:eastAsia="Arial" w:hAnsi="Arial"/>
                <w:sz w:val="16"/>
                <w:szCs w:val="16"/>
                <w:color w:val="auto"/>
              </w:rPr>
              <w:t>Interest payable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1,429,591</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1,062,856</w:t>
            </w:r>
          </w:p>
        </w:tc>
      </w:tr>
      <w:tr>
        <w:trPr>
          <w:trHeight w:val="180"/>
        </w:trPr>
        <w:tc>
          <w:tcPr>
            <w:tcW w:w="718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147,704,994</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147,020,787</w:t>
            </w:r>
          </w:p>
        </w:tc>
      </w:tr>
    </w:tbl>
    <w:p>
      <w:pPr>
        <w:spacing w:after="0" w:line="166" w:lineRule="exact"/>
        <w:rPr>
          <w:sz w:val="20"/>
          <w:szCs w:val="20"/>
          <w:color w:val="auto"/>
        </w:rPr>
      </w:pPr>
    </w:p>
    <w:p>
      <w:pPr>
        <w:jc w:val="both"/>
        <w:ind w:left="702"/>
        <w:spacing w:after="0" w:line="259" w:lineRule="auto"/>
        <w:rPr>
          <w:sz w:val="20"/>
          <w:szCs w:val="20"/>
          <w:color w:val="auto"/>
        </w:rPr>
      </w:pPr>
      <w:r>
        <w:rPr>
          <w:rFonts w:ascii="Arial" w:cs="Arial" w:eastAsia="Arial" w:hAnsi="Arial"/>
          <w:sz w:val="16"/>
          <w:szCs w:val="16"/>
          <w:color w:val="auto"/>
        </w:rPr>
        <w:t>The Group has established a policy to remunerate demand deposits and savings accounts according to a growing interest rate scale, based on the average balance maintained in those accounts; on the other hand, according to its policy, balances that are lower than a specified amount for each type of account do not bear interest. Also, time deposits earn interest at market rates.</w:t>
      </w:r>
    </w:p>
    <w:p>
      <w:pPr>
        <w:spacing w:after="0" w:line="29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306" w:right="339" w:bottom="1440" w:gutter="0" w:footer="0" w:header="0"/>
        </w:sectPr>
      </w:pPr>
    </w:p>
    <w:bookmarkStart w:id="103" w:name="page104"/>
    <w:bookmarkEnd w:id="103"/>
    <w:p>
      <w:pPr>
        <w:ind w:left="385" w:right="180"/>
        <w:spacing w:after="0" w:line="280" w:lineRule="auto"/>
        <w:rPr>
          <w:sz w:val="20"/>
          <w:szCs w:val="20"/>
          <w:color w:val="auto"/>
        </w:rPr>
      </w:pPr>
      <w:r>
        <w:rPr>
          <w:rFonts w:ascii="Arial" w:cs="Arial" w:eastAsia="Arial" w:hAnsi="Arial"/>
          <w:sz w:val="16"/>
          <w:szCs w:val="16"/>
          <w:color w:val="auto"/>
        </w:rPr>
        <w:t>Interest rates are determined by the Group considering the interest rates prevailing in the market in which each of the Group’s subsidiaries operates.</w:t>
      </w:r>
    </w:p>
    <w:p>
      <w:pPr>
        <w:spacing w:after="0" w:line="120" w:lineRule="exact"/>
        <w:rPr>
          <w:sz w:val="20"/>
          <w:szCs w:val="20"/>
          <w:color w:val="auto"/>
        </w:rPr>
      </w:pPr>
    </w:p>
    <w:p>
      <w:pPr>
        <w:ind w:left="325" w:hanging="325"/>
        <w:spacing w:after="0"/>
        <w:tabs>
          <w:tab w:leader="none" w:pos="32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amounts of non-interest-bearing and interest-bearing deposits and obligations are presented below:</w:t>
      </w:r>
    </w:p>
    <w:p>
      <w:pPr>
        <w:spacing w:after="0" w:line="183" w:lineRule="exact"/>
        <w:rPr>
          <w:sz w:val="20"/>
          <w:szCs w:val="20"/>
          <w:color w:val="auto"/>
        </w:rPr>
      </w:pPr>
    </w:p>
    <w:tbl>
      <w:tblPr>
        <w:tblLayout w:type="fixed"/>
        <w:tblInd w:w="385" w:type="dxa"/>
        <w:tblCellMar>
          <w:top w:w="0" w:type="dxa"/>
          <w:left w:w="0" w:type="dxa"/>
          <w:bottom w:w="0" w:type="dxa"/>
          <w:right w:w="0" w:type="dxa"/>
        </w:tblCellMar>
      </w:tblPr>
      <w:tr>
        <w:trPr>
          <w:trHeight w:val="200"/>
        </w:trPr>
        <w:tc>
          <w:tcPr>
            <w:tcW w:w="7180" w:type="dxa"/>
            <w:vAlign w:val="bottom"/>
          </w:tcPr>
          <w:p>
            <w:pPr>
              <w:spacing w:after="0"/>
              <w:rPr>
                <w:sz w:val="17"/>
                <w:szCs w:val="17"/>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2022</w:t>
            </w:r>
          </w:p>
        </w:tc>
      </w:tr>
      <w:tr>
        <w:trPr>
          <w:trHeight w:val="216"/>
        </w:trPr>
        <w:tc>
          <w:tcPr>
            <w:tcW w:w="718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S/(000)</w:t>
            </w:r>
          </w:p>
        </w:tc>
      </w:tr>
      <w:tr>
        <w:trPr>
          <w:trHeight w:val="310"/>
        </w:trPr>
        <w:tc>
          <w:tcPr>
            <w:tcW w:w="7180" w:type="dxa"/>
            <w:vAlign w:val="bottom"/>
          </w:tcPr>
          <w:p>
            <w:pPr>
              <w:spacing w:after="0"/>
              <w:rPr>
                <w:sz w:val="20"/>
                <w:szCs w:val="20"/>
                <w:color w:val="auto"/>
              </w:rPr>
            </w:pPr>
            <w:r>
              <w:rPr>
                <w:rFonts w:ascii="Arial" w:cs="Arial" w:eastAsia="Arial" w:hAnsi="Arial"/>
                <w:sz w:val="16"/>
                <w:szCs w:val="16"/>
                <w:b w:val="1"/>
                <w:bCs w:val="1"/>
                <w:color w:val="auto"/>
              </w:rPr>
              <w:t>Non-interest-bearing -</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7180" w:type="dxa"/>
            <w:vAlign w:val="bottom"/>
          </w:tcPr>
          <w:p>
            <w:pPr>
              <w:ind w:left="160"/>
              <w:spacing w:after="0"/>
              <w:rPr>
                <w:sz w:val="20"/>
                <w:szCs w:val="20"/>
                <w:color w:val="auto"/>
              </w:rPr>
            </w:pPr>
            <w:r>
              <w:rPr>
                <w:rFonts w:ascii="Arial" w:cs="Arial" w:eastAsia="Arial" w:hAnsi="Arial"/>
                <w:sz w:val="16"/>
                <w:szCs w:val="16"/>
                <w:color w:val="auto"/>
              </w:rPr>
              <w:t>In Peru</w:t>
            </w:r>
          </w:p>
        </w:tc>
        <w:tc>
          <w:tcPr>
            <w:tcW w:w="1360" w:type="dxa"/>
            <w:vAlign w:val="bottom"/>
          </w:tcPr>
          <w:p>
            <w:pPr>
              <w:jc w:val="right"/>
              <w:spacing w:after="0"/>
              <w:rPr>
                <w:sz w:val="20"/>
                <w:szCs w:val="20"/>
                <w:color w:val="auto"/>
              </w:rPr>
            </w:pPr>
            <w:r>
              <w:rPr>
                <w:rFonts w:ascii="Arial" w:cs="Arial" w:eastAsia="Arial" w:hAnsi="Arial"/>
                <w:sz w:val="16"/>
                <w:szCs w:val="16"/>
                <w:color w:val="auto"/>
              </w:rPr>
              <w:t>37,627,288</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39,370,497</w:t>
            </w:r>
          </w:p>
        </w:tc>
      </w:tr>
      <w:tr>
        <w:trPr>
          <w:trHeight w:val="200"/>
        </w:trPr>
        <w:tc>
          <w:tcPr>
            <w:tcW w:w="7180" w:type="dxa"/>
            <w:vAlign w:val="bottom"/>
          </w:tcPr>
          <w:p>
            <w:pPr>
              <w:ind w:left="160"/>
              <w:spacing w:after="0"/>
              <w:rPr>
                <w:sz w:val="20"/>
                <w:szCs w:val="20"/>
                <w:color w:val="auto"/>
              </w:rPr>
            </w:pPr>
            <w:r>
              <w:rPr>
                <w:rFonts w:ascii="Arial" w:cs="Arial" w:eastAsia="Arial" w:hAnsi="Arial"/>
                <w:sz w:val="16"/>
                <w:szCs w:val="16"/>
                <w:color w:val="auto"/>
              </w:rPr>
              <w:t>In other countries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4,607,210</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3,975,654</w:t>
            </w:r>
          </w:p>
        </w:tc>
      </w:tr>
      <w:tr>
        <w:trPr>
          <w:trHeight w:val="175"/>
        </w:trPr>
        <w:tc>
          <w:tcPr>
            <w:tcW w:w="7180" w:type="dxa"/>
            <w:vAlign w:val="bottom"/>
          </w:tcPr>
          <w:p>
            <w:pPr>
              <w:spacing w:after="0"/>
              <w:rPr>
                <w:sz w:val="15"/>
                <w:szCs w:val="15"/>
                <w:color w:val="auto"/>
              </w:rPr>
            </w:pPr>
          </w:p>
        </w:tc>
        <w:tc>
          <w:tcPr>
            <w:tcW w:w="13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42,234,498</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43,346,151</w:t>
            </w:r>
          </w:p>
        </w:tc>
      </w:tr>
      <w:tr>
        <w:trPr>
          <w:trHeight w:val="342"/>
        </w:trPr>
        <w:tc>
          <w:tcPr>
            <w:tcW w:w="7180" w:type="dxa"/>
            <w:vAlign w:val="bottom"/>
          </w:tcPr>
          <w:p>
            <w:pPr>
              <w:spacing w:after="0"/>
              <w:rPr>
                <w:sz w:val="20"/>
                <w:szCs w:val="20"/>
                <w:color w:val="auto"/>
              </w:rPr>
            </w:pPr>
            <w:r>
              <w:rPr>
                <w:rFonts w:ascii="Arial" w:cs="Arial" w:eastAsia="Arial" w:hAnsi="Arial"/>
                <w:sz w:val="16"/>
                <w:szCs w:val="16"/>
                <w:b w:val="1"/>
                <w:bCs w:val="1"/>
                <w:color w:val="auto"/>
              </w:rPr>
              <w:t>Interest-bearing -</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7180" w:type="dxa"/>
            <w:vAlign w:val="bottom"/>
          </w:tcPr>
          <w:p>
            <w:pPr>
              <w:ind w:left="160"/>
              <w:spacing w:after="0"/>
              <w:rPr>
                <w:sz w:val="20"/>
                <w:szCs w:val="20"/>
                <w:color w:val="auto"/>
              </w:rPr>
            </w:pPr>
            <w:r>
              <w:rPr>
                <w:rFonts w:ascii="Arial" w:cs="Arial" w:eastAsia="Arial" w:hAnsi="Arial"/>
                <w:sz w:val="16"/>
                <w:szCs w:val="16"/>
                <w:color w:val="auto"/>
              </w:rPr>
              <w:t>In Peru</w:t>
            </w:r>
          </w:p>
        </w:tc>
        <w:tc>
          <w:tcPr>
            <w:tcW w:w="1360" w:type="dxa"/>
            <w:vAlign w:val="bottom"/>
          </w:tcPr>
          <w:p>
            <w:pPr>
              <w:jc w:val="right"/>
              <w:spacing w:after="0"/>
              <w:rPr>
                <w:sz w:val="20"/>
                <w:szCs w:val="20"/>
                <w:color w:val="auto"/>
              </w:rPr>
            </w:pPr>
            <w:r>
              <w:rPr>
                <w:rFonts w:ascii="Arial" w:cs="Arial" w:eastAsia="Arial" w:hAnsi="Arial"/>
                <w:sz w:val="16"/>
                <w:szCs w:val="16"/>
                <w:color w:val="auto"/>
              </w:rPr>
              <w:t>94,452,833</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92,276,991</w:t>
            </w:r>
          </w:p>
        </w:tc>
      </w:tr>
      <w:tr>
        <w:trPr>
          <w:trHeight w:val="200"/>
        </w:trPr>
        <w:tc>
          <w:tcPr>
            <w:tcW w:w="7180" w:type="dxa"/>
            <w:vAlign w:val="bottom"/>
          </w:tcPr>
          <w:p>
            <w:pPr>
              <w:ind w:left="160"/>
              <w:spacing w:after="0"/>
              <w:rPr>
                <w:sz w:val="20"/>
                <w:szCs w:val="20"/>
                <w:color w:val="auto"/>
              </w:rPr>
            </w:pPr>
            <w:r>
              <w:rPr>
                <w:rFonts w:ascii="Arial" w:cs="Arial" w:eastAsia="Arial" w:hAnsi="Arial"/>
                <w:sz w:val="16"/>
                <w:szCs w:val="16"/>
                <w:color w:val="auto"/>
              </w:rPr>
              <w:t>In other countries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9,588,072</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10,334,789</w:t>
            </w:r>
          </w:p>
        </w:tc>
      </w:tr>
      <w:tr>
        <w:trPr>
          <w:trHeight w:val="175"/>
        </w:trPr>
        <w:tc>
          <w:tcPr>
            <w:tcW w:w="7180" w:type="dxa"/>
            <w:vAlign w:val="bottom"/>
          </w:tcPr>
          <w:p>
            <w:pPr>
              <w:spacing w:after="0"/>
              <w:rPr>
                <w:sz w:val="15"/>
                <w:szCs w:val="15"/>
                <w:color w:val="auto"/>
              </w:rPr>
            </w:pPr>
          </w:p>
        </w:tc>
        <w:tc>
          <w:tcPr>
            <w:tcW w:w="13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104,040,905</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102,611,780</w:t>
            </w:r>
          </w:p>
        </w:tc>
      </w:tr>
      <w:tr>
        <w:trPr>
          <w:trHeight w:val="363"/>
        </w:trPr>
        <w:tc>
          <w:tcPr>
            <w:tcW w:w="71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146,275,403</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145,957,931</w:t>
            </w:r>
          </w:p>
        </w:tc>
      </w:tr>
    </w:tbl>
    <w:p>
      <w:pPr>
        <w:spacing w:after="0" w:line="166" w:lineRule="exact"/>
        <w:rPr>
          <w:sz w:val="20"/>
          <w:szCs w:val="20"/>
          <w:color w:val="auto"/>
        </w:rPr>
      </w:pPr>
    </w:p>
    <w:p>
      <w:pPr>
        <w:ind w:left="325" w:hanging="325"/>
        <w:spacing w:after="0"/>
        <w:tabs>
          <w:tab w:leader="none" w:pos="32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balance of time deposits classified by maturity is as follows:</w:t>
      </w:r>
    </w:p>
    <w:p>
      <w:pPr>
        <w:spacing w:after="0" w:line="183" w:lineRule="exact"/>
        <w:rPr>
          <w:sz w:val="20"/>
          <w:szCs w:val="20"/>
          <w:color w:val="auto"/>
        </w:rPr>
      </w:pPr>
    </w:p>
    <w:tbl>
      <w:tblPr>
        <w:tblLayout w:type="fixed"/>
        <w:tblInd w:w="385" w:type="dxa"/>
        <w:tblCellMar>
          <w:top w:w="0" w:type="dxa"/>
          <w:left w:w="0" w:type="dxa"/>
          <w:bottom w:w="0" w:type="dxa"/>
          <w:right w:w="0" w:type="dxa"/>
        </w:tblCellMar>
      </w:tblPr>
      <w:tr>
        <w:trPr>
          <w:trHeight w:val="200"/>
        </w:trPr>
        <w:tc>
          <w:tcPr>
            <w:tcW w:w="7180" w:type="dxa"/>
            <w:vAlign w:val="bottom"/>
          </w:tcPr>
          <w:p>
            <w:pPr>
              <w:spacing w:after="0"/>
              <w:rPr>
                <w:sz w:val="17"/>
                <w:szCs w:val="17"/>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2022</w:t>
            </w:r>
          </w:p>
        </w:tc>
      </w:tr>
      <w:tr>
        <w:trPr>
          <w:trHeight w:val="216"/>
        </w:trPr>
        <w:tc>
          <w:tcPr>
            <w:tcW w:w="718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S/(000)</w:t>
            </w:r>
          </w:p>
        </w:tc>
      </w:tr>
      <w:tr>
        <w:trPr>
          <w:trHeight w:val="310"/>
        </w:trPr>
        <w:tc>
          <w:tcPr>
            <w:tcW w:w="7180" w:type="dxa"/>
            <w:vAlign w:val="bottom"/>
          </w:tcPr>
          <w:p>
            <w:pPr>
              <w:spacing w:after="0"/>
              <w:rPr>
                <w:sz w:val="20"/>
                <w:szCs w:val="20"/>
                <w:color w:val="auto"/>
              </w:rPr>
            </w:pPr>
            <w:r>
              <w:rPr>
                <w:rFonts w:ascii="Arial" w:cs="Arial" w:eastAsia="Arial" w:hAnsi="Arial"/>
                <w:sz w:val="16"/>
                <w:szCs w:val="16"/>
                <w:color w:val="auto"/>
              </w:rPr>
              <w:t>Up to 3 months</w:t>
            </w:r>
          </w:p>
        </w:tc>
        <w:tc>
          <w:tcPr>
            <w:tcW w:w="1360" w:type="dxa"/>
            <w:vAlign w:val="bottom"/>
          </w:tcPr>
          <w:p>
            <w:pPr>
              <w:jc w:val="right"/>
              <w:spacing w:after="0"/>
              <w:rPr>
                <w:sz w:val="20"/>
                <w:szCs w:val="20"/>
                <w:color w:val="auto"/>
              </w:rPr>
            </w:pPr>
            <w:r>
              <w:rPr>
                <w:rFonts w:ascii="Arial" w:cs="Arial" w:eastAsia="Arial" w:hAnsi="Arial"/>
                <w:sz w:val="16"/>
                <w:szCs w:val="16"/>
                <w:color w:val="auto"/>
              </w:rPr>
              <w:t>23,975,997</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17,201,364</w:t>
            </w:r>
          </w:p>
        </w:tc>
      </w:tr>
      <w:tr>
        <w:trPr>
          <w:trHeight w:val="183"/>
        </w:trPr>
        <w:tc>
          <w:tcPr>
            <w:tcW w:w="718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1360" w:type="dxa"/>
            <w:vAlign w:val="bottom"/>
          </w:tcPr>
          <w:p>
            <w:pPr>
              <w:jc w:val="right"/>
              <w:spacing w:after="0"/>
              <w:rPr>
                <w:sz w:val="20"/>
                <w:szCs w:val="20"/>
                <w:color w:val="auto"/>
              </w:rPr>
            </w:pPr>
            <w:r>
              <w:rPr>
                <w:rFonts w:ascii="Arial" w:cs="Arial" w:eastAsia="Arial" w:hAnsi="Arial"/>
                <w:sz w:val="16"/>
                <w:szCs w:val="16"/>
                <w:color w:val="auto"/>
              </w:rPr>
              <w:t>11,420,212</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12,688,483</w:t>
            </w:r>
          </w:p>
        </w:tc>
      </w:tr>
      <w:tr>
        <w:trPr>
          <w:trHeight w:val="183"/>
        </w:trPr>
        <w:tc>
          <w:tcPr>
            <w:tcW w:w="7180" w:type="dxa"/>
            <w:vAlign w:val="bottom"/>
          </w:tcPr>
          <w:p>
            <w:pPr>
              <w:spacing w:after="0"/>
              <w:rPr>
                <w:sz w:val="20"/>
                <w:szCs w:val="20"/>
                <w:color w:val="auto"/>
              </w:rPr>
            </w:pPr>
            <w:r>
              <w:rPr>
                <w:rFonts w:ascii="Arial" w:cs="Arial" w:eastAsia="Arial" w:hAnsi="Arial"/>
                <w:sz w:val="16"/>
                <w:szCs w:val="16"/>
                <w:color w:val="auto"/>
              </w:rPr>
              <w:t>From 1 to 3 years</w:t>
            </w:r>
          </w:p>
        </w:tc>
        <w:tc>
          <w:tcPr>
            <w:tcW w:w="1360" w:type="dxa"/>
            <w:vAlign w:val="bottom"/>
          </w:tcPr>
          <w:p>
            <w:pPr>
              <w:jc w:val="right"/>
              <w:spacing w:after="0"/>
              <w:rPr>
                <w:sz w:val="20"/>
                <w:szCs w:val="20"/>
                <w:color w:val="auto"/>
              </w:rPr>
            </w:pPr>
            <w:r>
              <w:rPr>
                <w:rFonts w:ascii="Arial" w:cs="Arial" w:eastAsia="Arial" w:hAnsi="Arial"/>
                <w:sz w:val="16"/>
                <w:szCs w:val="16"/>
                <w:color w:val="auto"/>
              </w:rPr>
              <w:t>2,472,740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4,144,424</w:t>
            </w:r>
          </w:p>
        </w:tc>
      </w:tr>
      <w:tr>
        <w:trPr>
          <w:trHeight w:val="183"/>
        </w:trPr>
        <w:tc>
          <w:tcPr>
            <w:tcW w:w="7180" w:type="dxa"/>
            <w:vAlign w:val="bottom"/>
          </w:tcPr>
          <w:p>
            <w:pPr>
              <w:spacing w:after="0"/>
              <w:rPr>
                <w:sz w:val="20"/>
                <w:szCs w:val="20"/>
                <w:color w:val="auto"/>
              </w:rPr>
            </w:pPr>
            <w:r>
              <w:rPr>
                <w:rFonts w:ascii="Arial" w:cs="Arial" w:eastAsia="Arial" w:hAnsi="Arial"/>
                <w:sz w:val="16"/>
                <w:szCs w:val="16"/>
                <w:color w:val="auto"/>
              </w:rPr>
              <w:t>From 3 to 5 years</w:t>
            </w:r>
          </w:p>
        </w:tc>
        <w:tc>
          <w:tcPr>
            <w:tcW w:w="1360" w:type="dxa"/>
            <w:vAlign w:val="bottom"/>
          </w:tcPr>
          <w:p>
            <w:pPr>
              <w:jc w:val="right"/>
              <w:spacing w:after="0"/>
              <w:rPr>
                <w:sz w:val="20"/>
                <w:szCs w:val="20"/>
                <w:color w:val="auto"/>
              </w:rPr>
            </w:pPr>
            <w:r>
              <w:rPr>
                <w:rFonts w:ascii="Arial" w:cs="Arial" w:eastAsia="Arial" w:hAnsi="Arial"/>
                <w:sz w:val="16"/>
                <w:szCs w:val="16"/>
                <w:color w:val="auto"/>
              </w:rPr>
              <w:t>327,136</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502,291</w:t>
            </w:r>
          </w:p>
        </w:tc>
      </w:tr>
      <w:tr>
        <w:trPr>
          <w:trHeight w:val="200"/>
        </w:trPr>
        <w:tc>
          <w:tcPr>
            <w:tcW w:w="7180" w:type="dxa"/>
            <w:vAlign w:val="bottom"/>
          </w:tcPr>
          <w:p>
            <w:pPr>
              <w:spacing w:after="0"/>
              <w:rPr>
                <w:sz w:val="20"/>
                <w:szCs w:val="20"/>
                <w:color w:val="auto"/>
              </w:rPr>
            </w:pPr>
            <w:r>
              <w:rPr>
                <w:rFonts w:ascii="Arial" w:cs="Arial" w:eastAsia="Arial" w:hAnsi="Arial"/>
                <w:sz w:val="16"/>
                <w:szCs w:val="16"/>
                <w:color w:val="auto"/>
              </w:rPr>
              <w:t>More than 5 years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3,093,926</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2,941,707</w:t>
            </w:r>
          </w:p>
        </w:tc>
      </w:tr>
      <w:tr>
        <w:trPr>
          <w:trHeight w:val="180"/>
        </w:trPr>
        <w:tc>
          <w:tcPr>
            <w:tcW w:w="718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41,290,011</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37,478,269</w:t>
            </w:r>
          </w:p>
        </w:tc>
      </w:tr>
    </w:tbl>
    <w:p>
      <w:pPr>
        <w:spacing w:after="0" w:line="166" w:lineRule="exact"/>
        <w:rPr>
          <w:sz w:val="20"/>
          <w:szCs w:val="20"/>
          <w:color w:val="auto"/>
        </w:rPr>
      </w:pPr>
    </w:p>
    <w:p>
      <w:pPr>
        <w:ind w:left="385" w:right="220"/>
        <w:spacing w:after="0" w:line="280" w:lineRule="auto"/>
        <w:rPr>
          <w:sz w:val="20"/>
          <w:szCs w:val="20"/>
          <w:color w:val="auto"/>
        </w:rPr>
      </w:pPr>
      <w:r>
        <w:rPr>
          <w:rFonts w:ascii="Arial" w:cs="Arial" w:eastAsia="Arial" w:hAnsi="Arial"/>
          <w:sz w:val="16"/>
          <w:szCs w:val="16"/>
          <w:color w:val="auto"/>
        </w:rPr>
        <w:t>In Management’s opinion the Group’s deposits and obligations are diversified with no significant concentrations as of December 31, 2023, and 2022.</w:t>
      </w:r>
    </w:p>
    <w:p>
      <w:pPr>
        <w:spacing w:after="0" w:line="279" w:lineRule="exact"/>
        <w:rPr>
          <w:sz w:val="20"/>
          <w:szCs w:val="20"/>
          <w:color w:val="auto"/>
        </w:rPr>
      </w:pPr>
    </w:p>
    <w:p>
      <w:pPr>
        <w:jc w:val="center"/>
        <w:ind w:right="-104"/>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41275</wp:posOffset>
            </wp:positionV>
            <wp:extent cx="714565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505"/>
          </w:cols>
          <w:pgMar w:left="635" w:top="306" w:right="759" w:bottom="1440" w:gutter="0" w:footer="0" w:header="0"/>
        </w:sectPr>
      </w:pPr>
    </w:p>
    <w:bookmarkStart w:id="104" w:name="page105"/>
    <w:bookmarkEnd w:id="104"/>
    <w:p>
      <w:pPr>
        <w:ind w:left="702" w:right="600"/>
        <w:spacing w:after="0" w:line="259" w:lineRule="auto"/>
        <w:rPr>
          <w:sz w:val="20"/>
          <w:szCs w:val="20"/>
          <w:color w:val="auto"/>
        </w:rPr>
      </w:pPr>
      <w:r>
        <w:rPr>
          <w:rFonts w:ascii="Arial" w:cs="Arial" w:eastAsia="Arial" w:hAnsi="Arial"/>
          <w:sz w:val="16"/>
          <w:szCs w:val="16"/>
          <w:color w:val="auto"/>
        </w:rPr>
        <w:t>As of December 31, 2023 and 2022, the balance of deposits and obligations, guaranteed by the Peruvian “Fondo de Seguro de Depositos” (Deposit Insurance Fund) amounts to approximately S/51,875.6 million and S/52,745.2 million, respectively. At said dates, maximum amount of coverage per depositor recognized by “Fondo de Seguro de Depositos” totaled S/123,810.0 and S/125,603.0, respectively.</w:t>
      </w:r>
    </w:p>
    <w:p>
      <w:pPr>
        <w:spacing w:after="0" w:line="137" w:lineRule="exact"/>
        <w:rPr>
          <w:sz w:val="20"/>
          <w:szCs w:val="20"/>
          <w:color w:val="auto"/>
        </w:rPr>
      </w:pPr>
    </w:p>
    <w:p>
      <w:pPr>
        <w:ind w:left="702" w:right="600"/>
        <w:spacing w:after="0" w:line="252" w:lineRule="auto"/>
        <w:rPr>
          <w:sz w:val="20"/>
          <w:szCs w:val="20"/>
          <w:color w:val="auto"/>
        </w:rPr>
      </w:pPr>
      <w:r>
        <w:rPr>
          <w:rFonts w:ascii="Arial" w:cs="Arial" w:eastAsia="Arial" w:hAnsi="Arial"/>
          <w:sz w:val="16"/>
          <w:szCs w:val="16"/>
          <w:color w:val="auto"/>
        </w:rPr>
        <w:t>As of December 31, 2023 and 2022, the balance of deposits and obligations of Banco de Crédito Bolivia guaranteed by the “Fondo de Protección al Ahorrista” (FPAH, for its Spanish acronym) of Bolivia, amounts to Bs 1,409.9 million Bolivianos (equivalent to S/762.3 million) and Bs 1,369.4 million Bolivianos (equivalent to S/762.1 million), respectively. At said dates, maximum amount of coverage per depositor recognized by “FPAH” totaled Bs 90,240.3 Bolivianos and Bs 96,359.0 Bolivianos (equivalent to S/48,790.4 and S/53,627.0, respectively).</w:t>
      </w:r>
    </w:p>
    <w:p>
      <w:pPr>
        <w:spacing w:after="0" w:line="144" w:lineRule="exact"/>
        <w:rPr>
          <w:sz w:val="20"/>
          <w:szCs w:val="20"/>
          <w:color w:val="auto"/>
        </w:rPr>
      </w:pPr>
    </w:p>
    <w:p>
      <w:pPr>
        <w:ind w:left="702" w:right="680"/>
        <w:spacing w:after="0" w:line="249" w:lineRule="auto"/>
        <w:rPr>
          <w:sz w:val="20"/>
          <w:szCs w:val="20"/>
          <w:color w:val="auto"/>
        </w:rPr>
      </w:pPr>
      <w:r>
        <w:rPr>
          <w:rFonts w:ascii="Arial" w:cs="Arial" w:eastAsia="Arial" w:hAnsi="Arial"/>
          <w:sz w:val="16"/>
          <w:szCs w:val="16"/>
          <w:color w:val="auto"/>
        </w:rPr>
        <w:t>As of December 31, 2023 and 2022, the balance of deposits and obligations of MiBanco Colombia guaranteed by the “Fondo de Garantía de las Instituciones Financieras” (FOGAFÍN, for its Spanish acronym) of Colombia, amounts to $53,049.4 million Colombian pesos (equivalent to S/50.8 million) and $61,349.2 million Colombian pesos (equivalent to S/48.2 million), respectively. At said dates, maximum amount of coverage per depositor recognized by “FOGAFÍN” totaled $50,000,000.0 Colombian pesos (equivalent to S/47,850.0 and S/39,300.0, respectively).</w:t>
      </w:r>
    </w:p>
    <w:p>
      <w:pPr>
        <w:spacing w:after="0" w:line="145" w:lineRule="exact"/>
        <w:rPr>
          <w:sz w:val="20"/>
          <w:szCs w:val="20"/>
          <w:color w:val="auto"/>
        </w:rPr>
      </w:pPr>
    </w:p>
    <w:p>
      <w:pPr>
        <w:ind w:left="382" w:hanging="382"/>
        <w:spacing w:after="0"/>
        <w:tabs>
          <w:tab w:leader="none" w:pos="382"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DUE TO BANKS AND CORRESPONDENTS</w:t>
      </w:r>
    </w:p>
    <w:p>
      <w:pPr>
        <w:spacing w:after="0" w:line="182" w:lineRule="exact"/>
        <w:rPr>
          <w:rFonts w:ascii="Arial" w:cs="Arial" w:eastAsia="Arial" w:hAnsi="Arial"/>
          <w:sz w:val="16"/>
          <w:szCs w:val="16"/>
          <w:b w:val="1"/>
          <w:bCs w:val="1"/>
          <w:color w:val="auto"/>
        </w:rPr>
      </w:pPr>
    </w:p>
    <w:p>
      <w:pPr>
        <w:ind w:left="662" w:hanging="296"/>
        <w:spacing w:after="0"/>
        <w:tabs>
          <w:tab w:leader="none" w:pos="66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4520" w:type="dxa"/>
            <w:vAlign w:val="bottom"/>
          </w:tcPr>
          <w:p>
            <w:pPr>
              <w:spacing w:after="0"/>
              <w:rPr>
                <w:sz w:val="17"/>
                <w:szCs w:val="17"/>
                <w:color w:val="auto"/>
              </w:rPr>
            </w:pPr>
          </w:p>
        </w:tc>
        <w:tc>
          <w:tcPr>
            <w:tcW w:w="4720" w:type="dxa"/>
            <w:vAlign w:val="bottom"/>
            <w:gridSpan w:val="2"/>
          </w:tcPr>
          <w:p>
            <w:pPr>
              <w:ind w:left="342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7"/>
                <w:szCs w:val="17"/>
                <w:color w:val="auto"/>
              </w:rPr>
            </w:pPr>
          </w:p>
        </w:tc>
      </w:tr>
      <w:tr>
        <w:trPr>
          <w:trHeight w:val="216"/>
        </w:trPr>
        <w:tc>
          <w:tcPr>
            <w:tcW w:w="4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440" w:type="dxa"/>
            <w:vAlign w:val="bottom"/>
          </w:tcPr>
          <w:p>
            <w:pPr>
              <w:spacing w:after="0"/>
              <w:rPr>
                <w:sz w:val="18"/>
                <w:szCs w:val="18"/>
                <w:color w:val="auto"/>
              </w:rPr>
            </w:pPr>
          </w:p>
        </w:tc>
      </w:tr>
      <w:tr>
        <w:trPr>
          <w:trHeight w:val="310"/>
        </w:trPr>
        <w:tc>
          <w:tcPr>
            <w:tcW w:w="4520" w:type="dxa"/>
            <w:vAlign w:val="bottom"/>
          </w:tcPr>
          <w:p>
            <w:pPr>
              <w:ind w:left="700"/>
              <w:spacing w:after="0"/>
              <w:rPr>
                <w:sz w:val="20"/>
                <w:szCs w:val="20"/>
                <w:color w:val="auto"/>
              </w:rPr>
            </w:pPr>
            <w:r>
              <w:rPr>
                <w:rFonts w:ascii="Arial" w:cs="Arial" w:eastAsia="Arial" w:hAnsi="Arial"/>
                <w:sz w:val="16"/>
                <w:szCs w:val="16"/>
                <w:color w:val="auto"/>
              </w:rPr>
              <w:t>International funds and others (b)</w:t>
            </w:r>
          </w:p>
        </w:tc>
        <w:tc>
          <w:tcPr>
            <w:tcW w:w="4720" w:type="dxa"/>
            <w:vAlign w:val="bottom"/>
            <w:gridSpan w:val="2"/>
          </w:tcPr>
          <w:p>
            <w:pPr>
              <w:jc w:val="right"/>
              <w:spacing w:after="0"/>
              <w:rPr>
                <w:sz w:val="20"/>
                <w:szCs w:val="20"/>
                <w:color w:val="auto"/>
              </w:rPr>
            </w:pPr>
            <w:r>
              <w:rPr>
                <w:rFonts w:ascii="Arial" w:cs="Arial" w:eastAsia="Arial" w:hAnsi="Arial"/>
                <w:sz w:val="16"/>
                <w:szCs w:val="16"/>
                <w:color w:val="auto"/>
              </w:rPr>
              <w:t>7,362,734</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4,694,617</w:t>
            </w:r>
          </w:p>
        </w:tc>
        <w:tc>
          <w:tcPr>
            <w:tcW w:w="440" w:type="dxa"/>
            <w:vAlign w:val="bottom"/>
          </w:tcPr>
          <w:p>
            <w:pPr>
              <w:spacing w:after="0"/>
              <w:rPr>
                <w:sz w:val="24"/>
                <w:szCs w:val="24"/>
                <w:color w:val="auto"/>
              </w:rPr>
            </w:pPr>
          </w:p>
        </w:tc>
      </w:tr>
      <w:tr>
        <w:trPr>
          <w:trHeight w:val="183"/>
        </w:trPr>
        <w:tc>
          <w:tcPr>
            <w:tcW w:w="4520" w:type="dxa"/>
            <w:vAlign w:val="bottom"/>
          </w:tcPr>
          <w:p>
            <w:pPr>
              <w:ind w:left="700"/>
              <w:spacing w:after="0"/>
              <w:rPr>
                <w:sz w:val="20"/>
                <w:szCs w:val="20"/>
                <w:color w:val="auto"/>
              </w:rPr>
            </w:pPr>
            <w:r>
              <w:rPr>
                <w:rFonts w:ascii="Arial" w:cs="Arial" w:eastAsia="Arial" w:hAnsi="Arial"/>
                <w:sz w:val="16"/>
                <w:szCs w:val="16"/>
                <w:color w:val="auto"/>
              </w:rPr>
              <w:t>COFIDE and FONCODES credit line (c)</w:t>
            </w:r>
          </w:p>
        </w:tc>
        <w:tc>
          <w:tcPr>
            <w:tcW w:w="4720" w:type="dxa"/>
            <w:vAlign w:val="bottom"/>
            <w:gridSpan w:val="2"/>
          </w:tcPr>
          <w:p>
            <w:pPr>
              <w:jc w:val="right"/>
              <w:spacing w:after="0"/>
              <w:rPr>
                <w:sz w:val="20"/>
                <w:szCs w:val="20"/>
                <w:color w:val="auto"/>
              </w:rPr>
            </w:pPr>
            <w:r>
              <w:rPr>
                <w:rFonts w:ascii="Arial" w:cs="Arial" w:eastAsia="Arial" w:hAnsi="Arial"/>
                <w:sz w:val="16"/>
                <w:szCs w:val="16"/>
                <w:color w:val="auto"/>
              </w:rPr>
              <w:t>4,389,433</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4,107,294</w:t>
            </w:r>
          </w:p>
        </w:tc>
        <w:tc>
          <w:tcPr>
            <w:tcW w:w="440" w:type="dxa"/>
            <w:vAlign w:val="bottom"/>
          </w:tcPr>
          <w:p>
            <w:pPr>
              <w:spacing w:after="0"/>
              <w:rPr>
                <w:sz w:val="15"/>
                <w:szCs w:val="15"/>
                <w:color w:val="auto"/>
              </w:rPr>
            </w:pPr>
          </w:p>
        </w:tc>
      </w:tr>
      <w:tr>
        <w:trPr>
          <w:trHeight w:val="200"/>
        </w:trPr>
        <w:tc>
          <w:tcPr>
            <w:tcW w:w="4520" w:type="dxa"/>
            <w:vAlign w:val="bottom"/>
          </w:tcPr>
          <w:p>
            <w:pPr>
              <w:ind w:left="700"/>
              <w:spacing w:after="0"/>
              <w:rPr>
                <w:sz w:val="20"/>
                <w:szCs w:val="20"/>
                <w:color w:val="auto"/>
              </w:rPr>
            </w:pPr>
            <w:r>
              <w:rPr>
                <w:rFonts w:ascii="Arial" w:cs="Arial" w:eastAsia="Arial" w:hAnsi="Arial"/>
                <w:sz w:val="16"/>
                <w:szCs w:val="16"/>
                <w:color w:val="auto"/>
              </w:rPr>
              <w:t>Inter-bank funds</w:t>
            </w:r>
          </w:p>
        </w:tc>
        <w:tc>
          <w:tcPr>
            <w:tcW w:w="4720" w:type="dxa"/>
            <w:vAlign w:val="bottom"/>
            <w:gridSpan w:val="2"/>
          </w:tcPr>
          <w:p>
            <w:pPr>
              <w:jc w:val="right"/>
              <w:spacing w:after="0"/>
              <w:rPr>
                <w:sz w:val="20"/>
                <w:szCs w:val="20"/>
                <w:color w:val="auto"/>
              </w:rPr>
            </w:pPr>
            <w:r>
              <w:rPr>
                <w:rFonts w:ascii="Arial" w:cs="Arial" w:eastAsia="Arial" w:hAnsi="Arial"/>
                <w:sz w:val="16"/>
                <w:szCs w:val="16"/>
                <w:color w:val="auto"/>
              </w:rPr>
              <w:t>324,400</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r>
      <w:tr>
        <w:trPr>
          <w:trHeight w:val="159"/>
        </w:trPr>
        <w:tc>
          <w:tcPr>
            <w:tcW w:w="45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12,076,567</w:t>
            </w:r>
          </w:p>
        </w:tc>
        <w:tc>
          <w:tcPr>
            <w:tcW w:w="220" w:type="dxa"/>
            <w:vAlign w:val="bottom"/>
          </w:tcPr>
          <w:p>
            <w:pPr>
              <w:spacing w:after="0"/>
              <w:rPr>
                <w:sz w:val="13"/>
                <w:szCs w:val="13"/>
                <w:color w:val="auto"/>
              </w:rPr>
            </w:pPr>
          </w:p>
        </w:tc>
        <w:tc>
          <w:tcPr>
            <w:tcW w:w="13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8,801,911</w:t>
            </w:r>
          </w:p>
        </w:tc>
        <w:tc>
          <w:tcPr>
            <w:tcW w:w="440" w:type="dxa"/>
            <w:vAlign w:val="bottom"/>
          </w:tcPr>
          <w:p>
            <w:pPr>
              <w:spacing w:after="0"/>
              <w:rPr>
                <w:sz w:val="13"/>
                <w:szCs w:val="13"/>
                <w:color w:val="auto"/>
              </w:rPr>
            </w:pPr>
          </w:p>
        </w:tc>
      </w:tr>
      <w:tr>
        <w:trPr>
          <w:trHeight w:val="200"/>
        </w:trPr>
        <w:tc>
          <w:tcPr>
            <w:tcW w:w="4520" w:type="dxa"/>
            <w:vAlign w:val="bottom"/>
          </w:tcPr>
          <w:p>
            <w:pPr>
              <w:ind w:left="700"/>
              <w:spacing w:after="0"/>
              <w:rPr>
                <w:sz w:val="20"/>
                <w:szCs w:val="20"/>
                <w:color w:val="auto"/>
              </w:rPr>
            </w:pPr>
            <w:r>
              <w:rPr>
                <w:rFonts w:ascii="Arial" w:cs="Arial" w:eastAsia="Arial" w:hAnsi="Arial"/>
                <w:sz w:val="16"/>
                <w:szCs w:val="16"/>
                <w:color w:val="auto"/>
              </w:rPr>
              <w:t>Interest payable</w:t>
            </w:r>
          </w:p>
        </w:tc>
        <w:tc>
          <w:tcPr>
            <w:tcW w:w="4720" w:type="dxa"/>
            <w:vAlign w:val="bottom"/>
            <w:gridSpan w:val="2"/>
          </w:tcPr>
          <w:p>
            <w:pPr>
              <w:jc w:val="right"/>
              <w:spacing w:after="0"/>
              <w:rPr>
                <w:sz w:val="20"/>
                <w:szCs w:val="20"/>
                <w:color w:val="auto"/>
              </w:rPr>
            </w:pPr>
            <w:r>
              <w:rPr>
                <w:rFonts w:ascii="Arial" w:cs="Arial" w:eastAsia="Arial" w:hAnsi="Arial"/>
                <w:sz w:val="16"/>
                <w:szCs w:val="16"/>
                <w:color w:val="auto"/>
              </w:rPr>
              <w:t>202,114</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135,500</w:t>
            </w:r>
          </w:p>
        </w:tc>
        <w:tc>
          <w:tcPr>
            <w:tcW w:w="440" w:type="dxa"/>
            <w:vAlign w:val="bottom"/>
          </w:tcPr>
          <w:p>
            <w:pPr>
              <w:spacing w:after="0"/>
              <w:rPr>
                <w:sz w:val="17"/>
                <w:szCs w:val="17"/>
                <w:color w:val="auto"/>
              </w:rPr>
            </w:pPr>
          </w:p>
        </w:tc>
      </w:tr>
      <w:tr>
        <w:trPr>
          <w:trHeight w:val="180"/>
        </w:trPr>
        <w:tc>
          <w:tcPr>
            <w:tcW w:w="4520" w:type="dxa"/>
            <w:vAlign w:val="bottom"/>
          </w:tcPr>
          <w:p>
            <w:pPr>
              <w:ind w:left="700"/>
              <w:spacing w:after="0" w:line="175" w:lineRule="exact"/>
              <w:rPr>
                <w:sz w:val="20"/>
                <w:szCs w:val="20"/>
                <w:color w:val="auto"/>
              </w:rPr>
            </w:pPr>
            <w:r>
              <w:rPr>
                <w:rFonts w:ascii="Arial" w:cs="Arial" w:eastAsia="Arial" w:hAnsi="Arial"/>
                <w:sz w:val="16"/>
                <w:szCs w:val="16"/>
                <w:b w:val="1"/>
                <w:bCs w:val="1"/>
                <w:color w:val="auto"/>
              </w:rPr>
              <w:t>Total</w:t>
            </w:r>
          </w:p>
        </w:tc>
        <w:tc>
          <w:tcPr>
            <w:tcW w:w="336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12,278,681</w:t>
            </w:r>
          </w:p>
        </w:tc>
        <w:tc>
          <w:tcPr>
            <w:tcW w:w="22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8,937,411</w:t>
            </w:r>
          </w:p>
        </w:tc>
        <w:tc>
          <w:tcPr>
            <w:tcW w:w="440" w:type="dxa"/>
            <w:vAlign w:val="bottom"/>
          </w:tcPr>
          <w:p>
            <w:pPr>
              <w:spacing w:after="0"/>
              <w:rPr>
                <w:sz w:val="15"/>
                <w:szCs w:val="15"/>
                <w:color w:val="auto"/>
              </w:rPr>
            </w:pPr>
          </w:p>
        </w:tc>
      </w:tr>
      <w:tr>
        <w:trPr>
          <w:trHeight w:val="541"/>
        </w:trPr>
        <w:tc>
          <w:tcPr>
            <w:tcW w:w="4520" w:type="dxa"/>
            <w:vAlign w:val="bottom"/>
          </w:tcPr>
          <w:p>
            <w:pPr>
              <w:spacing w:after="0"/>
              <w:rPr>
                <w:sz w:val="24"/>
                <w:szCs w:val="24"/>
                <w:color w:val="auto"/>
              </w:rPr>
            </w:pPr>
          </w:p>
        </w:tc>
        <w:tc>
          <w:tcPr>
            <w:tcW w:w="3360" w:type="dxa"/>
            <w:vAlign w:val="bottom"/>
          </w:tcPr>
          <w:p>
            <w:pPr>
              <w:jc w:val="right"/>
              <w:ind w:right="2039"/>
              <w:spacing w:after="0"/>
              <w:rPr>
                <w:sz w:val="20"/>
                <w:szCs w:val="20"/>
                <w:color w:val="auto"/>
              </w:rPr>
            </w:pPr>
            <w:r>
              <w:rPr>
                <w:rFonts w:ascii="Arial" w:cs="Arial" w:eastAsia="Arial" w:hAnsi="Arial"/>
                <w:sz w:val="16"/>
                <w:szCs w:val="16"/>
                <w:color w:val="auto"/>
              </w:rPr>
              <w:t>102</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8"/>
        </w:trPr>
        <w:tc>
          <w:tcPr>
            <w:tcW w:w="452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bl>
    <w:p>
      <w:pPr>
        <w:sectPr>
          <w:pgSz w:w="11900" w:h="16838" w:orient="portrait"/>
          <w:cols w:equalWidth="0" w:num="1">
            <w:col w:w="11262"/>
          </w:cols>
          <w:pgMar w:left="318" w:top="306" w:right="319" w:bottom="1440" w:gutter="0" w:footer="0" w:header="0"/>
        </w:sectPr>
      </w:pPr>
    </w:p>
    <w:bookmarkStart w:id="105" w:name="page106"/>
    <w:bookmarkEnd w:id="105"/>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6"/>
                <w:szCs w:val="16"/>
                <w:color w:val="auto"/>
              </w:rPr>
              <w:t>b)  This item consists of the following:</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1"/>
        </w:trPr>
        <w:tc>
          <w:tcPr>
            <w:tcW w:w="7520" w:type="dxa"/>
            <w:vAlign w:val="bottom"/>
          </w:tcPr>
          <w:p>
            <w:pPr>
              <w:spacing w:after="0"/>
              <w:rPr>
                <w:sz w:val="24"/>
                <w:szCs w:val="24"/>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24"/>
                <w:szCs w:val="2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2022</w:t>
            </w:r>
          </w:p>
        </w:tc>
      </w:tr>
      <w:tr>
        <w:trPr>
          <w:trHeight w:val="216"/>
        </w:trPr>
        <w:tc>
          <w:tcPr>
            <w:tcW w:w="752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S/(000)</w:t>
            </w:r>
          </w:p>
        </w:tc>
      </w:tr>
      <w:tr>
        <w:trPr>
          <w:trHeight w:val="310"/>
        </w:trPr>
        <w:tc>
          <w:tcPr>
            <w:tcW w:w="7520" w:type="dxa"/>
            <w:vAlign w:val="bottom"/>
          </w:tcPr>
          <w:p>
            <w:pPr>
              <w:ind w:left="340"/>
              <w:spacing w:after="0"/>
              <w:rPr>
                <w:sz w:val="20"/>
                <w:szCs w:val="20"/>
                <w:color w:val="auto"/>
              </w:rPr>
            </w:pPr>
            <w:r>
              <w:rPr>
                <w:rFonts w:ascii="Arial" w:cs="Arial" w:eastAsia="Arial" w:hAnsi="Arial"/>
                <w:sz w:val="16"/>
                <w:szCs w:val="16"/>
                <w:color w:val="auto"/>
              </w:rPr>
              <w:t>Bank of America N.A.</w:t>
            </w:r>
          </w:p>
        </w:tc>
        <w:tc>
          <w:tcPr>
            <w:tcW w:w="1360" w:type="dxa"/>
            <w:vAlign w:val="bottom"/>
          </w:tcPr>
          <w:p>
            <w:pPr>
              <w:jc w:val="right"/>
              <w:spacing w:after="0"/>
              <w:rPr>
                <w:sz w:val="20"/>
                <w:szCs w:val="20"/>
                <w:color w:val="auto"/>
              </w:rPr>
            </w:pPr>
            <w:r>
              <w:rPr>
                <w:rFonts w:ascii="Arial" w:cs="Arial" w:eastAsia="Arial" w:hAnsi="Arial"/>
                <w:sz w:val="16"/>
                <w:szCs w:val="16"/>
                <w:color w:val="auto"/>
              </w:rPr>
              <w:t>1,019,975</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Club Deal Loan (i)</w:t>
            </w:r>
          </w:p>
        </w:tc>
        <w:tc>
          <w:tcPr>
            <w:tcW w:w="1360" w:type="dxa"/>
            <w:vAlign w:val="bottom"/>
          </w:tcPr>
          <w:p>
            <w:pPr>
              <w:jc w:val="right"/>
              <w:spacing w:after="0"/>
              <w:rPr>
                <w:sz w:val="20"/>
                <w:szCs w:val="20"/>
                <w:color w:val="auto"/>
              </w:rPr>
            </w:pPr>
            <w:r>
              <w:rPr>
                <w:rFonts w:ascii="Arial" w:cs="Arial" w:eastAsia="Arial" w:hAnsi="Arial"/>
                <w:sz w:val="16"/>
                <w:szCs w:val="16"/>
                <w:color w:val="auto"/>
              </w:rPr>
              <w:t>923,965</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946,605</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Wells Fargo Bank N.A.</w:t>
            </w:r>
          </w:p>
        </w:tc>
        <w:tc>
          <w:tcPr>
            <w:tcW w:w="1360" w:type="dxa"/>
            <w:vAlign w:val="bottom"/>
          </w:tcPr>
          <w:p>
            <w:pPr>
              <w:jc w:val="right"/>
              <w:spacing w:after="0"/>
              <w:rPr>
                <w:sz w:val="20"/>
                <w:szCs w:val="20"/>
                <w:color w:val="auto"/>
              </w:rPr>
            </w:pPr>
            <w:r>
              <w:rPr>
                <w:rFonts w:ascii="Arial" w:cs="Arial" w:eastAsia="Arial" w:hAnsi="Arial"/>
                <w:sz w:val="16"/>
                <w:szCs w:val="16"/>
                <w:color w:val="auto"/>
              </w:rPr>
              <w:t>898,275</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190,699</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Bank of New York Mellon</w:t>
            </w:r>
          </w:p>
        </w:tc>
        <w:tc>
          <w:tcPr>
            <w:tcW w:w="1360" w:type="dxa"/>
            <w:vAlign w:val="bottom"/>
          </w:tcPr>
          <w:p>
            <w:pPr>
              <w:jc w:val="right"/>
              <w:spacing w:after="0"/>
              <w:rPr>
                <w:sz w:val="20"/>
                <w:szCs w:val="20"/>
                <w:color w:val="auto"/>
              </w:rPr>
            </w:pPr>
            <w:r>
              <w:rPr>
                <w:rFonts w:ascii="Arial" w:cs="Arial" w:eastAsia="Arial" w:hAnsi="Arial"/>
                <w:sz w:val="16"/>
                <w:szCs w:val="16"/>
                <w:color w:val="auto"/>
              </w:rPr>
              <w:t>593,440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572,100</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International Finance Corporation (IFC) (ii)</w:t>
            </w:r>
          </w:p>
        </w:tc>
        <w:tc>
          <w:tcPr>
            <w:tcW w:w="1360" w:type="dxa"/>
            <w:vAlign w:val="bottom"/>
          </w:tcPr>
          <w:p>
            <w:pPr>
              <w:jc w:val="right"/>
              <w:spacing w:after="0"/>
              <w:rPr>
                <w:sz w:val="20"/>
                <w:szCs w:val="20"/>
                <w:color w:val="auto"/>
              </w:rPr>
            </w:pPr>
            <w:r>
              <w:rPr>
                <w:rFonts w:ascii="Arial" w:cs="Arial" w:eastAsia="Arial" w:hAnsi="Arial"/>
                <w:sz w:val="16"/>
                <w:szCs w:val="16"/>
                <w:color w:val="auto"/>
              </w:rPr>
              <w:t>567,240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382,840</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Standard Chartered Bank Hong Kong LTD</w:t>
            </w:r>
          </w:p>
        </w:tc>
        <w:tc>
          <w:tcPr>
            <w:tcW w:w="1360" w:type="dxa"/>
            <w:vAlign w:val="bottom"/>
          </w:tcPr>
          <w:p>
            <w:pPr>
              <w:jc w:val="right"/>
              <w:spacing w:after="0"/>
              <w:rPr>
                <w:sz w:val="20"/>
                <w:szCs w:val="20"/>
                <w:color w:val="auto"/>
              </w:rPr>
            </w:pPr>
            <w:r>
              <w:rPr>
                <w:rFonts w:ascii="Arial" w:cs="Arial" w:eastAsia="Arial" w:hAnsi="Arial"/>
                <w:sz w:val="16"/>
                <w:szCs w:val="16"/>
                <w:color w:val="auto"/>
              </w:rPr>
              <w:t>483,654</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Sumitomo Mitsui Banking Corporation</w:t>
            </w:r>
          </w:p>
        </w:tc>
        <w:tc>
          <w:tcPr>
            <w:tcW w:w="1360" w:type="dxa"/>
            <w:vAlign w:val="bottom"/>
          </w:tcPr>
          <w:p>
            <w:pPr>
              <w:jc w:val="right"/>
              <w:spacing w:after="0"/>
              <w:rPr>
                <w:sz w:val="20"/>
                <w:szCs w:val="20"/>
                <w:color w:val="auto"/>
              </w:rPr>
            </w:pPr>
            <w:r>
              <w:rPr>
                <w:rFonts w:ascii="Arial" w:cs="Arial" w:eastAsia="Arial" w:hAnsi="Arial"/>
                <w:sz w:val="16"/>
                <w:szCs w:val="16"/>
                <w:color w:val="auto"/>
              </w:rPr>
              <w:t>426,535</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Corporación Financiera de Desarrollo (COFIDE)</w:t>
            </w:r>
          </w:p>
        </w:tc>
        <w:tc>
          <w:tcPr>
            <w:tcW w:w="1360" w:type="dxa"/>
            <w:vAlign w:val="bottom"/>
          </w:tcPr>
          <w:p>
            <w:pPr>
              <w:jc w:val="right"/>
              <w:spacing w:after="0"/>
              <w:rPr>
                <w:sz w:val="20"/>
                <w:szCs w:val="20"/>
                <w:color w:val="auto"/>
              </w:rPr>
            </w:pPr>
            <w:r>
              <w:rPr>
                <w:rFonts w:ascii="Arial" w:cs="Arial" w:eastAsia="Arial" w:hAnsi="Arial"/>
                <w:sz w:val="16"/>
                <w:szCs w:val="16"/>
                <w:color w:val="auto"/>
              </w:rPr>
              <w:t>409,890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503,538</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Caixabank</w:t>
            </w:r>
          </w:p>
        </w:tc>
        <w:tc>
          <w:tcPr>
            <w:tcW w:w="1360" w:type="dxa"/>
            <w:vAlign w:val="bottom"/>
          </w:tcPr>
          <w:p>
            <w:pPr>
              <w:jc w:val="right"/>
              <w:spacing w:after="0"/>
              <w:rPr>
                <w:sz w:val="20"/>
                <w:szCs w:val="20"/>
                <w:color w:val="auto"/>
              </w:rPr>
            </w:pPr>
            <w:r>
              <w:rPr>
                <w:rFonts w:ascii="Arial" w:cs="Arial" w:eastAsia="Arial" w:hAnsi="Arial"/>
                <w:sz w:val="16"/>
                <w:szCs w:val="16"/>
                <w:color w:val="auto"/>
              </w:rPr>
              <w:t>370,900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190,700</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Commerzbank AG</w:t>
            </w:r>
          </w:p>
        </w:tc>
        <w:tc>
          <w:tcPr>
            <w:tcW w:w="1360" w:type="dxa"/>
            <w:vAlign w:val="bottom"/>
          </w:tcPr>
          <w:p>
            <w:pPr>
              <w:jc w:val="right"/>
              <w:spacing w:after="0"/>
              <w:rPr>
                <w:sz w:val="20"/>
                <w:szCs w:val="20"/>
                <w:color w:val="auto"/>
              </w:rPr>
            </w:pPr>
            <w:r>
              <w:rPr>
                <w:rFonts w:ascii="Arial" w:cs="Arial" w:eastAsia="Arial" w:hAnsi="Arial"/>
                <w:sz w:val="16"/>
                <w:szCs w:val="16"/>
                <w:color w:val="auto"/>
              </w:rPr>
              <w:t>370,900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Banco de la Nación</w:t>
            </w:r>
          </w:p>
        </w:tc>
        <w:tc>
          <w:tcPr>
            <w:tcW w:w="1360" w:type="dxa"/>
            <w:vAlign w:val="bottom"/>
          </w:tcPr>
          <w:p>
            <w:pPr>
              <w:jc w:val="right"/>
              <w:spacing w:after="0"/>
              <w:rPr>
                <w:sz w:val="20"/>
                <w:szCs w:val="20"/>
                <w:color w:val="auto"/>
              </w:rPr>
            </w:pPr>
            <w:r>
              <w:rPr>
                <w:rFonts w:ascii="Arial" w:cs="Arial" w:eastAsia="Arial" w:hAnsi="Arial"/>
                <w:sz w:val="16"/>
                <w:szCs w:val="16"/>
                <w:color w:val="auto"/>
              </w:rPr>
              <w:t>355,000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Citibank N.A.</w:t>
            </w:r>
          </w:p>
        </w:tc>
        <w:tc>
          <w:tcPr>
            <w:tcW w:w="1360" w:type="dxa"/>
            <w:vAlign w:val="bottom"/>
          </w:tcPr>
          <w:p>
            <w:pPr>
              <w:jc w:val="right"/>
              <w:spacing w:after="0"/>
              <w:rPr>
                <w:sz w:val="20"/>
                <w:szCs w:val="20"/>
                <w:color w:val="auto"/>
              </w:rPr>
            </w:pPr>
            <w:r>
              <w:rPr>
                <w:rFonts w:ascii="Arial" w:cs="Arial" w:eastAsia="Arial" w:hAnsi="Arial"/>
                <w:sz w:val="16"/>
                <w:szCs w:val="16"/>
                <w:color w:val="auto"/>
              </w:rPr>
              <w:t>185,450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381,400</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Zürcher Kantonalbank</w:t>
            </w:r>
          </w:p>
        </w:tc>
        <w:tc>
          <w:tcPr>
            <w:tcW w:w="1360" w:type="dxa"/>
            <w:vAlign w:val="bottom"/>
          </w:tcPr>
          <w:p>
            <w:pPr>
              <w:jc w:val="right"/>
              <w:spacing w:after="0"/>
              <w:rPr>
                <w:sz w:val="20"/>
                <w:szCs w:val="20"/>
                <w:color w:val="auto"/>
              </w:rPr>
            </w:pPr>
            <w:r>
              <w:rPr>
                <w:rFonts w:ascii="Arial" w:cs="Arial" w:eastAsia="Arial" w:hAnsi="Arial"/>
                <w:sz w:val="16"/>
                <w:szCs w:val="16"/>
                <w:color w:val="auto"/>
              </w:rPr>
              <w:t>185,450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95,350</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Bradesco Bac Florida Bank</w:t>
            </w:r>
          </w:p>
        </w:tc>
        <w:tc>
          <w:tcPr>
            <w:tcW w:w="1360" w:type="dxa"/>
            <w:vAlign w:val="bottom"/>
          </w:tcPr>
          <w:p>
            <w:pPr>
              <w:jc w:val="right"/>
              <w:spacing w:after="0"/>
              <w:rPr>
                <w:sz w:val="20"/>
                <w:szCs w:val="20"/>
                <w:color w:val="auto"/>
              </w:rPr>
            </w:pPr>
            <w:r>
              <w:rPr>
                <w:rFonts w:ascii="Arial" w:cs="Arial" w:eastAsia="Arial" w:hAnsi="Arial"/>
                <w:sz w:val="16"/>
                <w:szCs w:val="16"/>
                <w:color w:val="auto"/>
              </w:rPr>
              <w:t>92,725</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76,280</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Banco BBVA Perú</w:t>
            </w:r>
          </w:p>
        </w:tc>
        <w:tc>
          <w:tcPr>
            <w:tcW w:w="1360" w:type="dxa"/>
            <w:vAlign w:val="bottom"/>
          </w:tcPr>
          <w:p>
            <w:pPr>
              <w:jc w:val="right"/>
              <w:spacing w:after="0"/>
              <w:rPr>
                <w:sz w:val="20"/>
                <w:szCs w:val="20"/>
                <w:color w:val="auto"/>
              </w:rPr>
            </w:pPr>
            <w:r>
              <w:rPr>
                <w:rFonts w:ascii="Arial" w:cs="Arial" w:eastAsia="Arial" w:hAnsi="Arial"/>
                <w:sz w:val="16"/>
                <w:szCs w:val="16"/>
                <w:color w:val="auto"/>
              </w:rPr>
              <w:t>60,000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114,000</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Bancolombia S.A.</w:t>
            </w:r>
          </w:p>
        </w:tc>
        <w:tc>
          <w:tcPr>
            <w:tcW w:w="1360" w:type="dxa"/>
            <w:vAlign w:val="bottom"/>
          </w:tcPr>
          <w:p>
            <w:pPr>
              <w:jc w:val="right"/>
              <w:spacing w:after="0"/>
              <w:rPr>
                <w:sz w:val="20"/>
                <w:szCs w:val="20"/>
                <w:color w:val="auto"/>
              </w:rPr>
            </w:pPr>
            <w:r>
              <w:rPr>
                <w:rFonts w:ascii="Arial" w:cs="Arial" w:eastAsia="Arial" w:hAnsi="Arial"/>
                <w:sz w:val="16"/>
                <w:szCs w:val="16"/>
                <w:color w:val="auto"/>
              </w:rPr>
              <w:t>58,171</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59,604</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Banco Bisa S.A.</w:t>
            </w:r>
          </w:p>
        </w:tc>
        <w:tc>
          <w:tcPr>
            <w:tcW w:w="1360" w:type="dxa"/>
            <w:vAlign w:val="bottom"/>
          </w:tcPr>
          <w:p>
            <w:pPr>
              <w:jc w:val="right"/>
              <w:spacing w:after="0"/>
              <w:rPr>
                <w:sz w:val="20"/>
                <w:szCs w:val="20"/>
                <w:color w:val="auto"/>
              </w:rPr>
            </w:pPr>
            <w:r>
              <w:rPr>
                <w:rFonts w:ascii="Arial" w:cs="Arial" w:eastAsia="Arial" w:hAnsi="Arial"/>
                <w:sz w:val="16"/>
                <w:szCs w:val="16"/>
                <w:color w:val="auto"/>
              </w:rPr>
              <w:t>51,364</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Banco Nacional de Bolivia S.A.</w:t>
            </w:r>
          </w:p>
        </w:tc>
        <w:tc>
          <w:tcPr>
            <w:tcW w:w="1360" w:type="dxa"/>
            <w:vAlign w:val="bottom"/>
          </w:tcPr>
          <w:p>
            <w:pPr>
              <w:jc w:val="right"/>
              <w:spacing w:after="0"/>
              <w:rPr>
                <w:sz w:val="20"/>
                <w:szCs w:val="20"/>
                <w:color w:val="auto"/>
              </w:rPr>
            </w:pPr>
            <w:r>
              <w:rPr>
                <w:rFonts w:ascii="Arial" w:cs="Arial" w:eastAsia="Arial" w:hAnsi="Arial"/>
                <w:sz w:val="16"/>
                <w:szCs w:val="16"/>
                <w:color w:val="auto"/>
              </w:rPr>
              <w:t>50,994</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Banco Internacional del Perú S.A.A. (Interbank) (iii)</w:t>
            </w:r>
          </w:p>
        </w:tc>
        <w:tc>
          <w:tcPr>
            <w:tcW w:w="1360" w:type="dxa"/>
            <w:vAlign w:val="bottom"/>
          </w:tcPr>
          <w:p>
            <w:pPr>
              <w:jc w:val="right"/>
              <w:spacing w:after="0"/>
              <w:rPr>
                <w:sz w:val="20"/>
                <w:szCs w:val="20"/>
                <w:color w:val="auto"/>
              </w:rPr>
            </w:pPr>
            <w:r>
              <w:rPr>
                <w:rFonts w:ascii="Arial" w:cs="Arial" w:eastAsia="Arial" w:hAnsi="Arial"/>
                <w:sz w:val="16"/>
                <w:szCs w:val="16"/>
                <w:color w:val="auto"/>
              </w:rPr>
              <w:t>50,933</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150,000</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ICBC Perú Bank S.A.</w:t>
            </w:r>
          </w:p>
        </w:tc>
        <w:tc>
          <w:tcPr>
            <w:tcW w:w="1360" w:type="dxa"/>
            <w:vAlign w:val="bottom"/>
          </w:tcPr>
          <w:p>
            <w:pPr>
              <w:jc w:val="right"/>
              <w:spacing w:after="0"/>
              <w:rPr>
                <w:sz w:val="20"/>
                <w:szCs w:val="20"/>
                <w:color w:val="auto"/>
              </w:rPr>
            </w:pPr>
            <w:r>
              <w:rPr>
                <w:rFonts w:ascii="Arial" w:cs="Arial" w:eastAsia="Arial" w:hAnsi="Arial"/>
                <w:sz w:val="16"/>
                <w:szCs w:val="16"/>
                <w:color w:val="auto"/>
              </w:rPr>
              <w:t>50,000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Banco de Occidente</w:t>
            </w:r>
          </w:p>
        </w:tc>
        <w:tc>
          <w:tcPr>
            <w:tcW w:w="1360" w:type="dxa"/>
            <w:vAlign w:val="bottom"/>
          </w:tcPr>
          <w:p>
            <w:pPr>
              <w:jc w:val="right"/>
              <w:spacing w:after="0"/>
              <w:rPr>
                <w:sz w:val="20"/>
                <w:szCs w:val="20"/>
                <w:color w:val="auto"/>
              </w:rPr>
            </w:pPr>
            <w:r>
              <w:rPr>
                <w:rFonts w:ascii="Arial" w:cs="Arial" w:eastAsia="Arial" w:hAnsi="Arial"/>
                <w:sz w:val="16"/>
                <w:szCs w:val="16"/>
                <w:color w:val="auto"/>
              </w:rPr>
              <w:t>47,463</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84,096</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Bancoldex</w:t>
            </w:r>
          </w:p>
        </w:tc>
        <w:tc>
          <w:tcPr>
            <w:tcW w:w="1360" w:type="dxa"/>
            <w:vAlign w:val="bottom"/>
          </w:tcPr>
          <w:p>
            <w:pPr>
              <w:jc w:val="right"/>
              <w:spacing w:after="0"/>
              <w:rPr>
                <w:sz w:val="20"/>
                <w:szCs w:val="20"/>
                <w:color w:val="auto"/>
              </w:rPr>
            </w:pPr>
            <w:r>
              <w:rPr>
                <w:rFonts w:ascii="Arial" w:cs="Arial" w:eastAsia="Arial" w:hAnsi="Arial"/>
                <w:sz w:val="16"/>
                <w:szCs w:val="16"/>
                <w:color w:val="auto"/>
              </w:rPr>
              <w:t>45,292</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126,957</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Standard Chartered Bank</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266,923</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Scotiabank Perú S.A.A.</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120,000</w:t>
            </w:r>
          </w:p>
        </w:tc>
      </w:tr>
      <w:tr>
        <w:trPr>
          <w:trHeight w:val="183"/>
        </w:trPr>
        <w:tc>
          <w:tcPr>
            <w:tcW w:w="7520" w:type="dxa"/>
            <w:vAlign w:val="bottom"/>
          </w:tcPr>
          <w:p>
            <w:pPr>
              <w:ind w:left="340"/>
              <w:spacing w:after="0"/>
              <w:rPr>
                <w:sz w:val="20"/>
                <w:szCs w:val="20"/>
                <w:color w:val="auto"/>
              </w:rPr>
            </w:pPr>
            <w:r>
              <w:rPr>
                <w:rFonts w:ascii="Arial" w:cs="Arial" w:eastAsia="Arial" w:hAnsi="Arial"/>
                <w:sz w:val="16"/>
                <w:szCs w:val="16"/>
                <w:color w:val="auto"/>
              </w:rPr>
              <w:t>The Toronto Dominion Bank</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247,910</w:t>
            </w:r>
          </w:p>
        </w:tc>
      </w:tr>
      <w:tr>
        <w:trPr>
          <w:trHeight w:val="200"/>
        </w:trPr>
        <w:tc>
          <w:tcPr>
            <w:tcW w:w="7520" w:type="dxa"/>
            <w:vAlign w:val="bottom"/>
          </w:tcPr>
          <w:p>
            <w:pPr>
              <w:ind w:left="340"/>
              <w:spacing w:after="0"/>
              <w:rPr>
                <w:sz w:val="20"/>
                <w:szCs w:val="20"/>
                <w:color w:val="auto"/>
              </w:rPr>
            </w:pPr>
            <w:r>
              <w:rPr>
                <w:rFonts w:ascii="Arial" w:cs="Arial" w:eastAsia="Arial" w:hAnsi="Arial"/>
                <w:sz w:val="16"/>
                <w:szCs w:val="16"/>
                <w:color w:val="auto"/>
              </w:rPr>
              <w:t>Others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65,118</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85,466</w:t>
            </w:r>
          </w:p>
        </w:tc>
      </w:tr>
      <w:tr>
        <w:trPr>
          <w:trHeight w:val="175"/>
        </w:trPr>
        <w:tc>
          <w:tcPr>
            <w:tcW w:w="7520" w:type="dxa"/>
            <w:vAlign w:val="bottom"/>
          </w:tcPr>
          <w:p>
            <w:pPr>
              <w:ind w:left="340"/>
              <w:spacing w:after="0" w:line="175" w:lineRule="exact"/>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7,362,734</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4,694,617</w:t>
            </w:r>
          </w:p>
        </w:tc>
      </w:tr>
    </w:tbl>
    <w:p>
      <w:pPr>
        <w:spacing w:after="0" w:line="166" w:lineRule="exact"/>
        <w:rPr>
          <w:sz w:val="20"/>
          <w:szCs w:val="20"/>
          <w:color w:val="auto"/>
        </w:rPr>
      </w:pPr>
    </w:p>
    <w:p>
      <w:pPr>
        <w:jc w:val="both"/>
        <w:ind w:left="700" w:right="280"/>
        <w:spacing w:after="0" w:line="259" w:lineRule="auto"/>
        <w:rPr>
          <w:sz w:val="20"/>
          <w:szCs w:val="20"/>
          <w:color w:val="auto"/>
        </w:rPr>
      </w:pPr>
      <w:r>
        <w:rPr>
          <w:rFonts w:ascii="Arial" w:cs="Arial" w:eastAsia="Arial" w:hAnsi="Arial"/>
          <w:sz w:val="16"/>
          <w:szCs w:val="16"/>
          <w:color w:val="auto"/>
        </w:rPr>
        <w:t>As of December 31, 2023, the loans have maturities between January 2024 and April 2035 (between January 2023 and December 2031, as of December 31, 2022) and accrue interest in soles currency at rates that fluctuate between 2.23 percent and 9.33 percent (between 2.23 percent and 9.45 percent, as of December 31, 2022) and accrue interest in foreign currency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80" w:type="dxa"/>
            <w:vAlign w:val="bottom"/>
            <w:gridSpan w:val="2"/>
          </w:tcPr>
          <w:p>
            <w:pPr>
              <w:ind w:left="4720"/>
              <w:spacing w:after="0"/>
              <w:rPr>
                <w:sz w:val="20"/>
                <w:szCs w:val="20"/>
                <w:color w:val="auto"/>
              </w:rPr>
            </w:pPr>
            <w:r>
              <w:rPr>
                <w:rFonts w:ascii="Arial" w:cs="Arial" w:eastAsia="Arial" w:hAnsi="Arial"/>
                <w:sz w:val="16"/>
                <w:szCs w:val="16"/>
                <w:b w:val="1"/>
                <w:bCs w:val="1"/>
                <w:color w:val="auto"/>
              </w:rPr>
              <w:t>2023</w:t>
            </w:r>
          </w:p>
        </w:tc>
        <w:tc>
          <w:tcPr>
            <w:tcW w:w="1520" w:type="dxa"/>
            <w:vAlign w:val="bottom"/>
          </w:tcPr>
          <w:p>
            <w:pPr>
              <w:spacing w:after="0"/>
              <w:rPr>
                <w:sz w:val="17"/>
                <w:szCs w:val="17"/>
                <w:color w:val="auto"/>
              </w:rPr>
            </w:pPr>
          </w:p>
        </w:tc>
        <w:tc>
          <w:tcPr>
            <w:tcW w:w="1540" w:type="dxa"/>
            <w:vAlign w:val="bottom"/>
            <w:gridSpan w:val="3"/>
          </w:tcPr>
          <w:p>
            <w:pPr>
              <w:ind w:left="900"/>
              <w:spacing w:after="0"/>
              <w:rPr>
                <w:sz w:val="20"/>
                <w:szCs w:val="20"/>
                <w:color w:val="auto"/>
              </w:rPr>
            </w:pPr>
            <w:r>
              <w:rPr>
                <w:rFonts w:ascii="Arial" w:cs="Arial" w:eastAsia="Arial" w:hAnsi="Arial"/>
                <w:sz w:val="16"/>
                <w:szCs w:val="16"/>
                <w:b w:val="1"/>
                <w:bCs w:val="1"/>
                <w:color w:val="auto"/>
              </w:rPr>
              <w:t>2022</w:t>
            </w: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59"/>
        </w:trPr>
        <w:tc>
          <w:tcPr>
            <w:tcW w:w="4720" w:type="dxa"/>
            <w:vAlign w:val="bottom"/>
          </w:tcPr>
          <w:p>
            <w:pPr>
              <w:spacing w:after="0"/>
              <w:rPr>
                <w:sz w:val="13"/>
                <w:szCs w:val="13"/>
                <w:color w:val="auto"/>
              </w:rPr>
            </w:pPr>
          </w:p>
        </w:tc>
        <w:tc>
          <w:tcPr>
            <w:tcW w:w="56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Min</w:t>
            </w:r>
          </w:p>
        </w:tc>
        <w:tc>
          <w:tcPr>
            <w:tcW w:w="1520" w:type="dxa"/>
            <w:vAlign w:val="bottom"/>
            <w:tcBorders>
              <w:top w:val="single" w:sz="8" w:color="auto"/>
            </w:tcBorders>
          </w:tcPr>
          <w:p>
            <w:pPr>
              <w:ind w:left="920"/>
              <w:spacing w:after="0" w:line="159" w:lineRule="exact"/>
              <w:rPr>
                <w:sz w:val="20"/>
                <w:szCs w:val="20"/>
                <w:color w:val="auto"/>
              </w:rPr>
            </w:pPr>
            <w:r>
              <w:rPr>
                <w:rFonts w:ascii="Arial" w:cs="Arial" w:eastAsia="Arial" w:hAnsi="Arial"/>
                <w:sz w:val="16"/>
                <w:szCs w:val="16"/>
                <w:b w:val="1"/>
                <w:bCs w:val="1"/>
                <w:color w:val="auto"/>
              </w:rPr>
              <w:t>Max</w:t>
            </w: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Min</w:t>
            </w:r>
          </w:p>
        </w:tc>
        <w:tc>
          <w:tcPr>
            <w:tcW w:w="7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ind w:left="100"/>
              <w:spacing w:after="0" w:line="159" w:lineRule="exact"/>
              <w:rPr>
                <w:sz w:val="20"/>
                <w:szCs w:val="20"/>
                <w:color w:val="auto"/>
              </w:rPr>
            </w:pPr>
            <w:r>
              <w:rPr>
                <w:rFonts w:ascii="Arial" w:cs="Arial" w:eastAsia="Arial" w:hAnsi="Arial"/>
                <w:sz w:val="16"/>
                <w:szCs w:val="16"/>
                <w:b w:val="1"/>
                <w:bCs w:val="1"/>
                <w:color w:val="auto"/>
              </w:rPr>
              <w:t>Max</w:t>
            </w:r>
          </w:p>
        </w:tc>
        <w:tc>
          <w:tcPr>
            <w:tcW w:w="840" w:type="dxa"/>
            <w:vAlign w:val="bottom"/>
          </w:tcPr>
          <w:p>
            <w:pPr>
              <w:spacing w:after="0"/>
              <w:rPr>
                <w:sz w:val="13"/>
                <w:szCs w:val="13"/>
                <w:color w:val="auto"/>
              </w:rPr>
            </w:pPr>
          </w:p>
        </w:tc>
      </w:tr>
      <w:tr>
        <w:trPr>
          <w:trHeight w:val="183"/>
        </w:trPr>
        <w:tc>
          <w:tcPr>
            <w:tcW w:w="5280" w:type="dxa"/>
            <w:vAlign w:val="bottom"/>
            <w:gridSpan w:val="2"/>
          </w:tcPr>
          <w:p>
            <w:pPr>
              <w:ind w:left="4720"/>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ind w:left="920"/>
              <w:spacing w:after="0"/>
              <w:rPr>
                <w:sz w:val="20"/>
                <w:szCs w:val="20"/>
                <w:color w:val="auto"/>
              </w:rPr>
            </w:pPr>
            <w:r>
              <w:rPr>
                <w:rFonts w:ascii="Arial" w:cs="Arial" w:eastAsia="Arial" w:hAnsi="Arial"/>
                <w:sz w:val="16"/>
                <w:szCs w:val="16"/>
                <w:b w:val="1"/>
                <w:bCs w:val="1"/>
                <w:color w:val="auto"/>
              </w:rPr>
              <w:t>%</w:t>
            </w:r>
          </w:p>
        </w:tc>
        <w:tc>
          <w:tcPr>
            <w:tcW w:w="1540" w:type="dxa"/>
            <w:vAlign w:val="bottom"/>
            <w:gridSpan w:val="3"/>
          </w:tcPr>
          <w:p>
            <w:pPr>
              <w:ind w:left="9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spacing w:after="0"/>
              <w:rPr>
                <w:sz w:val="15"/>
                <w:szCs w:val="15"/>
                <w:color w:val="auto"/>
              </w:rPr>
            </w:pPr>
          </w:p>
        </w:tc>
      </w:tr>
      <w:tr>
        <w:trPr>
          <w:trHeight w:val="183"/>
        </w:trPr>
        <w:tc>
          <w:tcPr>
            <w:tcW w:w="5280" w:type="dxa"/>
            <w:vAlign w:val="bottom"/>
            <w:gridSpan w:val="2"/>
          </w:tcPr>
          <w:p>
            <w:pPr>
              <w:ind w:left="700"/>
              <w:spacing w:after="0"/>
              <w:rPr>
                <w:sz w:val="20"/>
                <w:szCs w:val="20"/>
                <w:color w:val="auto"/>
              </w:rPr>
            </w:pPr>
            <w:r>
              <w:rPr>
                <w:rFonts w:ascii="Arial" w:cs="Arial" w:eastAsia="Arial" w:hAnsi="Arial"/>
                <w:sz w:val="16"/>
                <w:szCs w:val="16"/>
                <w:color w:val="auto"/>
              </w:rPr>
              <w:t>Boliviano</w:t>
            </w:r>
          </w:p>
        </w:tc>
        <w:tc>
          <w:tcPr>
            <w:tcW w:w="1520" w:type="dxa"/>
            <w:vAlign w:val="bottom"/>
          </w:tcPr>
          <w:p>
            <w:pPr>
              <w:jc w:val="right"/>
              <w:ind w:right="739"/>
              <w:spacing w:after="0"/>
              <w:rPr>
                <w:sz w:val="20"/>
                <w:szCs w:val="20"/>
                <w:color w:val="auto"/>
              </w:rPr>
            </w:pPr>
            <w:r>
              <w:rPr>
                <w:rFonts w:ascii="Arial" w:cs="Arial" w:eastAsia="Arial" w:hAnsi="Arial"/>
                <w:sz w:val="16"/>
                <w:szCs w:val="16"/>
                <w:color w:val="auto"/>
              </w:rPr>
              <w:t>4.90</w:t>
            </w:r>
          </w:p>
        </w:tc>
        <w:tc>
          <w:tcPr>
            <w:tcW w:w="680" w:type="dxa"/>
            <w:vAlign w:val="bottom"/>
          </w:tcPr>
          <w:p>
            <w:pPr>
              <w:jc w:val="right"/>
              <w:spacing w:after="0"/>
              <w:rPr>
                <w:sz w:val="20"/>
                <w:szCs w:val="20"/>
                <w:color w:val="auto"/>
              </w:rPr>
            </w:pPr>
            <w:r>
              <w:rPr>
                <w:rFonts w:ascii="Arial" w:cs="Arial" w:eastAsia="Arial" w:hAnsi="Arial"/>
                <w:sz w:val="16"/>
                <w:szCs w:val="16"/>
                <w:color w:val="auto"/>
              </w:rPr>
              <w:t>6.90</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1360" w:type="dxa"/>
            <w:vAlign w:val="bottom"/>
          </w:tcPr>
          <w:p>
            <w:pPr>
              <w:jc w:val="right"/>
              <w:spacing w:after="0"/>
              <w:rPr>
                <w:sz w:val="20"/>
                <w:szCs w:val="20"/>
                <w:color w:val="auto"/>
              </w:rPr>
            </w:pPr>
            <w:r>
              <w:rPr>
                <w:rFonts w:ascii="Arial" w:cs="Arial" w:eastAsia="Arial" w:hAnsi="Arial"/>
                <w:sz w:val="16"/>
                <w:szCs w:val="16"/>
                <w:color w:val="auto"/>
              </w:rPr>
              <w:t>6.00</w:t>
            </w:r>
          </w:p>
        </w:tc>
        <w:tc>
          <w:tcPr>
            <w:tcW w:w="840" w:type="dxa"/>
            <w:vAlign w:val="bottom"/>
          </w:tcPr>
          <w:p>
            <w:pPr>
              <w:spacing w:after="0"/>
              <w:rPr>
                <w:sz w:val="15"/>
                <w:szCs w:val="15"/>
                <w:color w:val="auto"/>
              </w:rPr>
            </w:pPr>
          </w:p>
        </w:tc>
      </w:tr>
      <w:tr>
        <w:trPr>
          <w:trHeight w:val="183"/>
        </w:trPr>
        <w:tc>
          <w:tcPr>
            <w:tcW w:w="5280" w:type="dxa"/>
            <w:vAlign w:val="bottom"/>
            <w:gridSpan w:val="2"/>
          </w:tcPr>
          <w:p>
            <w:pPr>
              <w:ind w:left="700"/>
              <w:spacing w:after="0"/>
              <w:rPr>
                <w:sz w:val="20"/>
                <w:szCs w:val="20"/>
                <w:color w:val="auto"/>
              </w:rPr>
            </w:pPr>
            <w:r>
              <w:rPr>
                <w:rFonts w:ascii="Arial" w:cs="Arial" w:eastAsia="Arial" w:hAnsi="Arial"/>
                <w:sz w:val="16"/>
                <w:szCs w:val="16"/>
                <w:color w:val="auto"/>
              </w:rPr>
              <w:t>Colombian peso</w:t>
            </w:r>
          </w:p>
        </w:tc>
        <w:tc>
          <w:tcPr>
            <w:tcW w:w="1520" w:type="dxa"/>
            <w:vAlign w:val="bottom"/>
          </w:tcPr>
          <w:p>
            <w:pPr>
              <w:jc w:val="right"/>
              <w:ind w:right="739"/>
              <w:spacing w:after="0"/>
              <w:rPr>
                <w:sz w:val="20"/>
                <w:szCs w:val="20"/>
                <w:color w:val="auto"/>
              </w:rPr>
            </w:pPr>
            <w:r>
              <w:rPr>
                <w:rFonts w:ascii="Arial" w:cs="Arial" w:eastAsia="Arial" w:hAnsi="Arial"/>
                <w:sz w:val="16"/>
                <w:szCs w:val="16"/>
                <w:color w:val="auto"/>
              </w:rPr>
              <w:t>0.45</w:t>
            </w:r>
          </w:p>
        </w:tc>
        <w:tc>
          <w:tcPr>
            <w:tcW w:w="680" w:type="dxa"/>
            <w:vAlign w:val="bottom"/>
          </w:tcPr>
          <w:p>
            <w:pPr>
              <w:jc w:val="right"/>
              <w:spacing w:after="0"/>
              <w:rPr>
                <w:sz w:val="20"/>
                <w:szCs w:val="20"/>
                <w:color w:val="auto"/>
              </w:rPr>
            </w:pPr>
            <w:r>
              <w:rPr>
                <w:rFonts w:ascii="Arial" w:cs="Arial" w:eastAsia="Arial" w:hAnsi="Arial"/>
                <w:sz w:val="16"/>
                <w:szCs w:val="16"/>
                <w:color w:val="auto"/>
              </w:rPr>
              <w:t>17.64</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1360" w:type="dxa"/>
            <w:vAlign w:val="bottom"/>
          </w:tcPr>
          <w:p>
            <w:pPr>
              <w:jc w:val="right"/>
              <w:spacing w:after="0"/>
              <w:rPr>
                <w:sz w:val="20"/>
                <w:szCs w:val="20"/>
                <w:color w:val="auto"/>
              </w:rPr>
            </w:pPr>
            <w:r>
              <w:rPr>
                <w:rFonts w:ascii="Arial" w:cs="Arial" w:eastAsia="Arial" w:hAnsi="Arial"/>
                <w:sz w:val="16"/>
                <w:szCs w:val="16"/>
                <w:color w:val="auto"/>
              </w:rPr>
              <w:t>17.04</w:t>
            </w:r>
          </w:p>
        </w:tc>
        <w:tc>
          <w:tcPr>
            <w:tcW w:w="840" w:type="dxa"/>
            <w:vAlign w:val="bottom"/>
          </w:tcPr>
          <w:p>
            <w:pPr>
              <w:spacing w:after="0"/>
              <w:rPr>
                <w:sz w:val="15"/>
                <w:szCs w:val="15"/>
                <w:color w:val="auto"/>
              </w:rPr>
            </w:pPr>
          </w:p>
        </w:tc>
      </w:tr>
      <w:tr>
        <w:trPr>
          <w:trHeight w:val="215"/>
        </w:trPr>
        <w:tc>
          <w:tcPr>
            <w:tcW w:w="5280" w:type="dxa"/>
            <w:vAlign w:val="bottom"/>
            <w:gridSpan w:val="2"/>
          </w:tcPr>
          <w:p>
            <w:pPr>
              <w:ind w:left="700"/>
              <w:spacing w:after="0"/>
              <w:rPr>
                <w:sz w:val="20"/>
                <w:szCs w:val="20"/>
                <w:color w:val="auto"/>
              </w:rPr>
            </w:pPr>
            <w:r>
              <w:rPr>
                <w:rFonts w:ascii="Arial" w:cs="Arial" w:eastAsia="Arial" w:hAnsi="Arial"/>
                <w:sz w:val="16"/>
                <w:szCs w:val="16"/>
                <w:color w:val="auto"/>
              </w:rPr>
              <w:t>U.S. Dollar</w:t>
            </w:r>
          </w:p>
        </w:tc>
        <w:tc>
          <w:tcPr>
            <w:tcW w:w="1520" w:type="dxa"/>
            <w:vAlign w:val="bottom"/>
          </w:tcPr>
          <w:p>
            <w:pPr>
              <w:jc w:val="right"/>
              <w:ind w:right="739"/>
              <w:spacing w:after="0"/>
              <w:rPr>
                <w:sz w:val="20"/>
                <w:szCs w:val="20"/>
                <w:color w:val="auto"/>
              </w:rPr>
            </w:pPr>
            <w:r>
              <w:rPr>
                <w:rFonts w:ascii="Arial" w:cs="Arial" w:eastAsia="Arial" w:hAnsi="Arial"/>
                <w:sz w:val="16"/>
                <w:szCs w:val="16"/>
                <w:color w:val="auto"/>
              </w:rPr>
              <w:t>5.78</w:t>
            </w:r>
          </w:p>
        </w:tc>
        <w:tc>
          <w:tcPr>
            <w:tcW w:w="680" w:type="dxa"/>
            <w:vAlign w:val="bottom"/>
          </w:tcPr>
          <w:p>
            <w:pPr>
              <w:jc w:val="right"/>
              <w:spacing w:after="0"/>
              <w:rPr>
                <w:sz w:val="20"/>
                <w:szCs w:val="20"/>
                <w:color w:val="auto"/>
              </w:rPr>
            </w:pPr>
            <w:r>
              <w:rPr>
                <w:rFonts w:ascii="Arial" w:cs="Arial" w:eastAsia="Arial" w:hAnsi="Arial"/>
                <w:sz w:val="16"/>
                <w:szCs w:val="16"/>
                <w:color w:val="auto"/>
              </w:rPr>
              <w:t>7.09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360" w:type="dxa"/>
            <w:vAlign w:val="bottom"/>
          </w:tcPr>
          <w:p>
            <w:pPr>
              <w:jc w:val="right"/>
              <w:spacing w:after="0"/>
              <w:rPr>
                <w:sz w:val="20"/>
                <w:szCs w:val="20"/>
                <w:color w:val="auto"/>
              </w:rPr>
            </w:pPr>
            <w:r>
              <w:rPr>
                <w:rFonts w:ascii="Arial" w:cs="Arial" w:eastAsia="Arial" w:hAnsi="Arial"/>
                <w:sz w:val="16"/>
                <w:szCs w:val="16"/>
                <w:color w:val="auto"/>
              </w:rPr>
              <w:t>6.32</w:t>
            </w:r>
          </w:p>
        </w:tc>
        <w:tc>
          <w:tcPr>
            <w:tcW w:w="840" w:type="dxa"/>
            <w:vAlign w:val="bottom"/>
          </w:tcPr>
          <w:p>
            <w:pPr>
              <w:spacing w:after="0"/>
              <w:rPr>
                <w:sz w:val="18"/>
                <w:szCs w:val="18"/>
                <w:color w:val="auto"/>
              </w:rPr>
            </w:pPr>
          </w:p>
        </w:tc>
      </w:tr>
      <w:tr>
        <w:trPr>
          <w:trHeight w:val="525"/>
        </w:trPr>
        <w:tc>
          <w:tcPr>
            <w:tcW w:w="4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jc w:val="right"/>
              <w:ind w:right="959"/>
              <w:spacing w:after="0"/>
              <w:rPr>
                <w:sz w:val="20"/>
                <w:szCs w:val="20"/>
                <w:color w:val="auto"/>
              </w:rPr>
            </w:pPr>
            <w:r>
              <w:rPr>
                <w:rFonts w:ascii="Arial" w:cs="Arial" w:eastAsia="Arial" w:hAnsi="Arial"/>
                <w:sz w:val="16"/>
                <w:szCs w:val="16"/>
                <w:color w:val="auto"/>
              </w:rPr>
              <w:t>103</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8"/>
        </w:trPr>
        <w:tc>
          <w:tcPr>
            <w:tcW w:w="4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106" w:name="page107"/>
    <w:bookmarkEnd w:id="106"/>
    <w:p>
      <w:pPr>
        <w:ind w:left="540" w:right="260" w:hanging="218"/>
        <w:spacing w:after="0" w:line="259" w:lineRule="auto"/>
        <w:tabs>
          <w:tab w:leader="none" w:pos="5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balances as of December 31, 2023 and 2022, include a loan under Club Deal Loan for 25 months for US$250.0 million equivalent to S/927.3 million, having five foreign banks as borrowers: Wells Fargo Bank NY – Agent Administrative, Standard Chartered Bank, JP Morgan Chase Bank N.A., HSBC Bank and Bank of America.</w:t>
      </w:r>
    </w:p>
    <w:p>
      <w:pPr>
        <w:spacing w:after="0" w:line="137" w:lineRule="exact"/>
        <w:rPr>
          <w:sz w:val="20"/>
          <w:szCs w:val="20"/>
          <w:color w:val="auto"/>
        </w:rPr>
      </w:pPr>
    </w:p>
    <w:p>
      <w:pPr>
        <w:ind w:left="580" w:right="60"/>
        <w:spacing w:after="0" w:line="280" w:lineRule="auto"/>
        <w:rPr>
          <w:sz w:val="20"/>
          <w:szCs w:val="20"/>
          <w:color w:val="auto"/>
        </w:rPr>
      </w:pPr>
      <w:r>
        <w:rPr>
          <w:rFonts w:ascii="Arial" w:cs="Arial" w:eastAsia="Arial" w:hAnsi="Arial"/>
          <w:sz w:val="16"/>
          <w:szCs w:val="16"/>
          <w:color w:val="auto"/>
        </w:rPr>
        <w:t>Subsequently, in April 2023, JP Morgan Chase Bank carried out a partial assignment of its collection rights in favor of ICBC Perú Bank S.A. for US$20.0 million or S/74.2 million, making it the sixth borrower of the Deal Club.</w:t>
      </w:r>
    </w:p>
    <w:p>
      <w:pPr>
        <w:spacing w:after="0" w:line="120" w:lineRule="exact"/>
        <w:rPr>
          <w:sz w:val="20"/>
          <w:szCs w:val="20"/>
          <w:color w:val="auto"/>
        </w:rPr>
      </w:pPr>
    </w:p>
    <w:p>
      <w:pPr>
        <w:ind w:left="580"/>
        <w:spacing w:after="0" w:line="280" w:lineRule="auto"/>
        <w:rPr>
          <w:sz w:val="20"/>
          <w:szCs w:val="20"/>
          <w:color w:val="auto"/>
        </w:rPr>
      </w:pPr>
      <w:r>
        <w:rPr>
          <w:rFonts w:ascii="Arial" w:cs="Arial" w:eastAsia="Arial" w:hAnsi="Arial"/>
          <w:sz w:val="16"/>
          <w:szCs w:val="16"/>
          <w:color w:val="auto"/>
        </w:rPr>
        <w:t>The loan accrues interest at a 3-month SOFR variable rate plus a spread of 1.5 percent. Likewise, the expenses linked to said transaction were deferred and are coming accruing proportionally over the life of the loan.</w:t>
      </w:r>
    </w:p>
    <w:p>
      <w:pPr>
        <w:spacing w:after="0" w:line="120" w:lineRule="exact"/>
        <w:rPr>
          <w:sz w:val="20"/>
          <w:szCs w:val="20"/>
          <w:color w:val="auto"/>
        </w:rPr>
      </w:pPr>
    </w:p>
    <w:p>
      <w:pPr>
        <w:ind w:left="540" w:right="860" w:hanging="218"/>
        <w:spacing w:after="0" w:line="280" w:lineRule="auto"/>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 of December 31, 2023, Mibanco maintain cross currency swaps (CCS) that were designated as cash flow hedges of certain repo operations in U.S. dollars for a nominal amount of US$60.0 million, equivalent to S/222.5 million.</w:t>
      </w:r>
    </w:p>
    <w:p>
      <w:pPr>
        <w:spacing w:after="0" w:line="120" w:lineRule="exact"/>
        <w:rPr>
          <w:sz w:val="20"/>
          <w:szCs w:val="20"/>
          <w:color w:val="auto"/>
        </w:rPr>
      </w:pPr>
    </w:p>
    <w:p>
      <w:pPr>
        <w:ind w:left="540" w:right="720" w:hanging="219"/>
        <w:spacing w:after="0" w:line="280" w:lineRule="auto"/>
        <w:rPr>
          <w:sz w:val="20"/>
          <w:szCs w:val="20"/>
          <w:color w:val="auto"/>
        </w:rPr>
      </w:pPr>
      <w:r>
        <w:rPr>
          <w:rFonts w:ascii="Arial" w:cs="Arial" w:eastAsia="Arial" w:hAnsi="Arial"/>
          <w:sz w:val="16"/>
          <w:szCs w:val="16"/>
          <w:color w:val="auto"/>
        </w:rPr>
        <w:t>(iii)As of December 31, 2023, Mibanco maintain a foreign currency forward for a nominal amount of US$14.7 million, equivalent to S/54.4 million.</w:t>
      </w:r>
    </w:p>
    <w:p>
      <w:pPr>
        <w:spacing w:after="0" w:line="120" w:lineRule="exact"/>
        <w:rPr>
          <w:sz w:val="20"/>
          <w:szCs w:val="20"/>
          <w:color w:val="auto"/>
        </w:rPr>
      </w:pPr>
    </w:p>
    <w:p>
      <w:pPr>
        <w:ind w:left="300" w:right="40" w:hanging="296"/>
        <w:spacing w:after="0" w:line="247" w:lineRule="auto"/>
        <w:tabs>
          <w:tab w:leader="none" w:pos="3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Promotional credit lines represent loans granted by Corporación Financiera de Desarrollo and Fondo de Cooperación para el Desarrollo Social (COFIDE and FONCODES for their Spanish acronyms, respectively) to promote the development of Perú, they mature between January 2024 and January 2032 and bear annual interest in soles at rates that fluctuate between 3.50 percent and 7.60 percent and interest in foreign currency 7.75 percent as of December 31, 2023 (between January 2023 and January 2032 and with annual interest in soles between 3.50 percent and 7.60 percent and interest in foreign currency 7.75 percent as of December 31, 2022). These lines of credit are guaranteed with a portfolio of Fondo Mi Vivienda mortgage loans amounting to S/4,389.4 million and S/4,107.3 million, as of December 31, 2023 and 2022, respectively.</w:t>
      </w:r>
    </w:p>
    <w:p>
      <w:pPr>
        <w:spacing w:after="0" w:line="146" w:lineRule="exact"/>
        <w:rPr>
          <w:rFonts w:ascii="Arial" w:cs="Arial" w:eastAsia="Arial" w:hAnsi="Arial"/>
          <w:sz w:val="16"/>
          <w:szCs w:val="16"/>
          <w:color w:val="auto"/>
        </w:rPr>
      </w:pPr>
    </w:p>
    <w:p>
      <w:pPr>
        <w:ind w:left="300" w:right="40" w:hanging="296"/>
        <w:spacing w:after="0" w:line="280" w:lineRule="auto"/>
        <w:tabs>
          <w:tab w:leader="none" w:pos="3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following table presents the maturities of due to banks and correspondents as of December 31, 2023 and 2022 based on the period remaining to maturity:</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00"/>
        </w:trPr>
        <w:tc>
          <w:tcPr>
            <w:tcW w:w="6460" w:type="dxa"/>
            <w:vAlign w:val="bottom"/>
          </w:tcPr>
          <w:p>
            <w:pPr>
              <w:spacing w:after="0"/>
              <w:rPr>
                <w:sz w:val="17"/>
                <w:szCs w:val="17"/>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7"/>
                <w:szCs w:val="17"/>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r>
      <w:tr>
        <w:trPr>
          <w:trHeight w:val="216"/>
        </w:trPr>
        <w:tc>
          <w:tcPr>
            <w:tcW w:w="646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6"/>
                <w:szCs w:val="16"/>
                <w:b w:val="1"/>
                <w:bCs w:val="1"/>
                <w:color w:val="auto"/>
              </w:rPr>
              <w:t>S/(000)</w:t>
            </w:r>
          </w:p>
        </w:tc>
        <w:tc>
          <w:tcPr>
            <w:tcW w:w="24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6"/>
                <w:szCs w:val="16"/>
                <w:b w:val="1"/>
                <w:bCs w:val="1"/>
                <w:color w:val="auto"/>
              </w:rPr>
              <w:t>S/(000)</w:t>
            </w:r>
          </w:p>
        </w:tc>
      </w:tr>
      <w:tr>
        <w:trPr>
          <w:trHeight w:val="310"/>
        </w:trPr>
        <w:tc>
          <w:tcPr>
            <w:tcW w:w="6460" w:type="dxa"/>
            <w:vAlign w:val="bottom"/>
          </w:tcPr>
          <w:p>
            <w:pPr>
              <w:spacing w:after="0"/>
              <w:rPr>
                <w:sz w:val="20"/>
                <w:szCs w:val="20"/>
                <w:color w:val="auto"/>
              </w:rPr>
            </w:pPr>
            <w:r>
              <w:rPr>
                <w:rFonts w:ascii="Arial" w:cs="Arial" w:eastAsia="Arial" w:hAnsi="Arial"/>
                <w:sz w:val="16"/>
                <w:szCs w:val="16"/>
                <w:color w:val="auto"/>
              </w:rPr>
              <w:t>Up to 3 months</w:t>
            </w:r>
          </w:p>
        </w:tc>
        <w:tc>
          <w:tcPr>
            <w:tcW w:w="1420" w:type="dxa"/>
            <w:vAlign w:val="bottom"/>
          </w:tcPr>
          <w:p>
            <w:pPr>
              <w:jc w:val="right"/>
              <w:spacing w:after="0"/>
              <w:rPr>
                <w:sz w:val="20"/>
                <w:szCs w:val="20"/>
                <w:color w:val="auto"/>
              </w:rPr>
            </w:pPr>
            <w:r>
              <w:rPr>
                <w:rFonts w:ascii="Arial" w:cs="Arial" w:eastAsia="Arial" w:hAnsi="Arial"/>
                <w:sz w:val="16"/>
                <w:szCs w:val="16"/>
                <w:color w:val="auto"/>
              </w:rPr>
              <w:t>3,513,860</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1,420,872</w:t>
            </w:r>
          </w:p>
        </w:tc>
      </w:tr>
      <w:tr>
        <w:trPr>
          <w:trHeight w:val="183"/>
        </w:trPr>
        <w:tc>
          <w:tcPr>
            <w:tcW w:w="646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1420" w:type="dxa"/>
            <w:vAlign w:val="bottom"/>
          </w:tcPr>
          <w:p>
            <w:pPr>
              <w:jc w:val="right"/>
              <w:spacing w:after="0"/>
              <w:rPr>
                <w:sz w:val="20"/>
                <w:szCs w:val="20"/>
                <w:color w:val="auto"/>
              </w:rPr>
            </w:pPr>
            <w:r>
              <w:rPr>
                <w:rFonts w:ascii="Arial" w:cs="Arial" w:eastAsia="Arial" w:hAnsi="Arial"/>
                <w:sz w:val="16"/>
                <w:szCs w:val="16"/>
                <w:color w:val="auto"/>
              </w:rPr>
              <w:t>3,514,114</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1,562,224</w:t>
            </w:r>
          </w:p>
        </w:tc>
      </w:tr>
      <w:tr>
        <w:trPr>
          <w:trHeight w:val="183"/>
        </w:trPr>
        <w:tc>
          <w:tcPr>
            <w:tcW w:w="6460" w:type="dxa"/>
            <w:vAlign w:val="bottom"/>
          </w:tcPr>
          <w:p>
            <w:pPr>
              <w:spacing w:after="0"/>
              <w:rPr>
                <w:sz w:val="20"/>
                <w:szCs w:val="20"/>
                <w:color w:val="auto"/>
              </w:rPr>
            </w:pPr>
            <w:r>
              <w:rPr>
                <w:rFonts w:ascii="Arial" w:cs="Arial" w:eastAsia="Arial" w:hAnsi="Arial"/>
                <w:sz w:val="16"/>
                <w:szCs w:val="16"/>
                <w:color w:val="auto"/>
              </w:rPr>
              <w:t>From 1 to 3 years</w:t>
            </w:r>
          </w:p>
        </w:tc>
        <w:tc>
          <w:tcPr>
            <w:tcW w:w="1420" w:type="dxa"/>
            <w:vAlign w:val="bottom"/>
          </w:tcPr>
          <w:p>
            <w:pPr>
              <w:jc w:val="right"/>
              <w:spacing w:after="0"/>
              <w:rPr>
                <w:sz w:val="20"/>
                <w:szCs w:val="20"/>
                <w:color w:val="auto"/>
              </w:rPr>
            </w:pPr>
            <w:r>
              <w:rPr>
                <w:rFonts w:ascii="Arial" w:cs="Arial" w:eastAsia="Arial" w:hAnsi="Arial"/>
                <w:sz w:val="16"/>
                <w:szCs w:val="16"/>
                <w:color w:val="auto"/>
              </w:rPr>
              <w:t>1,568,163</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2,660,926</w:t>
            </w:r>
          </w:p>
        </w:tc>
      </w:tr>
      <w:tr>
        <w:trPr>
          <w:trHeight w:val="183"/>
        </w:trPr>
        <w:tc>
          <w:tcPr>
            <w:tcW w:w="6460" w:type="dxa"/>
            <w:vAlign w:val="bottom"/>
          </w:tcPr>
          <w:p>
            <w:pPr>
              <w:spacing w:after="0"/>
              <w:rPr>
                <w:sz w:val="20"/>
                <w:szCs w:val="20"/>
                <w:color w:val="auto"/>
              </w:rPr>
            </w:pPr>
            <w:r>
              <w:rPr>
                <w:rFonts w:ascii="Arial" w:cs="Arial" w:eastAsia="Arial" w:hAnsi="Arial"/>
                <w:sz w:val="16"/>
                <w:szCs w:val="16"/>
                <w:color w:val="auto"/>
              </w:rPr>
              <w:t>From 3 to 5 years</w:t>
            </w:r>
          </w:p>
        </w:tc>
        <w:tc>
          <w:tcPr>
            <w:tcW w:w="1420" w:type="dxa"/>
            <w:vAlign w:val="bottom"/>
          </w:tcPr>
          <w:p>
            <w:pPr>
              <w:jc w:val="right"/>
              <w:spacing w:after="0"/>
              <w:rPr>
                <w:sz w:val="20"/>
                <w:szCs w:val="20"/>
                <w:color w:val="auto"/>
              </w:rPr>
            </w:pPr>
            <w:r>
              <w:rPr>
                <w:rFonts w:ascii="Arial" w:cs="Arial" w:eastAsia="Arial" w:hAnsi="Arial"/>
                <w:sz w:val="16"/>
                <w:szCs w:val="16"/>
                <w:color w:val="auto"/>
              </w:rPr>
              <w:t>795,765</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694,308</w:t>
            </w:r>
          </w:p>
        </w:tc>
      </w:tr>
      <w:tr>
        <w:trPr>
          <w:trHeight w:val="200"/>
        </w:trPr>
        <w:tc>
          <w:tcPr>
            <w:tcW w:w="6460" w:type="dxa"/>
            <w:vAlign w:val="bottom"/>
          </w:tcPr>
          <w:p>
            <w:pPr>
              <w:spacing w:after="0"/>
              <w:rPr>
                <w:sz w:val="20"/>
                <w:szCs w:val="20"/>
                <w:color w:val="auto"/>
              </w:rPr>
            </w:pPr>
            <w:r>
              <w:rPr>
                <w:rFonts w:ascii="Arial" w:cs="Arial" w:eastAsia="Arial" w:hAnsi="Arial"/>
                <w:sz w:val="16"/>
                <w:szCs w:val="16"/>
                <w:color w:val="auto"/>
              </w:rPr>
              <w:t>More than 5 years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2,684,665</w:t>
            </w:r>
          </w:p>
        </w:tc>
        <w:tc>
          <w:tcPr>
            <w:tcW w:w="24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2,463,581</w:t>
            </w:r>
          </w:p>
        </w:tc>
      </w:tr>
      <w:tr>
        <w:trPr>
          <w:trHeight w:val="180"/>
        </w:trPr>
        <w:tc>
          <w:tcPr>
            <w:tcW w:w="646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14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12,076,567</w:t>
            </w:r>
          </w:p>
        </w:tc>
        <w:tc>
          <w:tcPr>
            <w:tcW w:w="240" w:type="dxa"/>
            <w:vAlign w:val="bottom"/>
          </w:tcPr>
          <w:p>
            <w:pPr>
              <w:spacing w:after="0"/>
              <w:rPr>
                <w:sz w:val="15"/>
                <w:szCs w:val="15"/>
                <w:color w:val="auto"/>
              </w:rPr>
            </w:pPr>
          </w:p>
        </w:tc>
        <w:tc>
          <w:tcPr>
            <w:tcW w:w="14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8,801,911</w:t>
            </w:r>
          </w:p>
        </w:tc>
      </w:tr>
    </w:tbl>
    <w:p>
      <w:pPr>
        <w:spacing w:after="0" w:line="166" w:lineRule="exact"/>
        <w:rPr>
          <w:sz w:val="20"/>
          <w:szCs w:val="20"/>
          <w:color w:val="auto"/>
        </w:rPr>
      </w:pPr>
    </w:p>
    <w:p>
      <w:pPr>
        <w:ind w:left="300" w:right="600" w:hanging="296"/>
        <w:spacing w:after="0" w:line="280" w:lineRule="auto"/>
        <w:tabs>
          <w:tab w:leader="none" w:pos="3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 of December 31, 2023 and 2022, lines of credit granted by various local and foreign financial institutions, to be used for future operating activities total S/11,752.2 million and S/8,801.9 million, respectively.</w:t>
      </w:r>
    </w:p>
    <w:p>
      <w:pPr>
        <w:spacing w:after="0" w:line="120" w:lineRule="exact"/>
        <w:rPr>
          <w:rFonts w:ascii="Arial" w:cs="Arial" w:eastAsia="Arial" w:hAnsi="Arial"/>
          <w:sz w:val="16"/>
          <w:szCs w:val="16"/>
          <w:color w:val="auto"/>
        </w:rPr>
      </w:pPr>
    </w:p>
    <w:p>
      <w:pPr>
        <w:ind w:left="300" w:right="240" w:hanging="296"/>
        <w:spacing w:after="0" w:line="259" w:lineRule="auto"/>
        <w:tabs>
          <w:tab w:leader="none" w:pos="3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Certain debts to banks, correspondents and other entities include specific agreements on how the funds received should be used, the financial conditions that the Bank must maintain, as well as other administrative matters. In Management’s opinion, these specific agreements have been fulfilled by the Bank as of December 31, 2023 and 2022.</w:t>
      </w:r>
    </w:p>
    <w:p>
      <w:pPr>
        <w:spacing w:after="0" w:line="296"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41275</wp:posOffset>
            </wp:positionV>
            <wp:extent cx="714565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880"/>
          </w:cols>
          <w:pgMar w:left="680" w:top="306" w:right="339" w:bottom="1440" w:gutter="0" w:footer="0" w:header="0"/>
        </w:sectPr>
      </w:pPr>
    </w:p>
    <w:bookmarkStart w:id="107" w:name="page108"/>
    <w:bookmarkEnd w:id="107"/>
    <w:p>
      <w:pPr>
        <w:ind w:left="522" w:hanging="522"/>
        <w:spacing w:after="0"/>
        <w:tabs>
          <w:tab w:leader="none" w:pos="522"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BONDS AND NOTES ISSUED</w:t>
      </w:r>
    </w:p>
    <w:p>
      <w:pPr>
        <w:spacing w:after="0" w:line="182" w:lineRule="exact"/>
        <w:rPr>
          <w:rFonts w:ascii="Arial" w:cs="Arial" w:eastAsia="Arial" w:hAnsi="Arial"/>
          <w:sz w:val="16"/>
          <w:szCs w:val="16"/>
          <w:b w:val="1"/>
          <w:bCs w:val="1"/>
          <w:color w:val="auto"/>
        </w:rPr>
      </w:pPr>
    </w:p>
    <w:p>
      <w:pPr>
        <w:ind w:left="882" w:hanging="296"/>
        <w:spacing w:after="0"/>
        <w:tabs>
          <w:tab w:leader="none" w:pos="88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184" w:lineRule="exact"/>
        <w:rPr>
          <w:sz w:val="20"/>
          <w:szCs w:val="20"/>
          <w:color w:val="auto"/>
        </w:rPr>
      </w:pPr>
    </w:p>
    <w:tbl>
      <w:tblPr>
        <w:tblLayout w:type="fixed"/>
        <w:tblInd w:w="882" w:type="dxa"/>
        <w:tblCellMar>
          <w:top w:w="0" w:type="dxa"/>
          <w:left w:w="0" w:type="dxa"/>
          <w:bottom w:w="0" w:type="dxa"/>
          <w:right w:w="0" w:type="dxa"/>
        </w:tblCellMar>
      </w:tblPr>
      <w:tr>
        <w:trPr>
          <w:trHeight w:val="138"/>
        </w:trPr>
        <w:tc>
          <w:tcPr>
            <w:tcW w:w="122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Annual interest</w:t>
            </w:r>
          </w:p>
        </w:tc>
        <w:tc>
          <w:tcPr>
            <w:tcW w:w="9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Interest</w:t>
            </w:r>
          </w:p>
        </w:tc>
        <w:tc>
          <w:tcPr>
            <w:tcW w:w="80" w:type="dxa"/>
            <w:vAlign w:val="bottom"/>
          </w:tcPr>
          <w:p>
            <w:pPr>
              <w:spacing w:after="0"/>
              <w:rPr>
                <w:sz w:val="11"/>
                <w:szCs w:val="11"/>
                <w:color w:val="auto"/>
              </w:rPr>
            </w:pPr>
          </w:p>
        </w:tc>
        <w:tc>
          <w:tcPr>
            <w:tcW w:w="1320" w:type="dxa"/>
            <w:vAlign w:val="bottom"/>
            <w:gridSpan w:val="2"/>
          </w:tcPr>
          <w:p>
            <w:pPr>
              <w:spacing w:after="0"/>
              <w:rPr>
                <w:sz w:val="20"/>
                <w:szCs w:val="20"/>
                <w:color w:val="auto"/>
              </w:rPr>
            </w:pPr>
            <w:r>
              <w:rPr>
                <w:rFonts w:ascii="Arial" w:cs="Arial" w:eastAsia="Arial" w:hAnsi="Arial"/>
                <w:sz w:val="11"/>
                <w:szCs w:val="11"/>
                <w:b w:val="1"/>
                <w:bCs w:val="1"/>
                <w:color w:val="auto"/>
              </w:rPr>
              <w:t>Hedge Accounting</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80" w:type="dxa"/>
            <w:vAlign w:val="bottom"/>
            <w:gridSpan w:val="5"/>
          </w:tcPr>
          <w:p>
            <w:pPr>
              <w:ind w:left="60"/>
              <w:spacing w:after="0"/>
              <w:rPr>
                <w:sz w:val="20"/>
                <w:szCs w:val="20"/>
                <w:color w:val="auto"/>
              </w:rPr>
            </w:pPr>
            <w:r>
              <w:rPr>
                <w:rFonts w:ascii="Arial" w:cs="Arial" w:eastAsia="Arial" w:hAnsi="Arial"/>
                <w:sz w:val="11"/>
                <w:szCs w:val="11"/>
                <w:b w:val="1"/>
                <w:bCs w:val="1"/>
                <w:color w:val="auto"/>
              </w:rPr>
              <w:t>As of December 31, 2023</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tcPr>
          <w:p>
            <w:pPr>
              <w:ind w:left="100"/>
              <w:spacing w:after="0"/>
              <w:rPr>
                <w:sz w:val="20"/>
                <w:szCs w:val="20"/>
                <w:color w:val="auto"/>
              </w:rPr>
            </w:pPr>
            <w:r>
              <w:rPr>
                <w:rFonts w:ascii="Arial" w:cs="Arial" w:eastAsia="Arial" w:hAnsi="Arial"/>
                <w:sz w:val="11"/>
                <w:szCs w:val="11"/>
                <w:b w:val="1"/>
                <w:bCs w:val="1"/>
                <w:color w:val="auto"/>
              </w:rPr>
              <w:t>As of December 31, 2022</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2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Type</w:t>
            </w:r>
          </w:p>
        </w:tc>
        <w:tc>
          <w:tcPr>
            <w:tcW w:w="8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Notional</w:t>
            </w:r>
          </w:p>
        </w:tc>
        <w:tc>
          <w:tcPr>
            <w:tcW w:w="660" w:type="dxa"/>
            <w:vAlign w:val="bottom"/>
          </w:tcPr>
          <w:p>
            <w:pPr>
              <w:spacing w:after="0" w:line="99" w:lineRule="exact"/>
              <w:rPr>
                <w:sz w:val="20"/>
                <w:szCs w:val="20"/>
                <w:color w:val="auto"/>
              </w:rPr>
            </w:pPr>
            <w:r>
              <w:rPr>
                <w:rFonts w:ascii="Arial" w:cs="Arial" w:eastAsia="Arial" w:hAnsi="Arial"/>
                <w:sz w:val="11"/>
                <w:szCs w:val="11"/>
                <w:b w:val="1"/>
                <w:bCs w:val="1"/>
                <w:color w:val="auto"/>
              </w:rPr>
              <w:t>Notional</w:t>
            </w:r>
          </w:p>
        </w:tc>
        <w:tc>
          <w:tcPr>
            <w:tcW w:w="40" w:type="dxa"/>
            <w:vAlign w:val="bottom"/>
            <w:vMerge w:val="continue"/>
          </w:tcPr>
          <w:p>
            <w:pPr>
              <w:spacing w:after="0"/>
              <w:rPr>
                <w:sz w:val="8"/>
                <w:szCs w:val="8"/>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Maturity</w:t>
            </w:r>
          </w:p>
        </w:tc>
        <w:tc>
          <w:tcPr>
            <w:tcW w:w="860" w:type="dxa"/>
            <w:vAlign w:val="bottom"/>
            <w:gridSpan w:val="3"/>
          </w:tcPr>
          <w:p>
            <w:pPr>
              <w:ind w:left="100"/>
              <w:spacing w:after="0" w:line="99" w:lineRule="exact"/>
              <w:rPr>
                <w:sz w:val="20"/>
                <w:szCs w:val="20"/>
                <w:color w:val="auto"/>
              </w:rPr>
            </w:pPr>
            <w:r>
              <w:rPr>
                <w:rFonts w:ascii="Arial" w:cs="Arial" w:eastAsia="Arial" w:hAnsi="Arial"/>
                <w:sz w:val="11"/>
                <w:szCs w:val="11"/>
                <w:b w:val="1"/>
                <w:bCs w:val="1"/>
                <w:color w:val="auto"/>
              </w:rPr>
              <w:t>Issued</w:t>
            </w:r>
          </w:p>
        </w:tc>
        <w:tc>
          <w:tcPr>
            <w:tcW w:w="580" w:type="dxa"/>
            <w:vAlign w:val="bottom"/>
          </w:tcPr>
          <w:p>
            <w:pPr>
              <w:spacing w:after="0" w:line="99" w:lineRule="exact"/>
              <w:rPr>
                <w:sz w:val="20"/>
                <w:szCs w:val="20"/>
                <w:color w:val="auto"/>
              </w:rPr>
            </w:pPr>
            <w:r>
              <w:rPr>
                <w:rFonts w:ascii="Arial" w:cs="Arial" w:eastAsia="Arial" w:hAnsi="Arial"/>
                <w:sz w:val="11"/>
                <w:szCs w:val="11"/>
                <w:b w:val="1"/>
                <w:bCs w:val="1"/>
                <w:color w:val="auto"/>
              </w:rPr>
              <w:t>Carrying</w:t>
            </w:r>
          </w:p>
        </w:tc>
        <w:tc>
          <w:tcPr>
            <w:tcW w:w="80" w:type="dxa"/>
            <w:vAlign w:val="bottom"/>
            <w:vMerge w:val="continue"/>
          </w:tcPr>
          <w:p>
            <w:pPr>
              <w:spacing w:after="0"/>
              <w:rPr>
                <w:sz w:val="8"/>
                <w:szCs w:val="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Maturity</w:t>
            </w:r>
          </w:p>
        </w:tc>
        <w:tc>
          <w:tcPr>
            <w:tcW w:w="900" w:type="dxa"/>
            <w:vAlign w:val="bottom"/>
            <w:gridSpan w:val="3"/>
          </w:tcPr>
          <w:p>
            <w:pPr>
              <w:ind w:left="100"/>
              <w:spacing w:after="0" w:line="99" w:lineRule="exact"/>
              <w:rPr>
                <w:sz w:val="20"/>
                <w:szCs w:val="20"/>
                <w:color w:val="auto"/>
              </w:rPr>
            </w:pPr>
            <w:r>
              <w:rPr>
                <w:rFonts w:ascii="Arial" w:cs="Arial" w:eastAsia="Arial" w:hAnsi="Arial"/>
                <w:sz w:val="11"/>
                <w:szCs w:val="11"/>
                <w:b w:val="1"/>
                <w:bCs w:val="1"/>
                <w:color w:val="auto"/>
              </w:rPr>
              <w:t>Issued</w:t>
            </w:r>
          </w:p>
        </w:tc>
        <w:tc>
          <w:tcPr>
            <w:tcW w:w="580" w:type="dxa"/>
            <w:vAlign w:val="bottom"/>
            <w:gridSpan w:val="2"/>
          </w:tcPr>
          <w:p>
            <w:pPr>
              <w:spacing w:after="0" w:line="99" w:lineRule="exact"/>
              <w:rPr>
                <w:sz w:val="20"/>
                <w:szCs w:val="20"/>
                <w:color w:val="auto"/>
              </w:rPr>
            </w:pPr>
            <w:r>
              <w:rPr>
                <w:rFonts w:ascii="Arial" w:cs="Arial" w:eastAsia="Arial" w:hAnsi="Arial"/>
                <w:sz w:val="11"/>
                <w:szCs w:val="11"/>
                <w:b w:val="1"/>
                <w:bCs w:val="1"/>
                <w:color w:val="auto"/>
              </w:rPr>
              <w:t>Carrying</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rate</w:t>
            </w: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payment</w:t>
            </w:r>
          </w:p>
        </w:tc>
        <w:tc>
          <w:tcPr>
            <w:tcW w:w="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Equivalent</w:t>
            </w:r>
          </w:p>
        </w:tc>
        <w:tc>
          <w:tcPr>
            <w:tcW w:w="920" w:type="dxa"/>
            <w:vAlign w:val="bottom"/>
            <w:gridSpan w:val="2"/>
            <w:vMerge w:val="continue"/>
          </w:tcPr>
          <w:p>
            <w:pPr>
              <w:spacing w:after="0"/>
              <w:rPr>
                <w:sz w:val="11"/>
                <w:szCs w:val="11"/>
                <w:color w:val="auto"/>
              </w:rPr>
            </w:pP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80" w:type="dxa"/>
            <w:vAlign w:val="bottom"/>
            <w:gridSpan w:val="2"/>
            <w:vMerge w:val="continue"/>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amount</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47"/>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00"/>
              <w:spacing w:after="0"/>
              <w:rPr>
                <w:sz w:val="20"/>
                <w:szCs w:val="20"/>
                <w:color w:val="auto"/>
              </w:rPr>
            </w:pPr>
            <w:r>
              <w:rPr>
                <w:rFonts w:ascii="Arial" w:cs="Arial" w:eastAsia="Arial" w:hAnsi="Arial"/>
                <w:sz w:val="11"/>
                <w:szCs w:val="11"/>
                <w:b w:val="1"/>
                <w:bCs w:val="1"/>
                <w:color w:val="auto"/>
              </w:rPr>
              <w:t>(000)</w:t>
            </w:r>
          </w:p>
        </w:tc>
        <w:tc>
          <w:tcPr>
            <w:tcW w:w="6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(000)</w:t>
            </w: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(000)</w:t>
            </w:r>
          </w:p>
        </w:tc>
        <w:tc>
          <w:tcPr>
            <w:tcW w:w="120" w:type="dxa"/>
            <w:vAlign w:val="bottom"/>
          </w:tcPr>
          <w:p>
            <w:pPr>
              <w:spacing w:after="0"/>
              <w:rPr>
                <w:sz w:val="12"/>
                <w:szCs w:val="12"/>
                <w:color w:val="auto"/>
              </w:rPr>
            </w:pP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S/(000)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1"/>
                <w:szCs w:val="11"/>
                <w:b w:val="1"/>
                <w:bCs w:val="1"/>
                <w:color w:val="auto"/>
              </w:rPr>
              <w:t>Senior notes - BCP (i)</w:t>
            </w:r>
          </w:p>
        </w:tc>
        <w:tc>
          <w:tcPr>
            <w:tcW w:w="1020" w:type="dxa"/>
            <w:vAlign w:val="bottom"/>
            <w:gridSpan w:val="2"/>
          </w:tcPr>
          <w:p>
            <w:pPr>
              <w:jc w:val="right"/>
              <w:ind w:right="303"/>
              <w:spacing w:after="0"/>
              <w:rPr>
                <w:sz w:val="20"/>
                <w:szCs w:val="20"/>
                <w:color w:val="auto"/>
              </w:rPr>
            </w:pPr>
            <w:r>
              <w:rPr>
                <w:rFonts w:ascii="Arial" w:cs="Arial" w:eastAsia="Arial" w:hAnsi="Arial"/>
                <w:sz w:val="11"/>
                <w:szCs w:val="11"/>
                <w:color w:val="auto"/>
              </w:rPr>
              <w:t>2.70</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Semi-annual</w:t>
            </w:r>
          </w:p>
        </w:tc>
        <w:tc>
          <w:tcPr>
            <w:tcW w:w="540" w:type="dxa"/>
            <w:vAlign w:val="bottom"/>
            <w:gridSpan w:val="2"/>
          </w:tcPr>
          <w:p>
            <w:pPr>
              <w:ind w:left="80"/>
              <w:spacing w:after="0"/>
              <w:rPr>
                <w:sz w:val="20"/>
                <w:szCs w:val="20"/>
                <w:color w:val="auto"/>
              </w:rPr>
            </w:pPr>
            <w:r>
              <w:rPr>
                <w:rFonts w:ascii="Arial" w:cs="Arial" w:eastAsia="Arial" w:hAnsi="Arial"/>
                <w:sz w:val="11"/>
                <w:szCs w:val="11"/>
                <w:color w:val="auto"/>
              </w:rPr>
              <w:t>CCS</w:t>
            </w:r>
          </w:p>
        </w:tc>
        <w:tc>
          <w:tcPr>
            <w:tcW w:w="860" w:type="dxa"/>
            <w:vAlign w:val="bottom"/>
          </w:tcPr>
          <w:p>
            <w:pPr>
              <w:jc w:val="right"/>
              <w:spacing w:after="0"/>
              <w:rPr>
                <w:sz w:val="20"/>
                <w:szCs w:val="20"/>
                <w:color w:val="auto"/>
              </w:rPr>
            </w:pPr>
            <w:r>
              <w:rPr>
                <w:rFonts w:ascii="Arial" w:cs="Arial" w:eastAsia="Arial" w:hAnsi="Arial"/>
                <w:sz w:val="11"/>
                <w:szCs w:val="11"/>
                <w:color w:val="auto"/>
              </w:rPr>
              <w:t>US$220,000</w:t>
            </w:r>
          </w:p>
        </w:tc>
        <w:tc>
          <w:tcPr>
            <w:tcW w:w="660" w:type="dxa"/>
            <w:vAlign w:val="bottom"/>
          </w:tcPr>
          <w:p>
            <w:pPr>
              <w:jc w:val="right"/>
              <w:spacing w:after="0"/>
              <w:rPr>
                <w:sz w:val="20"/>
                <w:szCs w:val="20"/>
                <w:color w:val="auto"/>
              </w:rPr>
            </w:pPr>
            <w:r>
              <w:rPr>
                <w:rFonts w:ascii="Arial" w:cs="Arial" w:eastAsia="Arial" w:hAnsi="Arial"/>
                <w:sz w:val="11"/>
                <w:szCs w:val="11"/>
                <w:color w:val="auto"/>
              </w:rPr>
              <w:t>815,980</w:t>
            </w:r>
          </w:p>
        </w:tc>
        <w:tc>
          <w:tcPr>
            <w:tcW w:w="4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color w:val="auto"/>
              </w:rPr>
              <w:t>January 2025</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US$700,000</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2,571,032</w:t>
            </w:r>
          </w:p>
        </w:tc>
        <w:tc>
          <w:tcPr>
            <w:tcW w:w="880" w:type="dxa"/>
            <w:vAlign w:val="bottom"/>
            <w:gridSpan w:val="2"/>
          </w:tcPr>
          <w:p>
            <w:pPr>
              <w:ind w:left="100"/>
              <w:spacing w:after="0"/>
              <w:rPr>
                <w:sz w:val="20"/>
                <w:szCs w:val="20"/>
                <w:color w:val="auto"/>
              </w:rPr>
            </w:pPr>
            <w:r>
              <w:rPr>
                <w:rFonts w:ascii="Arial" w:cs="Arial" w:eastAsia="Arial" w:hAnsi="Arial"/>
                <w:sz w:val="11"/>
                <w:szCs w:val="11"/>
                <w:color w:val="auto"/>
              </w:rPr>
              <w:t>January 2025</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US$700,000</w:t>
            </w:r>
          </w:p>
        </w:tc>
        <w:tc>
          <w:tcPr>
            <w:tcW w:w="600" w:type="dxa"/>
            <w:vAlign w:val="bottom"/>
            <w:gridSpan w:val="3"/>
          </w:tcPr>
          <w:p>
            <w:pPr>
              <w:jc w:val="right"/>
              <w:ind w:right="20"/>
              <w:spacing w:after="0"/>
              <w:rPr>
                <w:sz w:val="20"/>
                <w:szCs w:val="20"/>
                <w:color w:val="auto"/>
              </w:rPr>
            </w:pPr>
            <w:r>
              <w:rPr>
                <w:rFonts w:ascii="Arial" w:cs="Arial" w:eastAsia="Arial" w:hAnsi="Arial"/>
                <w:sz w:val="11"/>
                <w:szCs w:val="11"/>
                <w:color w:val="auto"/>
              </w:rPr>
              <w:t>2,623,445</w:t>
            </w:r>
          </w:p>
        </w:tc>
        <w:tc>
          <w:tcPr>
            <w:tcW w:w="0" w:type="dxa"/>
            <w:vAlign w:val="bottom"/>
          </w:tcPr>
          <w:p>
            <w:pPr>
              <w:spacing w:after="0"/>
              <w:rPr>
                <w:sz w:val="1"/>
                <w:szCs w:val="1"/>
                <w:color w:val="auto"/>
              </w:rPr>
            </w:pPr>
          </w:p>
        </w:tc>
      </w:tr>
      <w:tr>
        <w:trPr>
          <w:trHeight w:val="122"/>
        </w:trPr>
        <w:tc>
          <w:tcPr>
            <w:tcW w:w="1220" w:type="dxa"/>
            <w:vAlign w:val="bottom"/>
          </w:tcPr>
          <w:p>
            <w:pPr>
              <w:spacing w:after="0" w:line="122" w:lineRule="exact"/>
              <w:rPr>
                <w:sz w:val="20"/>
                <w:szCs w:val="20"/>
                <w:color w:val="auto"/>
              </w:rPr>
            </w:pPr>
            <w:r>
              <w:rPr>
                <w:rFonts w:ascii="Arial" w:cs="Arial" w:eastAsia="Arial" w:hAnsi="Arial"/>
                <w:sz w:val="11"/>
                <w:szCs w:val="11"/>
                <w:b w:val="1"/>
                <w:bCs w:val="1"/>
                <w:color w:val="auto"/>
              </w:rPr>
              <w:t>Senior notes - BCP</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September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(ii)</w:t>
            </w:r>
          </w:p>
        </w:tc>
        <w:tc>
          <w:tcPr>
            <w:tcW w:w="1020" w:type="dxa"/>
            <w:vAlign w:val="bottom"/>
            <w:gridSpan w:val="2"/>
          </w:tcPr>
          <w:p>
            <w:pPr>
              <w:jc w:val="right"/>
              <w:ind w:right="303"/>
              <w:spacing w:after="0" w:line="122" w:lineRule="exact"/>
              <w:rPr>
                <w:sz w:val="20"/>
                <w:szCs w:val="20"/>
                <w:color w:val="auto"/>
              </w:rPr>
            </w:pPr>
            <w:r>
              <w:rPr>
                <w:rFonts w:ascii="Arial" w:cs="Arial" w:eastAsia="Arial" w:hAnsi="Arial"/>
                <w:sz w:val="11"/>
                <w:szCs w:val="11"/>
                <w:color w:val="auto"/>
              </w:rPr>
              <w:t>4.65</w:t>
            </w:r>
          </w:p>
        </w:tc>
        <w:tc>
          <w:tcPr>
            <w:tcW w:w="9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Semi-annual</w:t>
            </w:r>
          </w:p>
        </w:tc>
        <w:tc>
          <w:tcPr>
            <w:tcW w:w="54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ind w:left="60"/>
              <w:spacing w:after="0" w:line="122" w:lineRule="exact"/>
              <w:rPr>
                <w:sz w:val="20"/>
                <w:szCs w:val="20"/>
                <w:color w:val="auto"/>
              </w:rPr>
            </w:pPr>
            <w:r>
              <w:rPr>
                <w:rFonts w:ascii="Arial" w:cs="Arial" w:eastAsia="Arial" w:hAnsi="Arial"/>
                <w:sz w:val="11"/>
                <w:szCs w:val="11"/>
                <w:color w:val="auto"/>
              </w:rPr>
              <w:t>September 2024</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S/2,900,000</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2,496,413</w:t>
            </w:r>
          </w:p>
        </w:tc>
        <w:tc>
          <w:tcPr>
            <w:tcW w:w="8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S/2,900,000</w:t>
            </w:r>
          </w:p>
        </w:tc>
        <w:tc>
          <w:tcPr>
            <w:tcW w:w="60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2,490,872</w:t>
            </w:r>
          </w:p>
        </w:tc>
        <w:tc>
          <w:tcPr>
            <w:tcW w:w="0" w:type="dxa"/>
            <w:vAlign w:val="bottom"/>
          </w:tcPr>
          <w:p>
            <w:pPr>
              <w:spacing w:after="0"/>
              <w:rPr>
                <w:sz w:val="1"/>
                <w:szCs w:val="1"/>
                <w:color w:val="auto"/>
              </w:rPr>
            </w:pPr>
          </w:p>
        </w:tc>
      </w:tr>
      <w:tr>
        <w:trPr>
          <w:trHeight w:val="122"/>
        </w:trPr>
        <w:tc>
          <w:tcPr>
            <w:tcW w:w="1220" w:type="dxa"/>
            <w:vAlign w:val="bottom"/>
          </w:tcPr>
          <w:p>
            <w:pPr>
              <w:spacing w:after="0" w:line="122" w:lineRule="exact"/>
              <w:rPr>
                <w:sz w:val="20"/>
                <w:szCs w:val="20"/>
                <w:color w:val="auto"/>
              </w:rPr>
            </w:pPr>
            <w:r>
              <w:rPr>
                <w:rFonts w:ascii="Arial" w:cs="Arial" w:eastAsia="Arial" w:hAnsi="Arial"/>
                <w:sz w:val="11"/>
                <w:szCs w:val="11"/>
                <w:b w:val="1"/>
                <w:bCs w:val="1"/>
                <w:color w:val="auto"/>
              </w:rPr>
              <w:t>Senior notes -</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Credicorp Ltd. (iii)</w:t>
            </w:r>
          </w:p>
        </w:tc>
        <w:tc>
          <w:tcPr>
            <w:tcW w:w="1020" w:type="dxa"/>
            <w:vAlign w:val="bottom"/>
            <w:gridSpan w:val="2"/>
          </w:tcPr>
          <w:p>
            <w:pPr>
              <w:jc w:val="right"/>
              <w:ind w:right="303"/>
              <w:spacing w:after="0" w:line="122" w:lineRule="exact"/>
              <w:rPr>
                <w:sz w:val="20"/>
                <w:szCs w:val="20"/>
                <w:color w:val="auto"/>
              </w:rPr>
            </w:pPr>
            <w:r>
              <w:rPr>
                <w:rFonts w:ascii="Arial" w:cs="Arial" w:eastAsia="Arial" w:hAnsi="Arial"/>
                <w:sz w:val="11"/>
                <w:szCs w:val="11"/>
                <w:color w:val="auto"/>
              </w:rPr>
              <w:t>2.75</w:t>
            </w:r>
          </w:p>
        </w:tc>
        <w:tc>
          <w:tcPr>
            <w:tcW w:w="9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Semi-annual</w:t>
            </w:r>
          </w:p>
        </w:tc>
        <w:tc>
          <w:tcPr>
            <w:tcW w:w="54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ind w:left="60"/>
              <w:spacing w:after="0" w:line="122" w:lineRule="exact"/>
              <w:rPr>
                <w:sz w:val="20"/>
                <w:szCs w:val="20"/>
                <w:color w:val="auto"/>
              </w:rPr>
            </w:pPr>
            <w:r>
              <w:rPr>
                <w:rFonts w:ascii="Arial" w:cs="Arial" w:eastAsia="Arial" w:hAnsi="Arial"/>
                <w:sz w:val="11"/>
                <w:szCs w:val="11"/>
                <w:color w:val="auto"/>
              </w:rPr>
              <w:t>June 2025</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US$500,000</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1,706,587</w:t>
            </w:r>
          </w:p>
        </w:tc>
        <w:tc>
          <w:tcPr>
            <w:tcW w:w="8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June 2025</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US$500,000</w:t>
            </w:r>
          </w:p>
        </w:tc>
        <w:tc>
          <w:tcPr>
            <w:tcW w:w="60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1,827,682</w:t>
            </w:r>
          </w:p>
        </w:tc>
        <w:tc>
          <w:tcPr>
            <w:tcW w:w="0" w:type="dxa"/>
            <w:vAlign w:val="bottom"/>
          </w:tcPr>
          <w:p>
            <w:pPr>
              <w:spacing w:after="0"/>
              <w:rPr>
                <w:sz w:val="1"/>
                <w:szCs w:val="1"/>
                <w:color w:val="auto"/>
              </w:rPr>
            </w:pPr>
          </w:p>
        </w:tc>
      </w:tr>
      <w:tr>
        <w:trPr>
          <w:trHeight w:val="122"/>
        </w:trPr>
        <w:tc>
          <w:tcPr>
            <w:tcW w:w="1220" w:type="dxa"/>
            <w:vAlign w:val="bottom"/>
          </w:tcPr>
          <w:p>
            <w:pPr>
              <w:spacing w:after="0" w:line="122" w:lineRule="exact"/>
              <w:rPr>
                <w:sz w:val="20"/>
                <w:szCs w:val="20"/>
                <w:color w:val="auto"/>
              </w:rPr>
            </w:pPr>
            <w:r>
              <w:rPr>
                <w:rFonts w:ascii="Arial" w:cs="Arial" w:eastAsia="Arial" w:hAnsi="Arial"/>
                <w:sz w:val="11"/>
                <w:szCs w:val="11"/>
                <w:b w:val="1"/>
                <w:bCs w:val="1"/>
                <w:color w:val="auto"/>
              </w:rPr>
              <w:t>Senior notes - BCP</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(iv)</w:t>
            </w:r>
          </w:p>
        </w:tc>
        <w:tc>
          <w:tcPr>
            <w:tcW w:w="1020" w:type="dxa"/>
            <w:vAlign w:val="bottom"/>
            <w:gridSpan w:val="2"/>
          </w:tcPr>
          <w:p>
            <w:pPr>
              <w:jc w:val="right"/>
              <w:ind w:right="303"/>
              <w:spacing w:after="0" w:line="122" w:lineRule="exact"/>
              <w:rPr>
                <w:sz w:val="20"/>
                <w:szCs w:val="20"/>
                <w:color w:val="auto"/>
              </w:rPr>
            </w:pPr>
            <w:r>
              <w:rPr>
                <w:rFonts w:ascii="Arial" w:cs="Arial" w:eastAsia="Arial" w:hAnsi="Arial"/>
                <w:sz w:val="11"/>
                <w:szCs w:val="11"/>
                <w:color w:val="auto"/>
              </w:rPr>
              <w:t>5.05</w:t>
            </w:r>
          </w:p>
        </w:tc>
        <w:tc>
          <w:tcPr>
            <w:tcW w:w="9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Semi-annual</w:t>
            </w:r>
          </w:p>
        </w:tc>
        <w:tc>
          <w:tcPr>
            <w:tcW w:w="54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ind w:left="60"/>
              <w:spacing w:after="0" w:line="122" w:lineRule="exact"/>
              <w:rPr>
                <w:sz w:val="20"/>
                <w:szCs w:val="20"/>
                <w:color w:val="auto"/>
              </w:rPr>
            </w:pPr>
            <w:r>
              <w:rPr>
                <w:rFonts w:ascii="Arial" w:cs="Arial" w:eastAsia="Arial" w:hAnsi="Arial"/>
                <w:sz w:val="11"/>
                <w:szCs w:val="11"/>
                <w:color w:val="auto"/>
              </w:rPr>
              <w:t>June 2027</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US$30,000</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111,143</w:t>
            </w:r>
          </w:p>
        </w:tc>
        <w:tc>
          <w:tcPr>
            <w:tcW w:w="8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June 2027</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US$30,000</w:t>
            </w:r>
          </w:p>
        </w:tc>
        <w:tc>
          <w:tcPr>
            <w:tcW w:w="60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114,246</w:t>
            </w:r>
          </w:p>
        </w:tc>
        <w:tc>
          <w:tcPr>
            <w:tcW w:w="0" w:type="dxa"/>
            <w:vAlign w:val="bottom"/>
          </w:tcPr>
          <w:p>
            <w:pPr>
              <w:spacing w:after="0"/>
              <w:rPr>
                <w:sz w:val="1"/>
                <w:szCs w:val="1"/>
                <w:color w:val="auto"/>
              </w:rPr>
            </w:pPr>
          </w:p>
        </w:tc>
      </w:tr>
      <w:tr>
        <w:trPr>
          <w:trHeight w:val="122"/>
        </w:trPr>
        <w:tc>
          <w:tcPr>
            <w:tcW w:w="1220" w:type="dxa"/>
            <w:vAlign w:val="bottom"/>
          </w:tcPr>
          <w:p>
            <w:pPr>
              <w:spacing w:after="0" w:line="122" w:lineRule="exact"/>
              <w:rPr>
                <w:sz w:val="20"/>
                <w:szCs w:val="20"/>
                <w:color w:val="auto"/>
              </w:rPr>
            </w:pPr>
            <w:r>
              <w:rPr>
                <w:rFonts w:ascii="Arial" w:cs="Arial" w:eastAsia="Arial" w:hAnsi="Arial"/>
                <w:sz w:val="11"/>
                <w:szCs w:val="11"/>
                <w:b w:val="1"/>
                <w:bCs w:val="1"/>
                <w:color w:val="auto"/>
              </w:rPr>
              <w:t>Senior notes - BCP</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(v)</w:t>
            </w:r>
          </w:p>
        </w:tc>
        <w:tc>
          <w:tcPr>
            <w:tcW w:w="1020" w:type="dxa"/>
            <w:vAlign w:val="bottom"/>
            <w:gridSpan w:val="2"/>
          </w:tcPr>
          <w:p>
            <w:pPr>
              <w:jc w:val="right"/>
              <w:ind w:right="303"/>
              <w:spacing w:after="0" w:line="122" w:lineRule="exact"/>
              <w:rPr>
                <w:sz w:val="20"/>
                <w:szCs w:val="20"/>
                <w:color w:val="auto"/>
              </w:rPr>
            </w:pPr>
            <w:r>
              <w:rPr>
                <w:rFonts w:ascii="Arial" w:cs="Arial" w:eastAsia="Arial" w:hAnsi="Arial"/>
                <w:sz w:val="11"/>
                <w:szCs w:val="11"/>
                <w:color w:val="auto"/>
              </w:rPr>
              <w:t>0.97</w:t>
            </w:r>
          </w:p>
        </w:tc>
        <w:tc>
          <w:tcPr>
            <w:tcW w:w="9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Semi-annual</w:t>
            </w:r>
          </w:p>
        </w:tc>
        <w:tc>
          <w:tcPr>
            <w:tcW w:w="54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CCS</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¥3,000,000</w:t>
            </w: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78,969</w:t>
            </w:r>
          </w:p>
        </w:tc>
        <w:tc>
          <w:tcPr>
            <w:tcW w:w="920" w:type="dxa"/>
            <w:vAlign w:val="bottom"/>
            <w:gridSpan w:val="2"/>
          </w:tcPr>
          <w:p>
            <w:pPr>
              <w:ind w:left="60"/>
              <w:spacing w:after="0" w:line="122" w:lineRule="exact"/>
              <w:rPr>
                <w:sz w:val="20"/>
                <w:szCs w:val="20"/>
                <w:color w:val="auto"/>
              </w:rPr>
            </w:pPr>
            <w:r>
              <w:rPr>
                <w:rFonts w:ascii="Arial" w:cs="Arial" w:eastAsia="Arial" w:hAnsi="Arial"/>
                <w:sz w:val="11"/>
                <w:szCs w:val="11"/>
                <w:color w:val="auto"/>
              </w:rPr>
              <w:t>November 2025</w:t>
            </w:r>
          </w:p>
        </w:tc>
        <w:tc>
          <w:tcPr>
            <w:tcW w:w="8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¥3,000,000</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78,828</w:t>
            </w:r>
          </w:p>
        </w:tc>
        <w:tc>
          <w:tcPr>
            <w:tcW w:w="8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220" w:type="dxa"/>
            <w:vAlign w:val="bottom"/>
          </w:tcPr>
          <w:p>
            <w:pPr>
              <w:spacing w:after="0" w:line="122" w:lineRule="exact"/>
              <w:rPr>
                <w:sz w:val="20"/>
                <w:szCs w:val="20"/>
                <w:color w:val="auto"/>
              </w:rPr>
            </w:pPr>
            <w:r>
              <w:rPr>
                <w:rFonts w:ascii="Arial" w:cs="Arial" w:eastAsia="Arial" w:hAnsi="Arial"/>
                <w:sz w:val="11"/>
                <w:szCs w:val="11"/>
                <w:b w:val="1"/>
                <w:bCs w:val="1"/>
                <w:color w:val="auto"/>
              </w:rPr>
              <w:t>Senior notes - BCP</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December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(v)</w:t>
            </w:r>
          </w:p>
        </w:tc>
        <w:tc>
          <w:tcPr>
            <w:tcW w:w="1020" w:type="dxa"/>
            <w:vAlign w:val="bottom"/>
            <w:gridSpan w:val="2"/>
          </w:tcPr>
          <w:p>
            <w:pPr>
              <w:jc w:val="right"/>
              <w:ind w:right="303"/>
              <w:spacing w:after="0" w:line="122" w:lineRule="exact"/>
              <w:rPr>
                <w:sz w:val="20"/>
                <w:szCs w:val="20"/>
                <w:color w:val="auto"/>
              </w:rPr>
            </w:pPr>
            <w:r>
              <w:rPr>
                <w:rFonts w:ascii="Arial" w:cs="Arial" w:eastAsia="Arial" w:hAnsi="Arial"/>
                <w:sz w:val="11"/>
                <w:szCs w:val="11"/>
                <w:color w:val="auto"/>
              </w:rPr>
              <w:t>0.45</w:t>
            </w:r>
          </w:p>
        </w:tc>
        <w:tc>
          <w:tcPr>
            <w:tcW w:w="9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Semi-annual</w:t>
            </w:r>
          </w:p>
        </w:tc>
        <w:tc>
          <w:tcPr>
            <w:tcW w:w="54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ind w:left="6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2023</w:t>
            </w:r>
          </w:p>
        </w:tc>
        <w:tc>
          <w:tcPr>
            <w:tcW w:w="90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¥5,000,000</w:t>
            </w: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145,522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20"/>
                <w:szCs w:val="20"/>
                <w:color w:val="auto"/>
              </w:rPr>
            </w:pPr>
            <w:r>
              <w:rPr>
                <w:rFonts w:ascii="Arial" w:cs="Arial" w:eastAsia="Arial" w:hAnsi="Arial"/>
                <w:sz w:val="11"/>
                <w:szCs w:val="11"/>
                <w:b w:val="1"/>
                <w:bCs w:val="1"/>
                <w:color w:val="auto"/>
              </w:rPr>
              <w:t>Senior notes - BCP</w:t>
            </w:r>
          </w:p>
        </w:tc>
        <w:tc>
          <w:tcPr>
            <w:tcW w:w="1020" w:type="dxa"/>
            <w:vAlign w:val="bottom"/>
            <w:gridSpan w:val="2"/>
          </w:tcPr>
          <w:p>
            <w:pPr>
              <w:jc w:val="right"/>
              <w:ind w:right="303"/>
              <w:spacing w:after="0"/>
              <w:rPr>
                <w:sz w:val="20"/>
                <w:szCs w:val="20"/>
                <w:color w:val="auto"/>
              </w:rPr>
            </w:pPr>
            <w:r>
              <w:rPr>
                <w:rFonts w:ascii="Arial" w:cs="Arial" w:eastAsia="Arial" w:hAnsi="Arial"/>
                <w:sz w:val="11"/>
                <w:szCs w:val="11"/>
                <w:color w:val="auto"/>
              </w:rPr>
              <w:t>4.25</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Semi-annual</w:t>
            </w:r>
          </w:p>
        </w:tc>
        <w:tc>
          <w:tcPr>
            <w:tcW w:w="5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gridSpan w:val="2"/>
          </w:tcPr>
          <w:p>
            <w:pPr>
              <w:ind w:left="100"/>
              <w:spacing w:after="0"/>
              <w:rPr>
                <w:sz w:val="20"/>
                <w:szCs w:val="20"/>
                <w:color w:val="auto"/>
              </w:rPr>
            </w:pPr>
            <w:r>
              <w:rPr>
                <w:rFonts w:ascii="Arial" w:cs="Arial" w:eastAsia="Arial" w:hAnsi="Arial"/>
                <w:sz w:val="11"/>
                <w:szCs w:val="11"/>
                <w:color w:val="auto"/>
              </w:rPr>
              <w:t>April 2023</w:t>
            </w:r>
          </w:p>
        </w:tc>
        <w:tc>
          <w:tcPr>
            <w:tcW w:w="1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US$716,301</w:t>
            </w:r>
          </w:p>
        </w:tc>
        <w:tc>
          <w:tcPr>
            <w:tcW w:w="600" w:type="dxa"/>
            <w:vAlign w:val="bottom"/>
            <w:gridSpan w:val="3"/>
          </w:tcPr>
          <w:p>
            <w:pPr>
              <w:jc w:val="right"/>
              <w:ind w:right="20"/>
              <w:spacing w:after="0"/>
              <w:rPr>
                <w:sz w:val="20"/>
                <w:szCs w:val="20"/>
                <w:color w:val="auto"/>
              </w:rPr>
            </w:pPr>
            <w:r>
              <w:rPr>
                <w:rFonts w:ascii="Arial" w:cs="Arial" w:eastAsia="Arial" w:hAnsi="Arial"/>
                <w:sz w:val="11"/>
                <w:szCs w:val="11"/>
                <w:color w:val="auto"/>
              </w:rPr>
              <w:t>2,713,911</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r>
              <w:rPr>
                <w:rFonts w:ascii="Arial" w:cs="Arial" w:eastAsia="Arial" w:hAnsi="Arial"/>
                <w:sz w:val="11"/>
                <w:szCs w:val="11"/>
                <w:b w:val="1"/>
                <w:bCs w:val="1"/>
                <w:color w:val="auto"/>
              </w:rPr>
              <w:t>Corporate bonds -</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220" w:type="dxa"/>
            <w:vAlign w:val="bottom"/>
          </w:tcPr>
          <w:p>
            <w:pPr>
              <w:ind w:left="320"/>
              <w:spacing w:after="0"/>
              <w:rPr>
                <w:sz w:val="20"/>
                <w:szCs w:val="20"/>
                <w:color w:val="auto"/>
              </w:rPr>
            </w:pPr>
            <w:r>
              <w:rPr>
                <w:rFonts w:ascii="Arial" w:cs="Arial" w:eastAsia="Arial" w:hAnsi="Arial"/>
                <w:sz w:val="11"/>
                <w:szCs w:val="11"/>
                <w:b w:val="1"/>
                <w:bCs w:val="1"/>
                <w:color w:val="auto"/>
              </w:rPr>
              <w:t>First program</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320"/>
              <w:spacing w:after="0" w:line="122" w:lineRule="exact"/>
              <w:rPr>
                <w:sz w:val="20"/>
                <w:szCs w:val="20"/>
                <w:color w:val="auto"/>
              </w:rPr>
            </w:pPr>
            <w:r>
              <w:rPr>
                <w:rFonts w:ascii="Arial" w:cs="Arial" w:eastAsia="Arial" w:hAnsi="Arial"/>
                <w:sz w:val="11"/>
                <w:szCs w:val="11"/>
                <w:color w:val="auto"/>
              </w:rPr>
              <w:t>First issuance</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460"/>
              <w:spacing w:after="0" w:line="122" w:lineRule="exact"/>
              <w:rPr>
                <w:sz w:val="20"/>
                <w:szCs w:val="20"/>
                <w:color w:val="auto"/>
              </w:rPr>
            </w:pPr>
            <w:r>
              <w:rPr>
                <w:rFonts w:ascii="Arial" w:cs="Arial" w:eastAsia="Arial" w:hAnsi="Arial"/>
                <w:sz w:val="11"/>
                <w:szCs w:val="11"/>
                <w:color w:val="auto"/>
              </w:rPr>
              <w:t>(Series A) -</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Pr>
          <w:p>
            <w:pPr>
              <w:ind w:left="460"/>
              <w:spacing w:after="0" w:line="122" w:lineRule="exact"/>
              <w:rPr>
                <w:sz w:val="20"/>
                <w:szCs w:val="20"/>
                <w:color w:val="auto"/>
              </w:rPr>
            </w:pPr>
            <w:r>
              <w:rPr>
                <w:rFonts w:ascii="Arial" w:cs="Arial" w:eastAsia="Arial" w:hAnsi="Arial"/>
                <w:sz w:val="11"/>
                <w:szCs w:val="11"/>
                <w:color w:val="auto"/>
              </w:rPr>
              <w:t>Mibanco</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220" w:type="dxa"/>
            <w:vAlign w:val="bottom"/>
          </w:tcPr>
          <w:p>
            <w:pPr>
              <w:ind w:left="460"/>
              <w:spacing w:after="0"/>
              <w:rPr>
                <w:sz w:val="20"/>
                <w:szCs w:val="20"/>
                <w:color w:val="auto"/>
              </w:rPr>
            </w:pPr>
            <w:r>
              <w:rPr>
                <w:rFonts w:ascii="Arial" w:cs="Arial" w:eastAsia="Arial" w:hAnsi="Arial"/>
                <w:sz w:val="11"/>
                <w:szCs w:val="11"/>
                <w:color w:val="auto"/>
              </w:rPr>
              <w:t>Colombia</w:t>
            </w:r>
          </w:p>
        </w:tc>
        <w:tc>
          <w:tcPr>
            <w:tcW w:w="1020" w:type="dxa"/>
            <w:vAlign w:val="bottom"/>
            <w:gridSpan w:val="2"/>
          </w:tcPr>
          <w:p>
            <w:pPr>
              <w:jc w:val="right"/>
              <w:ind w:right="303"/>
              <w:spacing w:after="0"/>
              <w:rPr>
                <w:sz w:val="20"/>
                <w:szCs w:val="20"/>
                <w:color w:val="auto"/>
              </w:rPr>
            </w:pPr>
            <w:r>
              <w:rPr>
                <w:rFonts w:ascii="Arial" w:cs="Arial" w:eastAsia="Arial" w:hAnsi="Arial"/>
                <w:sz w:val="11"/>
                <w:szCs w:val="11"/>
                <w:color w:val="auto"/>
              </w:rPr>
              <w:t>9.00</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Quarterly</w:t>
            </w:r>
          </w:p>
        </w:tc>
        <w:tc>
          <w:tcPr>
            <w:tcW w:w="5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60"/>
              <w:spacing w:after="0"/>
              <w:rPr>
                <w:sz w:val="20"/>
                <w:szCs w:val="20"/>
                <w:color w:val="auto"/>
              </w:rPr>
            </w:pPr>
            <w:r>
              <w:rPr>
                <w:rFonts w:ascii="Arial" w:cs="Arial" w:eastAsia="Arial" w:hAnsi="Arial"/>
                <w:sz w:val="11"/>
                <w:szCs w:val="11"/>
                <w:color w:val="auto"/>
              </w:rPr>
              <w:t>January 2025</w:t>
            </w:r>
          </w:p>
        </w:tc>
        <w:tc>
          <w:tcPr>
            <w:tcW w:w="860" w:type="dxa"/>
            <w:vAlign w:val="bottom"/>
            <w:gridSpan w:val="3"/>
          </w:tcPr>
          <w:p>
            <w:pPr>
              <w:jc w:val="right"/>
              <w:ind w:right="80"/>
              <w:spacing w:after="0"/>
              <w:rPr>
                <w:sz w:val="20"/>
                <w:szCs w:val="20"/>
                <w:color w:val="auto"/>
              </w:rPr>
            </w:pPr>
            <w:r>
              <w:rPr>
                <w:rFonts w:ascii="Arial" w:cs="Arial" w:eastAsia="Arial" w:hAnsi="Arial"/>
                <w:sz w:val="11"/>
                <w:szCs w:val="11"/>
                <w:color w:val="auto"/>
              </w:rPr>
              <w:t>$112,500</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82,712</w:t>
            </w:r>
          </w:p>
        </w:tc>
        <w:tc>
          <w:tcPr>
            <w:tcW w:w="880" w:type="dxa"/>
            <w:vAlign w:val="bottom"/>
            <w:gridSpan w:val="2"/>
          </w:tcPr>
          <w:p>
            <w:pPr>
              <w:ind w:left="100"/>
              <w:spacing w:after="0"/>
              <w:rPr>
                <w:sz w:val="20"/>
                <w:szCs w:val="20"/>
                <w:color w:val="auto"/>
              </w:rPr>
            </w:pPr>
            <w:r>
              <w:rPr>
                <w:rFonts w:ascii="Arial" w:cs="Arial" w:eastAsia="Arial" w:hAnsi="Arial"/>
                <w:sz w:val="11"/>
                <w:szCs w:val="11"/>
                <w:color w:val="auto"/>
              </w:rPr>
              <w:t>January 2025</w:t>
            </w:r>
          </w:p>
        </w:tc>
        <w:tc>
          <w:tcPr>
            <w:tcW w:w="900" w:type="dxa"/>
            <w:vAlign w:val="bottom"/>
            <w:gridSpan w:val="3"/>
          </w:tcPr>
          <w:p>
            <w:pPr>
              <w:jc w:val="right"/>
              <w:ind w:right="120"/>
              <w:spacing w:after="0"/>
              <w:rPr>
                <w:sz w:val="20"/>
                <w:szCs w:val="20"/>
                <w:color w:val="auto"/>
              </w:rPr>
            </w:pPr>
            <w:r>
              <w:rPr>
                <w:rFonts w:ascii="Arial" w:cs="Arial" w:eastAsia="Arial" w:hAnsi="Arial"/>
                <w:sz w:val="11"/>
                <w:szCs w:val="11"/>
                <w:color w:val="auto"/>
              </w:rPr>
              <w:t>$112,500</w:t>
            </w:r>
          </w:p>
        </w:tc>
        <w:tc>
          <w:tcPr>
            <w:tcW w:w="600" w:type="dxa"/>
            <w:vAlign w:val="bottom"/>
            <w:gridSpan w:val="3"/>
          </w:tcPr>
          <w:p>
            <w:pPr>
              <w:jc w:val="right"/>
              <w:ind w:right="20"/>
              <w:spacing w:after="0"/>
              <w:rPr>
                <w:sz w:val="20"/>
                <w:szCs w:val="20"/>
                <w:color w:val="auto"/>
              </w:rPr>
            </w:pPr>
            <w:r>
              <w:rPr>
                <w:rFonts w:ascii="Arial" w:cs="Arial" w:eastAsia="Arial" w:hAnsi="Arial"/>
                <w:sz w:val="11"/>
                <w:szCs w:val="11"/>
                <w:color w:val="auto"/>
              </w:rPr>
              <w:t>72,118</w:t>
            </w:r>
          </w:p>
        </w:tc>
        <w:tc>
          <w:tcPr>
            <w:tcW w:w="0" w:type="dxa"/>
            <w:vAlign w:val="bottom"/>
          </w:tcPr>
          <w:p>
            <w:pPr>
              <w:spacing w:after="0"/>
              <w:rPr>
                <w:sz w:val="1"/>
                <w:szCs w:val="1"/>
                <w:color w:val="auto"/>
              </w:rPr>
            </w:pPr>
          </w:p>
        </w:tc>
      </w:tr>
      <w:tr>
        <w:trPr>
          <w:trHeight w:val="141"/>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7,046,715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9,987,796</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241"/>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002"/>
          </w:cols>
          <w:pgMar w:left="318" w:top="306" w:right="5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38"/>
        </w:trPr>
        <w:tc>
          <w:tcPr>
            <w:tcW w:w="1360" w:type="dxa"/>
            <w:vAlign w:val="bottom"/>
          </w:tcPr>
          <w:p>
            <w:pPr>
              <w:spacing w:after="0"/>
              <w:rPr>
                <w:sz w:val="11"/>
                <w:szCs w:val="11"/>
                <w:color w:val="auto"/>
              </w:rPr>
            </w:pPr>
          </w:p>
        </w:tc>
        <w:tc>
          <w:tcPr>
            <w:tcW w:w="940" w:type="dxa"/>
            <w:vAlign w:val="bottom"/>
            <w:vMerge w:val="restart"/>
          </w:tcPr>
          <w:p>
            <w:pPr>
              <w:spacing w:after="0"/>
              <w:rPr>
                <w:sz w:val="20"/>
                <w:szCs w:val="20"/>
                <w:color w:val="auto"/>
              </w:rPr>
            </w:pPr>
            <w:r>
              <w:rPr>
                <w:rFonts w:ascii="Arial" w:cs="Arial" w:eastAsia="Arial" w:hAnsi="Arial"/>
                <w:sz w:val="11"/>
                <w:szCs w:val="11"/>
                <w:b w:val="1"/>
                <w:bCs w:val="1"/>
                <w:color w:val="auto"/>
              </w:rPr>
              <w:t>Annual interest</w:t>
            </w: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Interest</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Hedge Accounting</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4"/>
          </w:tcPr>
          <w:p>
            <w:pPr>
              <w:ind w:left="20"/>
              <w:spacing w:after="0"/>
              <w:rPr>
                <w:sz w:val="20"/>
                <w:szCs w:val="20"/>
                <w:color w:val="auto"/>
              </w:rPr>
            </w:pPr>
            <w:r>
              <w:rPr>
                <w:rFonts w:ascii="Arial" w:cs="Arial" w:eastAsia="Arial" w:hAnsi="Arial"/>
                <w:sz w:val="11"/>
                <w:szCs w:val="11"/>
                <w:b w:val="1"/>
                <w:bCs w:val="1"/>
                <w:color w:val="auto"/>
              </w:rPr>
              <w:t>As of December 31, 2023</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gridSpan w:val="4"/>
          </w:tcPr>
          <w:p>
            <w:pPr>
              <w:spacing w:after="0"/>
              <w:rPr>
                <w:sz w:val="20"/>
                <w:szCs w:val="20"/>
                <w:color w:val="auto"/>
              </w:rPr>
            </w:pPr>
            <w:r>
              <w:rPr>
                <w:rFonts w:ascii="Arial" w:cs="Arial" w:eastAsia="Arial" w:hAnsi="Arial"/>
                <w:sz w:val="11"/>
                <w:szCs w:val="11"/>
                <w:b w:val="1"/>
                <w:bCs w:val="1"/>
                <w:color w:val="auto"/>
              </w:rPr>
              <w:t>As of December 31, 2022</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3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Type</w:t>
            </w:r>
          </w:p>
        </w:tc>
        <w:tc>
          <w:tcPr>
            <w:tcW w:w="6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b w:val="1"/>
                <w:bCs w:val="1"/>
                <w:color w:val="auto"/>
              </w:rPr>
              <w:t>Notional</w:t>
            </w:r>
          </w:p>
        </w:tc>
        <w:tc>
          <w:tcPr>
            <w:tcW w:w="140" w:type="dxa"/>
            <w:vAlign w:val="bottom"/>
          </w:tcPr>
          <w:p>
            <w:pPr>
              <w:spacing w:after="0"/>
              <w:rPr>
                <w:sz w:val="8"/>
                <w:szCs w:val="8"/>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Maturity</w:t>
            </w:r>
          </w:p>
        </w:tc>
        <w:tc>
          <w:tcPr>
            <w:tcW w:w="840" w:type="dxa"/>
            <w:vAlign w:val="bottom"/>
            <w:gridSpan w:val="2"/>
          </w:tcPr>
          <w:p>
            <w:pPr>
              <w:spacing w:after="0" w:line="99" w:lineRule="exact"/>
              <w:rPr>
                <w:sz w:val="20"/>
                <w:szCs w:val="20"/>
                <w:color w:val="auto"/>
              </w:rPr>
            </w:pPr>
            <w:r>
              <w:rPr>
                <w:rFonts w:ascii="Arial" w:cs="Arial" w:eastAsia="Arial" w:hAnsi="Arial"/>
                <w:sz w:val="11"/>
                <w:szCs w:val="11"/>
                <w:b w:val="1"/>
                <w:bCs w:val="1"/>
                <w:color w:val="auto"/>
              </w:rPr>
              <w:t>Issued</w:t>
            </w:r>
          </w:p>
        </w:tc>
        <w:tc>
          <w:tcPr>
            <w:tcW w:w="600" w:type="dxa"/>
            <w:vAlign w:val="bottom"/>
          </w:tcPr>
          <w:p>
            <w:pPr>
              <w:spacing w:after="0" w:line="99" w:lineRule="exact"/>
              <w:rPr>
                <w:sz w:val="20"/>
                <w:szCs w:val="20"/>
                <w:color w:val="auto"/>
              </w:rPr>
            </w:pPr>
            <w:r>
              <w:rPr>
                <w:rFonts w:ascii="Arial" w:cs="Arial" w:eastAsia="Arial" w:hAnsi="Arial"/>
                <w:sz w:val="11"/>
                <w:szCs w:val="11"/>
                <w:b w:val="1"/>
                <w:bCs w:val="1"/>
                <w:color w:val="auto"/>
              </w:rPr>
              <w:t>Carrying</w:t>
            </w:r>
          </w:p>
        </w:tc>
        <w:tc>
          <w:tcPr>
            <w:tcW w:w="200" w:type="dxa"/>
            <w:vAlign w:val="bottom"/>
            <w:vMerge w:val="continue"/>
          </w:tcPr>
          <w:p>
            <w:pPr>
              <w:spacing w:after="0"/>
              <w:rPr>
                <w:sz w:val="8"/>
                <w:szCs w:val="8"/>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Maturity</w:t>
            </w:r>
          </w:p>
        </w:tc>
        <w:tc>
          <w:tcPr>
            <w:tcW w:w="880" w:type="dxa"/>
            <w:vAlign w:val="bottom"/>
            <w:gridSpan w:val="2"/>
          </w:tcPr>
          <w:p>
            <w:pPr>
              <w:spacing w:after="0" w:line="99" w:lineRule="exact"/>
              <w:rPr>
                <w:sz w:val="20"/>
                <w:szCs w:val="20"/>
                <w:color w:val="auto"/>
              </w:rPr>
            </w:pPr>
            <w:r>
              <w:rPr>
                <w:rFonts w:ascii="Arial" w:cs="Arial" w:eastAsia="Arial" w:hAnsi="Arial"/>
                <w:sz w:val="11"/>
                <w:szCs w:val="11"/>
                <w:b w:val="1"/>
                <w:bCs w:val="1"/>
                <w:color w:val="auto"/>
              </w:rPr>
              <w:t>Issued</w:t>
            </w:r>
          </w:p>
        </w:tc>
        <w:tc>
          <w:tcPr>
            <w:tcW w:w="620" w:type="dxa"/>
            <w:vAlign w:val="bottom"/>
          </w:tcPr>
          <w:p>
            <w:pPr>
              <w:spacing w:after="0" w:line="99" w:lineRule="exact"/>
              <w:rPr>
                <w:sz w:val="20"/>
                <w:szCs w:val="20"/>
                <w:color w:val="auto"/>
              </w:rPr>
            </w:pPr>
            <w:r>
              <w:rPr>
                <w:rFonts w:ascii="Arial" w:cs="Arial" w:eastAsia="Arial" w:hAnsi="Arial"/>
                <w:sz w:val="11"/>
                <w:szCs w:val="11"/>
                <w:b w:val="1"/>
                <w:bCs w:val="1"/>
                <w:color w:val="auto"/>
              </w:rPr>
              <w:t>Carrying</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360" w:type="dxa"/>
            <w:vAlign w:val="bottom"/>
          </w:tcPr>
          <w:p>
            <w:pPr>
              <w:spacing w:after="0"/>
              <w:rPr>
                <w:sz w:val="11"/>
                <w:szCs w:val="11"/>
                <w:color w:val="auto"/>
              </w:rPr>
            </w:pPr>
          </w:p>
        </w:tc>
        <w:tc>
          <w:tcPr>
            <w:tcW w:w="940" w:type="dxa"/>
            <w:vAlign w:val="bottom"/>
          </w:tcPr>
          <w:p>
            <w:pPr>
              <w:spacing w:after="0"/>
              <w:rPr>
                <w:sz w:val="20"/>
                <w:szCs w:val="20"/>
                <w:color w:val="auto"/>
              </w:rPr>
            </w:pPr>
            <w:r>
              <w:rPr>
                <w:rFonts w:ascii="Arial" w:cs="Arial" w:eastAsia="Arial" w:hAnsi="Arial"/>
                <w:sz w:val="11"/>
                <w:szCs w:val="11"/>
                <w:b w:val="1"/>
                <w:bCs w:val="1"/>
                <w:color w:val="auto"/>
              </w:rPr>
              <w:t>rate</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payment</w:t>
            </w:r>
          </w:p>
        </w:tc>
        <w:tc>
          <w:tcPr>
            <w:tcW w:w="540" w:type="dxa"/>
            <w:vAlign w:val="bottom"/>
            <w:gridSpan w:val="2"/>
            <w:vMerge w:val="continue"/>
          </w:tcPr>
          <w:p>
            <w:pPr>
              <w:spacing w:after="0"/>
              <w:rPr>
                <w:sz w:val="11"/>
                <w:szCs w:val="11"/>
                <w:color w:val="auto"/>
              </w:rPr>
            </w:pPr>
          </w:p>
        </w:tc>
        <w:tc>
          <w:tcPr>
            <w:tcW w:w="1260" w:type="dxa"/>
            <w:vAlign w:val="bottom"/>
            <w:gridSpan w:val="2"/>
          </w:tcPr>
          <w:p>
            <w:pPr>
              <w:ind w:left="180"/>
              <w:spacing w:after="0"/>
              <w:rPr>
                <w:sz w:val="20"/>
                <w:szCs w:val="20"/>
                <w:color w:val="auto"/>
              </w:rPr>
            </w:pPr>
            <w:r>
              <w:rPr>
                <w:rFonts w:ascii="Arial" w:cs="Arial" w:eastAsia="Arial" w:hAnsi="Arial"/>
                <w:sz w:val="11"/>
                <w:szCs w:val="11"/>
                <w:b w:val="1"/>
                <w:bCs w:val="1"/>
                <w:color w:val="auto"/>
              </w:rPr>
              <w:t>Notional Equivalent</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vMerge w:val="continue"/>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47"/>
        </w:trPr>
        <w:tc>
          <w:tcPr>
            <w:tcW w:w="1360" w:type="dxa"/>
            <w:vAlign w:val="bottom"/>
          </w:tcPr>
          <w:p>
            <w:pPr>
              <w:spacing w:after="0"/>
              <w:rPr>
                <w:sz w:val="12"/>
                <w:szCs w:val="12"/>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180"/>
              <w:spacing w:after="0"/>
              <w:rPr>
                <w:sz w:val="20"/>
                <w:szCs w:val="20"/>
                <w:color w:val="auto"/>
              </w:rPr>
            </w:pPr>
            <w:r>
              <w:rPr>
                <w:rFonts w:ascii="Arial" w:cs="Arial" w:eastAsia="Arial" w:hAnsi="Arial"/>
                <w:sz w:val="11"/>
                <w:szCs w:val="11"/>
                <w:b w:val="1"/>
                <w:bCs w:val="1"/>
                <w:color w:val="auto"/>
              </w:rPr>
              <w:t>(000)</w:t>
            </w: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(000)</w:t>
            </w: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(000)</w:t>
            </w: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1"/>
                <w:szCs w:val="11"/>
                <w:b w:val="1"/>
                <w:bCs w:val="1"/>
                <w:color w:val="auto"/>
              </w:rPr>
              <w:t>Subordinated bonds -</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320"/>
              <w:spacing w:after="0" w:line="122" w:lineRule="exact"/>
              <w:rPr>
                <w:sz w:val="20"/>
                <w:szCs w:val="20"/>
                <w:color w:val="auto"/>
              </w:rPr>
            </w:pPr>
            <w:r>
              <w:rPr>
                <w:rFonts w:ascii="Arial" w:cs="Arial" w:eastAsia="Arial" w:hAnsi="Arial"/>
                <w:sz w:val="11"/>
                <w:szCs w:val="11"/>
                <w:b w:val="1"/>
                <w:bCs w:val="1"/>
                <w:color w:val="auto"/>
              </w:rPr>
              <w:t>Subordinated</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spacing w:after="0" w:line="122" w:lineRule="exact"/>
              <w:rPr>
                <w:sz w:val="20"/>
                <w:szCs w:val="20"/>
                <w:color w:val="auto"/>
              </w:rPr>
            </w:pPr>
            <w:r>
              <w:rPr>
                <w:rFonts w:ascii="Arial" w:cs="Arial" w:eastAsia="Arial" w:hAnsi="Arial"/>
                <w:sz w:val="11"/>
                <w:szCs w:val="11"/>
                <w:color w:val="auto"/>
              </w:rPr>
              <w:t>July 2030 /</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b w:val="1"/>
                <w:bCs w:val="1"/>
                <w:color w:val="auto"/>
              </w:rPr>
              <w:t>bonds - BCP</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July 2030 /</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spacing w:after="0" w:line="122" w:lineRule="exact"/>
              <w:rPr>
                <w:sz w:val="20"/>
                <w:szCs w:val="20"/>
                <w:color w:val="auto"/>
              </w:rPr>
            </w:pPr>
            <w:r>
              <w:rPr>
                <w:rFonts w:ascii="Arial" w:cs="Arial" w:eastAsia="Arial" w:hAnsi="Arial"/>
                <w:sz w:val="11"/>
                <w:szCs w:val="11"/>
                <w:color w:val="auto"/>
              </w:rPr>
              <w:t>September</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360" w:type="dxa"/>
            <w:vAlign w:val="bottom"/>
          </w:tcPr>
          <w:p>
            <w:pPr>
              <w:ind w:left="460"/>
              <w:spacing w:after="0"/>
              <w:rPr>
                <w:sz w:val="20"/>
                <w:szCs w:val="20"/>
                <w:color w:val="auto"/>
              </w:rPr>
            </w:pPr>
            <w:r>
              <w:rPr>
                <w:rFonts w:ascii="Arial" w:cs="Arial" w:eastAsia="Arial" w:hAnsi="Arial"/>
                <w:sz w:val="11"/>
                <w:szCs w:val="11"/>
                <w:b w:val="1"/>
                <w:bCs w:val="1"/>
                <w:color w:val="auto"/>
              </w:rPr>
              <w:t>(vi)</w:t>
            </w:r>
          </w:p>
        </w:tc>
        <w:tc>
          <w:tcPr>
            <w:tcW w:w="940" w:type="dxa"/>
            <w:vAlign w:val="bottom"/>
          </w:tcPr>
          <w:p>
            <w:pPr>
              <w:ind w:left="20"/>
              <w:spacing w:after="0"/>
              <w:rPr>
                <w:sz w:val="20"/>
                <w:szCs w:val="20"/>
                <w:color w:val="auto"/>
              </w:rPr>
            </w:pPr>
            <w:r>
              <w:rPr>
                <w:rFonts w:ascii="Arial" w:cs="Arial" w:eastAsia="Arial" w:hAnsi="Arial"/>
                <w:sz w:val="11"/>
                <w:szCs w:val="11"/>
                <w:color w:val="auto"/>
              </w:rPr>
              <w:t>From 3.13 to 3.25</w:t>
            </w: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Semi-annual</w:t>
            </w:r>
          </w:p>
        </w:tc>
        <w:tc>
          <w:tcPr>
            <w:tcW w:w="5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660" w:type="dxa"/>
            <w:vAlign w:val="bottom"/>
          </w:tcPr>
          <w:p>
            <w:pPr>
              <w:jc w:val="right"/>
              <w:ind w:right="523"/>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960" w:type="dxa"/>
            <w:vAlign w:val="bottom"/>
            <w:gridSpan w:val="2"/>
          </w:tcPr>
          <w:p>
            <w:pPr>
              <w:ind w:left="20"/>
              <w:spacing w:after="0"/>
              <w:rPr>
                <w:sz w:val="20"/>
                <w:szCs w:val="20"/>
                <w:color w:val="auto"/>
              </w:rPr>
            </w:pPr>
            <w:r>
              <w:rPr>
                <w:rFonts w:ascii="Arial" w:cs="Arial" w:eastAsia="Arial" w:hAnsi="Arial"/>
                <w:sz w:val="11"/>
                <w:szCs w:val="11"/>
                <w:color w:val="auto"/>
              </w:rPr>
              <w:t>September 2031</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US$1,350,000</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4,954,968</w:t>
            </w:r>
          </w:p>
        </w:tc>
        <w:tc>
          <w:tcPr>
            <w:tcW w:w="740" w:type="dxa"/>
            <w:vAlign w:val="bottom"/>
          </w:tcPr>
          <w:p>
            <w:pPr>
              <w:spacing w:after="0"/>
              <w:rPr>
                <w:sz w:val="20"/>
                <w:szCs w:val="20"/>
                <w:color w:val="auto"/>
              </w:rPr>
            </w:pPr>
            <w:r>
              <w:rPr>
                <w:rFonts w:ascii="Arial" w:cs="Arial" w:eastAsia="Arial" w:hAnsi="Arial"/>
                <w:sz w:val="11"/>
                <w:szCs w:val="11"/>
                <w:color w:val="auto"/>
              </w:rPr>
              <w:t>2031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US$1,350,000</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5,064,963</w:t>
            </w:r>
          </w:p>
        </w:tc>
        <w:tc>
          <w:tcPr>
            <w:tcW w:w="0" w:type="dxa"/>
            <w:vAlign w:val="bottom"/>
          </w:tcPr>
          <w:p>
            <w:pPr>
              <w:spacing w:after="0"/>
              <w:rPr>
                <w:sz w:val="1"/>
                <w:szCs w:val="1"/>
                <w:color w:val="auto"/>
              </w:rPr>
            </w:pPr>
          </w:p>
        </w:tc>
      </w:tr>
      <w:tr>
        <w:trPr>
          <w:trHeight w:val="211"/>
        </w:trPr>
        <w:tc>
          <w:tcPr>
            <w:tcW w:w="1360" w:type="dxa"/>
            <w:vAlign w:val="bottom"/>
          </w:tcPr>
          <w:p>
            <w:pPr>
              <w:ind w:left="320"/>
              <w:spacing w:after="0"/>
              <w:rPr>
                <w:sz w:val="20"/>
                <w:szCs w:val="20"/>
                <w:color w:val="auto"/>
              </w:rPr>
            </w:pPr>
            <w:r>
              <w:rPr>
                <w:rFonts w:ascii="Arial" w:cs="Arial" w:eastAsia="Arial" w:hAnsi="Arial"/>
                <w:sz w:val="11"/>
                <w:szCs w:val="11"/>
                <w:b w:val="1"/>
                <w:bCs w:val="1"/>
                <w:color w:val="auto"/>
              </w:rPr>
              <w:t>First program</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320"/>
              <w:spacing w:after="0" w:line="122" w:lineRule="exact"/>
              <w:rPr>
                <w:sz w:val="20"/>
                <w:szCs w:val="20"/>
                <w:color w:val="auto"/>
              </w:rPr>
            </w:pPr>
            <w:r>
              <w:rPr>
                <w:rFonts w:ascii="Arial" w:cs="Arial" w:eastAsia="Arial" w:hAnsi="Arial"/>
                <w:sz w:val="11"/>
                <w:szCs w:val="11"/>
                <w:color w:val="auto"/>
              </w:rPr>
              <w:t>First issuance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(Series A) -</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Pacífico</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spacing w:after="0" w:line="122" w:lineRule="exact"/>
              <w:rPr>
                <w:sz w:val="20"/>
                <w:szCs w:val="20"/>
                <w:color w:val="auto"/>
              </w:rPr>
            </w:pPr>
            <w:r>
              <w:rPr>
                <w:rFonts w:ascii="Arial" w:cs="Arial" w:eastAsia="Arial" w:hAnsi="Arial"/>
                <w:sz w:val="11"/>
                <w:szCs w:val="11"/>
                <w:color w:val="auto"/>
              </w:rPr>
              <w:t>November</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460"/>
              <w:spacing w:after="0"/>
              <w:rPr>
                <w:sz w:val="20"/>
                <w:szCs w:val="20"/>
                <w:color w:val="auto"/>
              </w:rPr>
            </w:pPr>
            <w:r>
              <w:rPr>
                <w:rFonts w:ascii="Arial" w:cs="Arial" w:eastAsia="Arial" w:hAnsi="Arial"/>
                <w:sz w:val="11"/>
                <w:szCs w:val="11"/>
                <w:color w:val="auto"/>
              </w:rPr>
              <w:t>Seguros (vii)</w:t>
            </w:r>
          </w:p>
        </w:tc>
        <w:tc>
          <w:tcPr>
            <w:tcW w:w="940" w:type="dxa"/>
            <w:vAlign w:val="bottom"/>
          </w:tcPr>
          <w:p>
            <w:pPr>
              <w:jc w:val="right"/>
              <w:ind w:right="303"/>
              <w:spacing w:after="0"/>
              <w:rPr>
                <w:sz w:val="20"/>
                <w:szCs w:val="20"/>
                <w:color w:val="auto"/>
              </w:rPr>
            </w:pPr>
            <w:r>
              <w:rPr>
                <w:rFonts w:ascii="Arial" w:cs="Arial" w:eastAsia="Arial" w:hAnsi="Arial"/>
                <w:sz w:val="11"/>
                <w:szCs w:val="11"/>
                <w:color w:val="auto"/>
              </w:rPr>
              <w:t>6.97</w:t>
            </w: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Quarterly</w:t>
            </w:r>
          </w:p>
        </w:tc>
        <w:tc>
          <w:tcPr>
            <w:tcW w:w="5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660" w:type="dxa"/>
            <w:vAlign w:val="bottom"/>
          </w:tcPr>
          <w:p>
            <w:pPr>
              <w:jc w:val="right"/>
              <w:ind w:right="523"/>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60" w:type="dxa"/>
            <w:vAlign w:val="bottom"/>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20"/>
                <w:szCs w:val="20"/>
                <w:color w:val="auto"/>
              </w:rPr>
            </w:pPr>
            <w:r>
              <w:rPr>
                <w:rFonts w:ascii="Arial" w:cs="Arial" w:eastAsia="Arial" w:hAnsi="Arial"/>
                <w:sz w:val="11"/>
                <w:szCs w:val="11"/>
                <w:color w:val="auto"/>
              </w:rPr>
              <w:t>2026</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US$60,000</w:t>
            </w:r>
          </w:p>
        </w:tc>
        <w:tc>
          <w:tcPr>
            <w:tcW w:w="620" w:type="dxa"/>
            <w:vAlign w:val="bottom"/>
          </w:tcPr>
          <w:p>
            <w:pPr>
              <w:jc w:val="right"/>
              <w:spacing w:after="0"/>
              <w:rPr>
                <w:sz w:val="20"/>
                <w:szCs w:val="20"/>
                <w:color w:val="auto"/>
              </w:rPr>
            </w:pPr>
            <w:r>
              <w:rPr>
                <w:rFonts w:ascii="Arial" w:cs="Arial" w:eastAsia="Arial" w:hAnsi="Arial"/>
                <w:sz w:val="11"/>
                <w:szCs w:val="11"/>
                <w:color w:val="auto"/>
              </w:rPr>
              <w:t>228,840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360" w:type="dxa"/>
            <w:vAlign w:val="bottom"/>
          </w:tcPr>
          <w:p>
            <w:pPr>
              <w:ind w:left="320"/>
              <w:spacing w:after="0"/>
              <w:rPr>
                <w:sz w:val="20"/>
                <w:szCs w:val="20"/>
                <w:color w:val="auto"/>
              </w:rPr>
            </w:pPr>
            <w:r>
              <w:rPr>
                <w:rFonts w:ascii="Arial" w:cs="Arial" w:eastAsia="Arial" w:hAnsi="Arial"/>
                <w:sz w:val="11"/>
                <w:szCs w:val="11"/>
                <w:b w:val="1"/>
                <w:bCs w:val="1"/>
                <w:color w:val="auto"/>
              </w:rPr>
              <w:t>Second program</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320"/>
              <w:spacing w:after="0" w:line="122" w:lineRule="exact"/>
              <w:rPr>
                <w:sz w:val="20"/>
                <w:szCs w:val="20"/>
                <w:color w:val="auto"/>
              </w:rPr>
            </w:pPr>
            <w:r>
              <w:rPr>
                <w:rFonts w:ascii="Arial" w:cs="Arial" w:eastAsia="Arial" w:hAnsi="Arial"/>
                <w:sz w:val="11"/>
                <w:szCs w:val="11"/>
                <w:color w:val="auto"/>
              </w:rPr>
              <w:t>Second issuance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(Series A) -</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Pacífico</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spacing w:after="0" w:line="122" w:lineRule="exact"/>
              <w:rPr>
                <w:sz w:val="20"/>
                <w:szCs w:val="20"/>
                <w:color w:val="auto"/>
              </w:rPr>
            </w:pPr>
            <w:r>
              <w:rPr>
                <w:rFonts w:ascii="Arial" w:cs="Arial" w:eastAsia="Arial" w:hAnsi="Arial"/>
                <w:sz w:val="11"/>
                <w:szCs w:val="11"/>
                <w:color w:val="auto"/>
              </w:rPr>
              <w:t>December</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Seguros</w:t>
            </w:r>
          </w:p>
        </w:tc>
        <w:tc>
          <w:tcPr>
            <w:tcW w:w="940" w:type="dxa"/>
            <w:vAlign w:val="bottom"/>
          </w:tcPr>
          <w:p>
            <w:pPr>
              <w:jc w:val="right"/>
              <w:ind w:right="303"/>
              <w:spacing w:after="0" w:line="122" w:lineRule="exact"/>
              <w:rPr>
                <w:sz w:val="20"/>
                <w:szCs w:val="20"/>
                <w:color w:val="auto"/>
              </w:rPr>
            </w:pPr>
            <w:r>
              <w:rPr>
                <w:rFonts w:ascii="Arial" w:cs="Arial" w:eastAsia="Arial" w:hAnsi="Arial"/>
                <w:sz w:val="11"/>
                <w:szCs w:val="11"/>
                <w:color w:val="auto"/>
              </w:rPr>
              <w:t>4.41</w:t>
            </w:r>
          </w:p>
        </w:tc>
        <w:tc>
          <w:tcPr>
            <w:tcW w:w="9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Semi-annual</w:t>
            </w:r>
          </w:p>
        </w:tc>
        <w:tc>
          <w:tcPr>
            <w:tcW w:w="5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10"/>
                <w:szCs w:val="10"/>
                <w:color w:val="auto"/>
              </w:rPr>
            </w:pPr>
          </w:p>
        </w:tc>
        <w:tc>
          <w:tcPr>
            <w:tcW w:w="660" w:type="dxa"/>
            <w:vAlign w:val="bottom"/>
          </w:tcPr>
          <w:p>
            <w:pPr>
              <w:jc w:val="right"/>
              <w:ind w:right="523"/>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jc w:val="right"/>
              <w:ind w:right="23"/>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December 2030</w:t>
            </w:r>
          </w:p>
        </w:tc>
        <w:tc>
          <w:tcPr>
            <w:tcW w:w="8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US$50,000</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205,952</w:t>
            </w:r>
          </w:p>
        </w:tc>
        <w:tc>
          <w:tcPr>
            <w:tcW w:w="200" w:type="dxa"/>
            <w:vAlign w:val="bottom"/>
          </w:tcPr>
          <w:p>
            <w:pPr>
              <w:spacing w:after="0"/>
              <w:rPr>
                <w:sz w:val="10"/>
                <w:szCs w:val="10"/>
                <w:color w:val="auto"/>
              </w:rPr>
            </w:pPr>
          </w:p>
        </w:tc>
        <w:tc>
          <w:tcPr>
            <w:tcW w:w="740" w:type="dxa"/>
            <w:vAlign w:val="bottom"/>
          </w:tcPr>
          <w:p>
            <w:pPr>
              <w:spacing w:after="0" w:line="122" w:lineRule="exact"/>
              <w:rPr>
                <w:sz w:val="20"/>
                <w:szCs w:val="20"/>
                <w:color w:val="auto"/>
              </w:rPr>
            </w:pPr>
            <w:r>
              <w:rPr>
                <w:rFonts w:ascii="Arial" w:cs="Arial" w:eastAsia="Arial" w:hAnsi="Arial"/>
                <w:sz w:val="11"/>
                <w:szCs w:val="11"/>
                <w:color w:val="auto"/>
              </w:rPr>
              <w:t>2030</w:t>
            </w:r>
          </w:p>
        </w:tc>
        <w:tc>
          <w:tcPr>
            <w:tcW w:w="100" w:type="dxa"/>
            <w:vAlign w:val="bottom"/>
          </w:tcPr>
          <w:p>
            <w:pPr>
              <w:spacing w:after="0"/>
              <w:rPr>
                <w:sz w:val="10"/>
                <w:szCs w:val="10"/>
                <w:color w:val="auto"/>
              </w:rPr>
            </w:pP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US$50,000</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173,635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320"/>
              <w:spacing w:after="0" w:line="122" w:lineRule="exact"/>
              <w:rPr>
                <w:sz w:val="20"/>
                <w:szCs w:val="20"/>
                <w:color w:val="auto"/>
              </w:rPr>
            </w:pPr>
            <w:r>
              <w:rPr>
                <w:rFonts w:ascii="Arial" w:cs="Arial" w:eastAsia="Arial" w:hAnsi="Arial"/>
                <w:sz w:val="11"/>
                <w:szCs w:val="11"/>
                <w:color w:val="auto"/>
              </w:rPr>
              <w:t>Second issuance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(Series B) -</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Pacífico</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Seguros</w:t>
            </w:r>
          </w:p>
        </w:tc>
        <w:tc>
          <w:tcPr>
            <w:tcW w:w="940" w:type="dxa"/>
            <w:vAlign w:val="bottom"/>
          </w:tcPr>
          <w:p>
            <w:pPr>
              <w:jc w:val="right"/>
              <w:ind w:right="303"/>
              <w:spacing w:after="0" w:line="122" w:lineRule="exact"/>
              <w:rPr>
                <w:sz w:val="20"/>
                <w:szCs w:val="20"/>
                <w:color w:val="auto"/>
              </w:rPr>
            </w:pPr>
            <w:r>
              <w:rPr>
                <w:rFonts w:ascii="Arial" w:cs="Arial" w:eastAsia="Arial" w:hAnsi="Arial"/>
                <w:sz w:val="11"/>
                <w:szCs w:val="11"/>
                <w:color w:val="auto"/>
              </w:rPr>
              <w:t>8.00</w:t>
            </w:r>
          </w:p>
        </w:tc>
        <w:tc>
          <w:tcPr>
            <w:tcW w:w="9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Semi-annual</w:t>
            </w:r>
          </w:p>
        </w:tc>
        <w:tc>
          <w:tcPr>
            <w:tcW w:w="5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10"/>
                <w:szCs w:val="10"/>
                <w:color w:val="auto"/>
              </w:rPr>
            </w:pPr>
          </w:p>
        </w:tc>
        <w:tc>
          <w:tcPr>
            <w:tcW w:w="660" w:type="dxa"/>
            <w:vAlign w:val="bottom"/>
          </w:tcPr>
          <w:p>
            <w:pPr>
              <w:jc w:val="right"/>
              <w:ind w:right="523"/>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jc w:val="right"/>
              <w:ind w:right="23"/>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May 2033</w:t>
            </w:r>
          </w:p>
        </w:tc>
        <w:tc>
          <w:tcPr>
            <w:tcW w:w="8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US$60,000</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185,450</w:t>
            </w:r>
          </w:p>
        </w:tc>
        <w:tc>
          <w:tcPr>
            <w:tcW w:w="200" w:type="dxa"/>
            <w:vAlign w:val="bottom"/>
          </w:tcPr>
          <w:p>
            <w:pPr>
              <w:spacing w:after="0"/>
              <w:rPr>
                <w:sz w:val="10"/>
                <w:szCs w:val="10"/>
                <w:color w:val="auto"/>
              </w:rPr>
            </w:pPr>
          </w:p>
        </w:tc>
        <w:tc>
          <w:tcPr>
            <w:tcW w:w="74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360" w:type="dxa"/>
            <w:vAlign w:val="bottom"/>
          </w:tcPr>
          <w:p>
            <w:pPr>
              <w:ind w:left="320"/>
              <w:spacing w:after="0" w:line="122" w:lineRule="exact"/>
              <w:rPr>
                <w:sz w:val="20"/>
                <w:szCs w:val="20"/>
                <w:color w:val="auto"/>
              </w:rPr>
            </w:pPr>
            <w:r>
              <w:rPr>
                <w:rFonts w:ascii="Arial" w:cs="Arial" w:eastAsia="Arial" w:hAnsi="Arial"/>
                <w:sz w:val="11"/>
                <w:szCs w:val="11"/>
                <w:color w:val="auto"/>
              </w:rPr>
              <w:t>First issuance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(Series B) -</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460"/>
              <w:spacing w:after="0"/>
              <w:rPr>
                <w:sz w:val="20"/>
                <w:szCs w:val="20"/>
                <w:color w:val="auto"/>
              </w:rPr>
            </w:pPr>
            <w:r>
              <w:rPr>
                <w:rFonts w:ascii="Arial" w:cs="Arial" w:eastAsia="Arial" w:hAnsi="Arial"/>
                <w:sz w:val="11"/>
                <w:szCs w:val="11"/>
                <w:color w:val="auto"/>
              </w:rPr>
              <w:t>MiBanco</w:t>
            </w:r>
          </w:p>
        </w:tc>
        <w:tc>
          <w:tcPr>
            <w:tcW w:w="940" w:type="dxa"/>
            <w:vAlign w:val="bottom"/>
          </w:tcPr>
          <w:p>
            <w:pPr>
              <w:jc w:val="right"/>
              <w:ind w:right="303"/>
              <w:spacing w:after="0"/>
              <w:rPr>
                <w:sz w:val="20"/>
                <w:szCs w:val="20"/>
                <w:color w:val="auto"/>
              </w:rPr>
            </w:pPr>
            <w:r>
              <w:rPr>
                <w:rFonts w:ascii="Arial" w:cs="Arial" w:eastAsia="Arial" w:hAnsi="Arial"/>
                <w:sz w:val="11"/>
                <w:szCs w:val="11"/>
                <w:color w:val="auto"/>
              </w:rPr>
              <w:t>7.22</w:t>
            </w: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Semi-annual</w:t>
            </w:r>
          </w:p>
        </w:tc>
        <w:tc>
          <w:tcPr>
            <w:tcW w:w="5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660" w:type="dxa"/>
            <w:vAlign w:val="bottom"/>
          </w:tcPr>
          <w:p>
            <w:pPr>
              <w:jc w:val="right"/>
              <w:ind w:right="523"/>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960" w:type="dxa"/>
            <w:vAlign w:val="bottom"/>
            <w:gridSpan w:val="2"/>
          </w:tcPr>
          <w:p>
            <w:pPr>
              <w:ind w:left="20"/>
              <w:spacing w:after="0"/>
              <w:rPr>
                <w:sz w:val="20"/>
                <w:szCs w:val="20"/>
                <w:color w:val="auto"/>
              </w:rPr>
            </w:pPr>
            <w:r>
              <w:rPr>
                <w:rFonts w:ascii="Arial" w:cs="Arial" w:eastAsia="Arial" w:hAnsi="Arial"/>
                <w:sz w:val="11"/>
                <w:szCs w:val="11"/>
                <w:color w:val="auto"/>
              </w:rPr>
              <w:t>June 2027</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S/30,000</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30,000</w:t>
            </w:r>
          </w:p>
        </w:tc>
        <w:tc>
          <w:tcPr>
            <w:tcW w:w="840" w:type="dxa"/>
            <w:vAlign w:val="bottom"/>
            <w:gridSpan w:val="2"/>
          </w:tcPr>
          <w:p>
            <w:pPr>
              <w:spacing w:after="0"/>
              <w:rPr>
                <w:sz w:val="20"/>
                <w:szCs w:val="20"/>
                <w:color w:val="auto"/>
              </w:rPr>
            </w:pPr>
            <w:r>
              <w:rPr>
                <w:rFonts w:ascii="Arial" w:cs="Arial" w:eastAsia="Arial" w:hAnsi="Arial"/>
                <w:sz w:val="11"/>
                <w:szCs w:val="11"/>
                <w:color w:val="auto"/>
              </w:rPr>
              <w:t>June 2027</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S/30,000</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30,000</w:t>
            </w:r>
          </w:p>
        </w:tc>
        <w:tc>
          <w:tcPr>
            <w:tcW w:w="0" w:type="dxa"/>
            <w:vAlign w:val="bottom"/>
          </w:tcPr>
          <w:p>
            <w:pPr>
              <w:spacing w:after="0"/>
              <w:rPr>
                <w:sz w:val="1"/>
                <w:szCs w:val="1"/>
                <w:color w:val="auto"/>
              </w:rPr>
            </w:pPr>
          </w:p>
        </w:tc>
      </w:tr>
      <w:tr>
        <w:trPr>
          <w:trHeight w:val="217"/>
        </w:trPr>
        <w:tc>
          <w:tcPr>
            <w:tcW w:w="1360" w:type="dxa"/>
            <w:vAlign w:val="bottom"/>
          </w:tcPr>
          <w:p>
            <w:pPr>
              <w:ind w:left="320"/>
              <w:spacing w:after="0"/>
              <w:rPr>
                <w:sz w:val="20"/>
                <w:szCs w:val="20"/>
                <w:color w:val="auto"/>
              </w:rPr>
            </w:pPr>
            <w:r>
              <w:rPr>
                <w:rFonts w:ascii="Arial" w:cs="Arial" w:eastAsia="Arial" w:hAnsi="Arial"/>
                <w:sz w:val="11"/>
                <w:szCs w:val="11"/>
                <w:b w:val="1"/>
                <w:bCs w:val="1"/>
                <w:color w:val="auto"/>
              </w:rPr>
              <w:t>Third program</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320"/>
              <w:spacing w:after="0" w:line="122" w:lineRule="exact"/>
              <w:rPr>
                <w:sz w:val="20"/>
                <w:szCs w:val="20"/>
                <w:color w:val="auto"/>
              </w:rPr>
            </w:pPr>
            <w:r>
              <w:rPr>
                <w:rFonts w:ascii="Arial" w:cs="Arial" w:eastAsia="Arial" w:hAnsi="Arial"/>
                <w:sz w:val="11"/>
                <w:szCs w:val="11"/>
                <w:color w:val="auto"/>
              </w:rPr>
              <w:t>Issuance IV -</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Banco de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Crédito de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Bolivia</w:t>
            </w:r>
          </w:p>
        </w:tc>
        <w:tc>
          <w:tcPr>
            <w:tcW w:w="940" w:type="dxa"/>
            <w:vAlign w:val="bottom"/>
          </w:tcPr>
          <w:p>
            <w:pPr>
              <w:jc w:val="right"/>
              <w:ind w:right="303"/>
              <w:spacing w:after="0" w:line="122" w:lineRule="exact"/>
              <w:rPr>
                <w:sz w:val="20"/>
                <w:szCs w:val="20"/>
                <w:color w:val="auto"/>
              </w:rPr>
            </w:pPr>
            <w:r>
              <w:rPr>
                <w:rFonts w:ascii="Arial" w:cs="Arial" w:eastAsia="Arial" w:hAnsi="Arial"/>
                <w:sz w:val="11"/>
                <w:szCs w:val="11"/>
                <w:color w:val="auto"/>
              </w:rPr>
              <w:t>5.85</w:t>
            </w:r>
          </w:p>
        </w:tc>
        <w:tc>
          <w:tcPr>
            <w:tcW w:w="9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Semi-annual</w:t>
            </w:r>
          </w:p>
        </w:tc>
        <w:tc>
          <w:tcPr>
            <w:tcW w:w="5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10"/>
                <w:szCs w:val="10"/>
                <w:color w:val="auto"/>
              </w:rPr>
            </w:pPr>
          </w:p>
        </w:tc>
        <w:tc>
          <w:tcPr>
            <w:tcW w:w="660" w:type="dxa"/>
            <w:vAlign w:val="bottom"/>
          </w:tcPr>
          <w:p>
            <w:pPr>
              <w:jc w:val="right"/>
              <w:ind w:right="523"/>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jc w:val="right"/>
              <w:ind w:right="23"/>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February 2033</w:t>
            </w:r>
          </w:p>
        </w:tc>
        <w:tc>
          <w:tcPr>
            <w:tcW w:w="8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Bs137,200</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65,562</w:t>
            </w:r>
          </w:p>
        </w:tc>
        <w:tc>
          <w:tcPr>
            <w:tcW w:w="74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360" w:type="dxa"/>
            <w:vAlign w:val="bottom"/>
          </w:tcPr>
          <w:p>
            <w:pPr>
              <w:ind w:left="320"/>
              <w:spacing w:after="0" w:line="122" w:lineRule="exact"/>
              <w:rPr>
                <w:sz w:val="20"/>
                <w:szCs w:val="20"/>
                <w:color w:val="auto"/>
              </w:rPr>
            </w:pPr>
            <w:r>
              <w:rPr>
                <w:rFonts w:ascii="Arial" w:cs="Arial" w:eastAsia="Arial" w:hAnsi="Arial"/>
                <w:sz w:val="11"/>
                <w:szCs w:val="11"/>
                <w:color w:val="auto"/>
              </w:rPr>
              <w:t>Issuance III -</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Banco de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Crédito de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Bolivia</w:t>
            </w:r>
          </w:p>
        </w:tc>
        <w:tc>
          <w:tcPr>
            <w:tcW w:w="940" w:type="dxa"/>
            <w:vAlign w:val="bottom"/>
          </w:tcPr>
          <w:p>
            <w:pPr>
              <w:jc w:val="right"/>
              <w:ind w:right="303"/>
              <w:spacing w:after="0" w:line="122" w:lineRule="exact"/>
              <w:rPr>
                <w:sz w:val="20"/>
                <w:szCs w:val="20"/>
                <w:color w:val="auto"/>
              </w:rPr>
            </w:pPr>
            <w:r>
              <w:rPr>
                <w:rFonts w:ascii="Arial" w:cs="Arial" w:eastAsia="Arial" w:hAnsi="Arial"/>
                <w:sz w:val="11"/>
                <w:szCs w:val="11"/>
                <w:color w:val="auto"/>
              </w:rPr>
              <w:t>6.00</w:t>
            </w:r>
          </w:p>
        </w:tc>
        <w:tc>
          <w:tcPr>
            <w:tcW w:w="9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Semi-annual</w:t>
            </w:r>
          </w:p>
        </w:tc>
        <w:tc>
          <w:tcPr>
            <w:tcW w:w="5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10"/>
                <w:szCs w:val="10"/>
                <w:color w:val="auto"/>
              </w:rPr>
            </w:pPr>
          </w:p>
        </w:tc>
        <w:tc>
          <w:tcPr>
            <w:tcW w:w="660" w:type="dxa"/>
            <w:vAlign w:val="bottom"/>
          </w:tcPr>
          <w:p>
            <w:pPr>
              <w:jc w:val="right"/>
              <w:ind w:right="523"/>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jc w:val="right"/>
              <w:ind w:right="23"/>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August 2030</w:t>
            </w:r>
          </w:p>
        </w:tc>
        <w:tc>
          <w:tcPr>
            <w:tcW w:w="8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Bs100,000</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54,067</w:t>
            </w:r>
          </w:p>
        </w:tc>
        <w:tc>
          <w:tcPr>
            <w:tcW w:w="840" w:type="dxa"/>
            <w:vAlign w:val="bottom"/>
            <w:gridSpan w:val="2"/>
          </w:tcPr>
          <w:p>
            <w:pPr>
              <w:spacing w:after="0" w:line="122" w:lineRule="exact"/>
              <w:rPr>
                <w:sz w:val="20"/>
                <w:szCs w:val="20"/>
                <w:color w:val="auto"/>
              </w:rPr>
            </w:pPr>
            <w:r>
              <w:rPr>
                <w:rFonts w:ascii="Arial" w:cs="Arial" w:eastAsia="Arial" w:hAnsi="Arial"/>
                <w:sz w:val="11"/>
                <w:szCs w:val="11"/>
                <w:color w:val="auto"/>
              </w:rPr>
              <w:t>August 2030</w:t>
            </w: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Bs100,000</w:t>
            </w:r>
          </w:p>
        </w:tc>
        <w:tc>
          <w:tcPr>
            <w:tcW w:w="64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55,653</w:t>
            </w:r>
          </w:p>
        </w:tc>
        <w:tc>
          <w:tcPr>
            <w:tcW w:w="0" w:type="dxa"/>
            <w:vAlign w:val="bottom"/>
          </w:tcPr>
          <w:p>
            <w:pPr>
              <w:spacing w:after="0"/>
              <w:rPr>
                <w:sz w:val="1"/>
                <w:szCs w:val="1"/>
                <w:color w:val="auto"/>
              </w:rPr>
            </w:pPr>
          </w:p>
        </w:tc>
      </w:tr>
      <w:tr>
        <w:trPr>
          <w:trHeight w:val="122"/>
        </w:trPr>
        <w:tc>
          <w:tcPr>
            <w:tcW w:w="1360" w:type="dxa"/>
            <w:vAlign w:val="bottom"/>
          </w:tcPr>
          <w:p>
            <w:pPr>
              <w:ind w:left="320"/>
              <w:spacing w:after="0" w:line="122" w:lineRule="exact"/>
              <w:rPr>
                <w:sz w:val="20"/>
                <w:szCs w:val="20"/>
                <w:color w:val="auto"/>
              </w:rPr>
            </w:pPr>
            <w:r>
              <w:rPr>
                <w:rFonts w:ascii="Arial" w:cs="Arial" w:eastAsia="Arial" w:hAnsi="Arial"/>
                <w:sz w:val="11"/>
                <w:szCs w:val="11"/>
                <w:color w:val="auto"/>
              </w:rPr>
              <w:t>Issuance I -</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Banco de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Crédito de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460"/>
              <w:spacing w:after="0"/>
              <w:rPr>
                <w:sz w:val="20"/>
                <w:szCs w:val="20"/>
                <w:color w:val="auto"/>
              </w:rPr>
            </w:pPr>
            <w:r>
              <w:rPr>
                <w:rFonts w:ascii="Arial" w:cs="Arial" w:eastAsia="Arial" w:hAnsi="Arial"/>
                <w:sz w:val="11"/>
                <w:szCs w:val="11"/>
                <w:color w:val="auto"/>
              </w:rPr>
              <w:t>Bolivia</w:t>
            </w:r>
          </w:p>
        </w:tc>
        <w:tc>
          <w:tcPr>
            <w:tcW w:w="940" w:type="dxa"/>
            <w:vAlign w:val="bottom"/>
          </w:tcPr>
          <w:p>
            <w:pPr>
              <w:jc w:val="right"/>
              <w:ind w:right="303"/>
              <w:spacing w:after="0"/>
              <w:rPr>
                <w:sz w:val="20"/>
                <w:szCs w:val="20"/>
                <w:color w:val="auto"/>
              </w:rPr>
            </w:pPr>
            <w:r>
              <w:rPr>
                <w:rFonts w:ascii="Arial" w:cs="Arial" w:eastAsia="Arial" w:hAnsi="Arial"/>
                <w:sz w:val="11"/>
                <w:szCs w:val="11"/>
                <w:color w:val="auto"/>
              </w:rPr>
              <w:t>6.25</w:t>
            </w: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Semi-annual</w:t>
            </w:r>
          </w:p>
        </w:tc>
        <w:tc>
          <w:tcPr>
            <w:tcW w:w="5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660" w:type="dxa"/>
            <w:vAlign w:val="bottom"/>
          </w:tcPr>
          <w:p>
            <w:pPr>
              <w:jc w:val="right"/>
              <w:ind w:right="523"/>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960" w:type="dxa"/>
            <w:vAlign w:val="bottom"/>
            <w:gridSpan w:val="2"/>
          </w:tcPr>
          <w:p>
            <w:pPr>
              <w:ind w:left="20"/>
              <w:spacing w:after="0"/>
              <w:rPr>
                <w:sz w:val="20"/>
                <w:szCs w:val="20"/>
                <w:color w:val="auto"/>
              </w:rPr>
            </w:pPr>
            <w:r>
              <w:rPr>
                <w:rFonts w:ascii="Arial" w:cs="Arial" w:eastAsia="Arial" w:hAnsi="Arial"/>
                <w:sz w:val="11"/>
                <w:szCs w:val="11"/>
                <w:color w:val="auto"/>
              </w:rPr>
              <w:t>August 2028</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Bs70,000</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37,847</w:t>
            </w:r>
          </w:p>
        </w:tc>
        <w:tc>
          <w:tcPr>
            <w:tcW w:w="840" w:type="dxa"/>
            <w:vAlign w:val="bottom"/>
            <w:gridSpan w:val="2"/>
          </w:tcPr>
          <w:p>
            <w:pPr>
              <w:spacing w:after="0"/>
              <w:rPr>
                <w:sz w:val="20"/>
                <w:szCs w:val="20"/>
                <w:color w:val="auto"/>
              </w:rPr>
            </w:pPr>
            <w:r>
              <w:rPr>
                <w:rFonts w:ascii="Arial" w:cs="Arial" w:eastAsia="Arial" w:hAnsi="Arial"/>
                <w:sz w:val="11"/>
                <w:szCs w:val="11"/>
                <w:color w:val="auto"/>
              </w:rPr>
              <w:t>August 2028</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Bs70,000</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39,047</w:t>
            </w:r>
          </w:p>
        </w:tc>
        <w:tc>
          <w:tcPr>
            <w:tcW w:w="0" w:type="dxa"/>
            <w:vAlign w:val="bottom"/>
          </w:tcPr>
          <w:p>
            <w:pPr>
              <w:spacing w:after="0"/>
              <w:rPr>
                <w:sz w:val="1"/>
                <w:szCs w:val="1"/>
                <w:color w:val="auto"/>
              </w:rPr>
            </w:pPr>
          </w:p>
        </w:tc>
      </w:tr>
      <w:tr>
        <w:trPr>
          <w:trHeight w:val="217"/>
        </w:trPr>
        <w:tc>
          <w:tcPr>
            <w:tcW w:w="1360" w:type="dxa"/>
            <w:vAlign w:val="bottom"/>
          </w:tcPr>
          <w:p>
            <w:pPr>
              <w:ind w:left="320"/>
              <w:spacing w:after="0"/>
              <w:rPr>
                <w:sz w:val="20"/>
                <w:szCs w:val="20"/>
                <w:color w:val="auto"/>
              </w:rPr>
            </w:pPr>
            <w:r>
              <w:rPr>
                <w:rFonts w:ascii="Arial" w:cs="Arial" w:eastAsia="Arial" w:hAnsi="Arial"/>
                <w:sz w:val="11"/>
                <w:szCs w:val="11"/>
                <w:b w:val="1"/>
                <w:bCs w:val="1"/>
                <w:color w:val="auto"/>
              </w:rPr>
              <w:t>Fourth program</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320"/>
              <w:spacing w:after="0" w:line="122" w:lineRule="exact"/>
              <w:rPr>
                <w:sz w:val="20"/>
                <w:szCs w:val="20"/>
                <w:color w:val="auto"/>
              </w:rPr>
            </w:pPr>
            <w:r>
              <w:rPr>
                <w:rFonts w:ascii="Arial" w:cs="Arial" w:eastAsia="Arial" w:hAnsi="Arial"/>
                <w:sz w:val="11"/>
                <w:szCs w:val="11"/>
                <w:color w:val="auto"/>
              </w:rPr>
              <w:t>First issuance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460"/>
              <w:spacing w:after="0" w:line="122" w:lineRule="exact"/>
              <w:rPr>
                <w:sz w:val="20"/>
                <w:szCs w:val="20"/>
                <w:color w:val="auto"/>
              </w:rPr>
            </w:pPr>
            <w:r>
              <w:rPr>
                <w:rFonts w:ascii="Arial" w:cs="Arial" w:eastAsia="Arial" w:hAnsi="Arial"/>
                <w:sz w:val="11"/>
                <w:szCs w:val="11"/>
                <w:color w:val="auto"/>
              </w:rPr>
              <w:t>(Series A) -</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60" w:type="dxa"/>
            <w:vAlign w:val="bottom"/>
          </w:tcPr>
          <w:p>
            <w:pPr>
              <w:ind w:left="460"/>
              <w:spacing w:after="0"/>
              <w:rPr>
                <w:sz w:val="20"/>
                <w:szCs w:val="20"/>
                <w:color w:val="auto"/>
              </w:rPr>
            </w:pPr>
            <w:r>
              <w:rPr>
                <w:rFonts w:ascii="Arial" w:cs="Arial" w:eastAsia="Arial" w:hAnsi="Arial"/>
                <w:sz w:val="11"/>
                <w:szCs w:val="11"/>
                <w:color w:val="auto"/>
              </w:rPr>
              <w:t>MiBanco</w:t>
            </w:r>
          </w:p>
        </w:tc>
        <w:tc>
          <w:tcPr>
            <w:tcW w:w="940" w:type="dxa"/>
            <w:vAlign w:val="bottom"/>
          </w:tcPr>
          <w:p>
            <w:pPr>
              <w:jc w:val="right"/>
              <w:ind w:right="303"/>
              <w:spacing w:after="0"/>
              <w:rPr>
                <w:sz w:val="20"/>
                <w:szCs w:val="20"/>
                <w:color w:val="auto"/>
              </w:rPr>
            </w:pPr>
            <w:r>
              <w:rPr>
                <w:rFonts w:ascii="Arial" w:cs="Arial" w:eastAsia="Arial" w:hAnsi="Arial"/>
                <w:sz w:val="11"/>
                <w:szCs w:val="11"/>
                <w:color w:val="auto"/>
              </w:rPr>
              <w:t>5.84</w:t>
            </w: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Semi-annual</w:t>
            </w:r>
          </w:p>
        </w:tc>
        <w:tc>
          <w:tcPr>
            <w:tcW w:w="5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660" w:type="dxa"/>
            <w:vAlign w:val="bottom"/>
          </w:tcPr>
          <w:p>
            <w:pPr>
              <w:jc w:val="right"/>
              <w:ind w:right="523"/>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960" w:type="dxa"/>
            <w:vAlign w:val="bottom"/>
            <w:gridSpan w:val="2"/>
          </w:tcPr>
          <w:p>
            <w:pPr>
              <w:ind w:left="20"/>
              <w:spacing w:after="0"/>
              <w:rPr>
                <w:sz w:val="20"/>
                <w:szCs w:val="20"/>
                <w:color w:val="auto"/>
              </w:rPr>
            </w:pPr>
            <w:r>
              <w:rPr>
                <w:rFonts w:ascii="Arial" w:cs="Arial" w:eastAsia="Arial" w:hAnsi="Arial"/>
                <w:sz w:val="11"/>
                <w:szCs w:val="11"/>
                <w:color w:val="auto"/>
              </w:rPr>
              <w:t>March 2031</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S/155,000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146,274</w:t>
            </w:r>
          </w:p>
        </w:tc>
        <w:tc>
          <w:tcPr>
            <w:tcW w:w="20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color w:val="auto"/>
              </w:rPr>
              <w:t>March 2031</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S/155,000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146,276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5,680,120</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5,738,414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60" w:type="dxa"/>
            <w:vAlign w:val="bottom"/>
          </w:tcPr>
          <w:p>
            <w:pPr>
              <w:spacing w:after="0"/>
              <w:rPr>
                <w:sz w:val="20"/>
                <w:szCs w:val="20"/>
                <w:color w:val="auto"/>
              </w:rPr>
            </w:pPr>
            <w:r>
              <w:rPr>
                <w:rFonts w:ascii="Arial" w:cs="Arial" w:eastAsia="Arial" w:hAnsi="Arial"/>
                <w:sz w:val="11"/>
                <w:szCs w:val="11"/>
                <w:b w:val="1"/>
                <w:bCs w:val="1"/>
                <w:color w:val="auto"/>
              </w:rPr>
              <w:t>Negotiable certificate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1"/>
                <w:szCs w:val="11"/>
                <w:color w:val="auto"/>
              </w:rPr>
              <w:t>January 2023</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of deposit -</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January 2024 /</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spacing w:after="0" w:line="122" w:lineRule="exact"/>
              <w:rPr>
                <w:sz w:val="20"/>
                <w:szCs w:val="20"/>
                <w:color w:val="auto"/>
              </w:rPr>
            </w:pPr>
            <w:r>
              <w:rPr>
                <w:rFonts w:ascii="Arial" w:cs="Arial" w:eastAsia="Arial" w:hAnsi="Arial"/>
                <w:sz w:val="11"/>
                <w:szCs w:val="11"/>
                <w:color w:val="auto"/>
              </w:rPr>
              <w:t>/ January</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MiBanco Colombia</w:t>
            </w:r>
          </w:p>
        </w:tc>
        <w:tc>
          <w:tcPr>
            <w:tcW w:w="940" w:type="dxa"/>
            <w:vAlign w:val="bottom"/>
          </w:tcPr>
          <w:p>
            <w:pPr>
              <w:ind w:left="20"/>
              <w:spacing w:after="0" w:line="122" w:lineRule="exact"/>
              <w:rPr>
                <w:sz w:val="20"/>
                <w:szCs w:val="20"/>
                <w:color w:val="auto"/>
              </w:rPr>
            </w:pPr>
            <w:r>
              <w:rPr>
                <w:rFonts w:ascii="Arial" w:cs="Arial" w:eastAsia="Arial" w:hAnsi="Arial"/>
                <w:sz w:val="11"/>
                <w:szCs w:val="11"/>
                <w:color w:val="auto"/>
              </w:rPr>
              <w:t>From 1.0 to 17.90</w:t>
            </w:r>
          </w:p>
        </w:tc>
        <w:tc>
          <w:tcPr>
            <w:tcW w:w="9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To maturity</w:t>
            </w:r>
          </w:p>
        </w:tc>
        <w:tc>
          <w:tcPr>
            <w:tcW w:w="5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10"/>
                <w:szCs w:val="10"/>
                <w:color w:val="auto"/>
              </w:rPr>
            </w:pPr>
          </w:p>
        </w:tc>
        <w:tc>
          <w:tcPr>
            <w:tcW w:w="660" w:type="dxa"/>
            <w:vAlign w:val="bottom"/>
          </w:tcPr>
          <w:p>
            <w:pPr>
              <w:jc w:val="right"/>
              <w:ind w:right="523"/>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jc w:val="right"/>
              <w:ind w:right="23"/>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January 2027</w:t>
            </w:r>
          </w:p>
        </w:tc>
        <w:tc>
          <w:tcPr>
            <w:tcW w:w="8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$1,295,640</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1,239,824</w:t>
            </w:r>
          </w:p>
        </w:tc>
        <w:tc>
          <w:tcPr>
            <w:tcW w:w="740" w:type="dxa"/>
            <w:vAlign w:val="bottom"/>
          </w:tcPr>
          <w:p>
            <w:pPr>
              <w:spacing w:after="0" w:line="122" w:lineRule="exact"/>
              <w:rPr>
                <w:sz w:val="20"/>
                <w:szCs w:val="20"/>
                <w:color w:val="auto"/>
              </w:rPr>
            </w:pPr>
            <w:r>
              <w:rPr>
                <w:rFonts w:ascii="Arial" w:cs="Arial" w:eastAsia="Arial" w:hAnsi="Arial"/>
                <w:sz w:val="11"/>
                <w:szCs w:val="11"/>
                <w:color w:val="auto"/>
              </w:rPr>
              <w:t>2027</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$978,455</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769,132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line="122" w:lineRule="exact"/>
              <w:rPr>
                <w:sz w:val="20"/>
                <w:szCs w:val="20"/>
                <w:color w:val="auto"/>
              </w:rPr>
            </w:pPr>
            <w:r>
              <w:rPr>
                <w:rFonts w:ascii="Arial" w:cs="Arial" w:eastAsia="Arial" w:hAnsi="Arial"/>
                <w:sz w:val="11"/>
                <w:szCs w:val="11"/>
                <w:b w:val="1"/>
                <w:bCs w:val="1"/>
                <w:color w:val="auto"/>
              </w:rPr>
              <w:t>Negotiable certificate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of deposit -</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January 2024 /</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spacing w:after="0" w:line="122" w:lineRule="exact"/>
              <w:rPr>
                <w:sz w:val="20"/>
                <w:szCs w:val="20"/>
                <w:color w:val="auto"/>
              </w:rPr>
            </w:pPr>
            <w:r>
              <w:rPr>
                <w:rFonts w:ascii="Arial" w:cs="Arial" w:eastAsia="Arial" w:hAnsi="Arial"/>
                <w:sz w:val="11"/>
                <w:szCs w:val="11"/>
                <w:color w:val="auto"/>
              </w:rPr>
              <w:t>January 2023</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360" w:type="dxa"/>
            <w:vAlign w:val="bottom"/>
          </w:tcPr>
          <w:p>
            <w:pPr>
              <w:ind w:left="140"/>
              <w:spacing w:after="0"/>
              <w:rPr>
                <w:sz w:val="20"/>
                <w:szCs w:val="20"/>
                <w:color w:val="auto"/>
              </w:rPr>
            </w:pPr>
            <w:r>
              <w:rPr>
                <w:rFonts w:ascii="Arial" w:cs="Arial" w:eastAsia="Arial" w:hAnsi="Arial"/>
                <w:sz w:val="11"/>
                <w:szCs w:val="11"/>
                <w:b w:val="1"/>
                <w:bCs w:val="1"/>
                <w:color w:val="auto"/>
              </w:rPr>
              <w:t>MiBanco</w:t>
            </w:r>
          </w:p>
        </w:tc>
        <w:tc>
          <w:tcPr>
            <w:tcW w:w="940" w:type="dxa"/>
            <w:vAlign w:val="bottom"/>
          </w:tcPr>
          <w:p>
            <w:pPr>
              <w:ind w:left="20"/>
              <w:spacing w:after="0"/>
              <w:rPr>
                <w:sz w:val="20"/>
                <w:szCs w:val="20"/>
                <w:color w:val="auto"/>
              </w:rPr>
            </w:pPr>
            <w:r>
              <w:rPr>
                <w:rFonts w:ascii="Arial" w:cs="Arial" w:eastAsia="Arial" w:hAnsi="Arial"/>
                <w:sz w:val="11"/>
                <w:szCs w:val="11"/>
                <w:color w:val="auto"/>
              </w:rPr>
              <w:t>From 3.30 to 8.41</w:t>
            </w: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Annual</w:t>
            </w:r>
          </w:p>
        </w:tc>
        <w:tc>
          <w:tcPr>
            <w:tcW w:w="5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660" w:type="dxa"/>
            <w:vAlign w:val="bottom"/>
          </w:tcPr>
          <w:p>
            <w:pPr>
              <w:jc w:val="right"/>
              <w:ind w:right="523"/>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960" w:type="dxa"/>
            <w:vAlign w:val="bottom"/>
            <w:gridSpan w:val="2"/>
          </w:tcPr>
          <w:p>
            <w:pPr>
              <w:ind w:left="20"/>
              <w:spacing w:after="0"/>
              <w:rPr>
                <w:sz w:val="20"/>
                <w:szCs w:val="20"/>
                <w:color w:val="auto"/>
              </w:rPr>
            </w:pPr>
            <w:r>
              <w:rPr>
                <w:rFonts w:ascii="Arial" w:cs="Arial" w:eastAsia="Arial" w:hAnsi="Arial"/>
                <w:sz w:val="11"/>
                <w:szCs w:val="11"/>
                <w:color w:val="auto"/>
              </w:rPr>
              <w:t>June 2025</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S/407,101</w:t>
            </w:r>
          </w:p>
        </w:tc>
        <w:tc>
          <w:tcPr>
            <w:tcW w:w="600" w:type="dxa"/>
            <w:vAlign w:val="bottom"/>
          </w:tcPr>
          <w:p>
            <w:pPr>
              <w:jc w:val="right"/>
              <w:spacing w:after="0"/>
              <w:rPr>
                <w:sz w:val="20"/>
                <w:szCs w:val="20"/>
                <w:color w:val="auto"/>
              </w:rPr>
            </w:pPr>
            <w:r>
              <w:rPr>
                <w:rFonts w:ascii="Arial" w:cs="Arial" w:eastAsia="Arial" w:hAnsi="Arial"/>
                <w:sz w:val="11"/>
                <w:szCs w:val="11"/>
                <w:color w:val="auto"/>
              </w:rPr>
              <w:t>407,101</w:t>
            </w:r>
          </w:p>
        </w:tc>
        <w:tc>
          <w:tcPr>
            <w:tcW w:w="20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1"/>
                <w:szCs w:val="11"/>
                <w:color w:val="auto"/>
              </w:rPr>
              <w:t>/ June 2024</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S/356,547</w:t>
            </w:r>
          </w:p>
        </w:tc>
        <w:tc>
          <w:tcPr>
            <w:tcW w:w="620" w:type="dxa"/>
            <w:vAlign w:val="bottom"/>
          </w:tcPr>
          <w:p>
            <w:pPr>
              <w:jc w:val="right"/>
              <w:spacing w:after="0"/>
              <w:rPr>
                <w:sz w:val="20"/>
                <w:szCs w:val="20"/>
                <w:color w:val="auto"/>
              </w:rPr>
            </w:pPr>
            <w:r>
              <w:rPr>
                <w:rFonts w:ascii="Arial" w:cs="Arial" w:eastAsia="Arial" w:hAnsi="Arial"/>
                <w:sz w:val="11"/>
                <w:szCs w:val="11"/>
                <w:color w:val="auto"/>
              </w:rPr>
              <w:t>356,547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1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11"/>
                <w:szCs w:val="11"/>
                <w:color w:val="auto"/>
              </w:rPr>
              <w:t>14,373,760</w:t>
            </w:r>
          </w:p>
        </w:tc>
        <w:tc>
          <w:tcPr>
            <w:tcW w:w="2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1"/>
                <w:szCs w:val="11"/>
                <w:color w:val="auto"/>
              </w:rPr>
              <w:t>16,851,889</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360" w:type="dxa"/>
            <w:vAlign w:val="bottom"/>
          </w:tcPr>
          <w:p>
            <w:pPr>
              <w:spacing w:after="0"/>
              <w:rPr>
                <w:sz w:val="20"/>
                <w:szCs w:val="20"/>
                <w:color w:val="auto"/>
              </w:rPr>
            </w:pPr>
            <w:r>
              <w:rPr>
                <w:rFonts w:ascii="Arial" w:cs="Arial" w:eastAsia="Arial" w:hAnsi="Arial"/>
                <w:sz w:val="11"/>
                <w:szCs w:val="11"/>
                <w:color w:val="auto"/>
              </w:rPr>
              <w:t>Interest payable</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221,025</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155,305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360" w:type="dxa"/>
            <w:vAlign w:val="bottom"/>
          </w:tcPr>
          <w:p>
            <w:pPr>
              <w:spacing w:after="0" w:line="115" w:lineRule="exact"/>
              <w:rPr>
                <w:sz w:val="20"/>
                <w:szCs w:val="20"/>
                <w:color w:val="auto"/>
              </w:rPr>
            </w:pPr>
            <w:r>
              <w:rPr>
                <w:rFonts w:ascii="Arial" w:cs="Arial" w:eastAsia="Arial" w:hAnsi="Arial"/>
                <w:sz w:val="11"/>
                <w:szCs w:val="11"/>
                <w:b w:val="1"/>
                <w:bCs w:val="1"/>
                <w:color w:val="auto"/>
              </w:rPr>
              <w:t>Total</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14,594,785</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17,007,194</w:t>
            </w: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41275</wp:posOffset>
            </wp:positionV>
            <wp:extent cx="714565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20"/>
          </w:cols>
          <w:pgMar w:left="1200" w:top="491" w:right="579" w:bottom="1440" w:gutter="0" w:footer="0" w:header="0"/>
        </w:sectPr>
      </w:pPr>
    </w:p>
    <w:bookmarkStart w:id="109" w:name="page110"/>
    <w:bookmarkEnd w:id="109"/>
    <w:p>
      <w:pPr>
        <w:ind w:left="18" w:right="520"/>
        <w:spacing w:after="0" w:line="280" w:lineRule="auto"/>
        <w:rPr>
          <w:sz w:val="20"/>
          <w:szCs w:val="20"/>
          <w:color w:val="auto"/>
        </w:rPr>
      </w:pPr>
      <w:r>
        <w:rPr>
          <w:rFonts w:ascii="Arial" w:cs="Arial" w:eastAsia="Arial" w:hAnsi="Arial"/>
          <w:sz w:val="16"/>
          <w:szCs w:val="16"/>
          <w:color w:val="auto"/>
        </w:rPr>
        <w:t>International issues maintain certain operating covenants, which, in Management’s opinion, the Group has complied with at the dates of the statement of financial position.</w:t>
      </w:r>
    </w:p>
    <w:p>
      <w:pPr>
        <w:spacing w:after="0" w:line="120" w:lineRule="exact"/>
        <w:rPr>
          <w:sz w:val="20"/>
          <w:szCs w:val="20"/>
          <w:color w:val="auto"/>
        </w:rPr>
      </w:pPr>
    </w:p>
    <w:p>
      <w:pPr>
        <w:ind w:left="338" w:right="20" w:hanging="338"/>
        <w:spacing w:after="0" w:line="245" w:lineRule="auto"/>
        <w:tabs>
          <w:tab w:leader="none" w:pos="33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Bank issued Senior Notes under the Medium-Term Program proof approximately US$700.0 million at a semi-annual coupon rate of 2.70 percent maturing in January 2025. The Bank can redeem all or part of the notes at any date, between October 11, 2021 and December 11, 2024, at a redemption price equal to or greater than: (i) 100 percent of the aggregate principal amount of the notes to be redeemed; and (ii) the sum of the present value of each remaining scheduled payment discounted at interest rate equal to the Treasury of the United States of America’s rate plus 20 basis points. From December 11, 2024 onwards, the Bank can redeem the total or part of the notes to a redemption price equal to 100 percent of the aggregate principal amount of the notes to be redeemed. The payment of principal will take place on the due date or when the Bank redeems the notes.</w:t>
      </w:r>
    </w:p>
    <w:p>
      <w:pPr>
        <w:spacing w:after="0" w:line="151" w:lineRule="exact"/>
        <w:rPr>
          <w:rFonts w:ascii="Arial" w:cs="Arial" w:eastAsia="Arial" w:hAnsi="Arial"/>
          <w:sz w:val="16"/>
          <w:szCs w:val="16"/>
          <w:color w:val="auto"/>
        </w:rPr>
      </w:pPr>
    </w:p>
    <w:p>
      <w:pPr>
        <w:ind w:left="358" w:right="20"/>
        <w:spacing w:after="0" w:line="259" w:lineRule="auto"/>
        <w:rPr>
          <w:rFonts w:ascii="Arial" w:cs="Arial" w:eastAsia="Arial" w:hAnsi="Arial"/>
          <w:sz w:val="16"/>
          <w:szCs w:val="16"/>
          <w:color w:val="auto"/>
        </w:rPr>
      </w:pPr>
      <w:r>
        <w:rPr>
          <w:rFonts w:ascii="Arial" w:cs="Arial" w:eastAsia="Arial" w:hAnsi="Arial"/>
          <w:sz w:val="16"/>
          <w:szCs w:val="16"/>
          <w:color w:val="auto"/>
        </w:rPr>
        <w:t>On December 31, 2023, the Bank maintains a CCS which was designated as cash flows hedges of a part of Senior Notes in U.S Dollar subject to exchange rate risk for a notional amount of US$220.0 million, equivalent to S/816.0 million (US$220.0 million equivalent to S/839.1 million, as of December 31, 2021), see note 12(c). By means of the CCS, the cover part of senior notes was economically converted to soles.</w:t>
      </w:r>
    </w:p>
    <w:p>
      <w:pPr>
        <w:spacing w:after="0" w:line="137" w:lineRule="exact"/>
        <w:rPr>
          <w:rFonts w:ascii="Arial" w:cs="Arial" w:eastAsia="Arial" w:hAnsi="Arial"/>
          <w:sz w:val="16"/>
          <w:szCs w:val="16"/>
          <w:color w:val="auto"/>
        </w:rPr>
      </w:pPr>
    </w:p>
    <w:p>
      <w:pPr>
        <w:ind w:left="338" w:right="100" w:hanging="338"/>
        <w:spacing w:after="0" w:line="249" w:lineRule="auto"/>
        <w:tabs>
          <w:tab w:leader="none" w:pos="33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Bank can redeem the whole or part of the Senior Notes between October 17, 2021 and August 16, 2024, at a redemption price equal to or greater than: (i) 100 percent of the aggregate principal amount of the notes, and (ii) the sum of the present value of cash flows discounted at interest rate equivalent to sovereign bonds issued by the government of Perú or other comparable titles plus 25 basis points. As of August 17, 2024, the Bank may redeem all or part of the senior notes at a redemption price equal to 100 percent of the aggregate amount of the principal to be redeemed. The payment of principal will take place on the due date or when the Bank redeems the notes.</w:t>
      </w:r>
    </w:p>
    <w:p>
      <w:pPr>
        <w:spacing w:after="0" w:line="145" w:lineRule="exact"/>
        <w:rPr>
          <w:rFonts w:ascii="Arial" w:cs="Arial" w:eastAsia="Arial" w:hAnsi="Arial"/>
          <w:sz w:val="16"/>
          <w:szCs w:val="16"/>
          <w:color w:val="auto"/>
        </w:rPr>
      </w:pPr>
    </w:p>
    <w:p>
      <w:pPr>
        <w:ind w:left="338" w:hanging="338"/>
        <w:spacing w:after="0"/>
        <w:tabs>
          <w:tab w:leader="none" w:pos="33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As of December 31, 2023, Credicorp Ltd. maintains Senior Notes for approximately US$486.0 million, equivalent to S/1,802.6 million</w:t>
      </w:r>
    </w:p>
    <w:p>
      <w:pPr>
        <w:spacing w:after="0" w:line="15" w:lineRule="exact"/>
        <w:rPr>
          <w:rFonts w:ascii="Arial" w:cs="Arial" w:eastAsia="Arial" w:hAnsi="Arial"/>
          <w:sz w:val="16"/>
          <w:szCs w:val="16"/>
          <w:color w:val="auto"/>
        </w:rPr>
      </w:pPr>
    </w:p>
    <w:p>
      <w:pPr>
        <w:ind w:left="338"/>
        <w:spacing w:after="0"/>
        <w:rPr>
          <w:rFonts w:ascii="Arial" w:cs="Arial" w:eastAsia="Arial" w:hAnsi="Arial"/>
          <w:sz w:val="16"/>
          <w:szCs w:val="16"/>
          <w:color w:val="auto"/>
        </w:rPr>
      </w:pPr>
      <w:r>
        <w:rPr>
          <w:rFonts w:ascii="Arial" w:cs="Arial" w:eastAsia="Arial" w:hAnsi="Arial"/>
          <w:sz w:val="16"/>
          <w:szCs w:val="16"/>
          <w:color w:val="auto"/>
        </w:rPr>
        <w:t>(US$500.0 million, equivalent to S/1,907.0 million as of December 31, 2022) at fixed interest rate, whose maturity date is on June 17, 2025.</w:t>
      </w:r>
    </w:p>
    <w:p>
      <w:pPr>
        <w:spacing w:after="0" w:line="166" w:lineRule="exact"/>
        <w:rPr>
          <w:rFonts w:ascii="Arial" w:cs="Arial" w:eastAsia="Arial" w:hAnsi="Arial"/>
          <w:sz w:val="16"/>
          <w:szCs w:val="16"/>
          <w:color w:val="auto"/>
        </w:rPr>
      </w:pPr>
    </w:p>
    <w:p>
      <w:pPr>
        <w:jc w:val="both"/>
        <w:ind w:left="358" w:right="200"/>
        <w:spacing w:after="0" w:line="259" w:lineRule="auto"/>
        <w:rPr>
          <w:rFonts w:ascii="Arial" w:cs="Arial" w:eastAsia="Arial" w:hAnsi="Arial"/>
          <w:sz w:val="16"/>
          <w:szCs w:val="16"/>
          <w:color w:val="auto"/>
        </w:rPr>
      </w:pPr>
      <w:r>
        <w:rPr>
          <w:rFonts w:ascii="Arial" w:cs="Arial" w:eastAsia="Arial" w:hAnsi="Arial"/>
          <w:sz w:val="16"/>
          <w:szCs w:val="16"/>
          <w:color w:val="auto"/>
        </w:rPr>
        <w:t>These Senior Notes can redeem the whole or part mainly by the following ways (i) at any time prior to May 17, 2025, make whole or partial call, at Treasury plus 40 basis points, and (ii) at any time on or after May 17, 2025, at par value. The payment of principal will take place on the due date or when Credicorp Ltd. redeems the notes.</w:t>
      </w:r>
    </w:p>
    <w:p>
      <w:pPr>
        <w:spacing w:after="0" w:line="137" w:lineRule="exact"/>
        <w:rPr>
          <w:rFonts w:ascii="Arial" w:cs="Arial" w:eastAsia="Arial" w:hAnsi="Arial"/>
          <w:sz w:val="16"/>
          <w:szCs w:val="16"/>
          <w:color w:val="auto"/>
        </w:rPr>
      </w:pPr>
    </w:p>
    <w:p>
      <w:pPr>
        <w:ind w:left="358"/>
        <w:spacing w:after="0" w:line="249" w:lineRule="auto"/>
        <w:rPr>
          <w:rFonts w:ascii="Arial" w:cs="Arial" w:eastAsia="Arial" w:hAnsi="Arial"/>
          <w:sz w:val="16"/>
          <w:szCs w:val="16"/>
          <w:color w:val="auto"/>
        </w:rPr>
      </w:pPr>
      <w:r>
        <w:rPr>
          <w:rFonts w:ascii="Arial" w:cs="Arial" w:eastAsia="Arial" w:hAnsi="Arial"/>
          <w:sz w:val="16"/>
          <w:szCs w:val="16"/>
          <w:color w:val="auto"/>
        </w:rPr>
        <w:t>In December 2023, the Group decided to unwind the accounting hedge of a net investment of a foreign operation, it held for a portion of these bonds issued for approximately US$228.8 million (US$228.8 million, equivalent to S/912.2 million, as of December 31, 2021) which covered by the same amount the exposure of the net investment in the subsidiary Atlantic Security Holding Corporation (ASHC), established in Cayman Islands and whose functional currency is the US dollar, see note 30.2(b)(ii). This hedge was intended to mitigate the exchange rate risk associated with the conversion of the net investment held in ASHC to the Group’s functional currency (soles).</w:t>
      </w:r>
    </w:p>
    <w:p>
      <w:pPr>
        <w:spacing w:after="0" w:line="145" w:lineRule="exact"/>
        <w:rPr>
          <w:rFonts w:ascii="Arial" w:cs="Arial" w:eastAsia="Arial" w:hAnsi="Arial"/>
          <w:sz w:val="16"/>
          <w:szCs w:val="16"/>
          <w:color w:val="auto"/>
        </w:rPr>
      </w:pPr>
    </w:p>
    <w:p>
      <w:pPr>
        <w:ind w:left="338" w:right="100" w:hanging="338"/>
        <w:spacing w:after="0" w:line="249" w:lineRule="auto"/>
        <w:tabs>
          <w:tab w:leader="none" w:pos="33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On June 21, 2022, the Bank issued senior notes under the Medium-Term Bond Program amounting to US$30.0 million at a semi-annual rate of 5.05 percent maturing in June 2027. An amount equivalent to the net proceeds from the offering will be used to finance or refinance, in whole or in part, new or existing green Eligible Projects, as per BCP’s Sustainability Financing Framework dated January 2022. The Bank may redeem all or part of the notes at a redemption price equal to 100 percent of the aggregate amount of the principal of the notes to be redeemed.</w:t>
      </w:r>
    </w:p>
    <w:p>
      <w:pPr>
        <w:spacing w:after="0" w:line="145" w:lineRule="exact"/>
        <w:rPr>
          <w:rFonts w:ascii="Arial" w:cs="Arial" w:eastAsia="Arial" w:hAnsi="Arial"/>
          <w:sz w:val="16"/>
          <w:szCs w:val="16"/>
          <w:color w:val="auto"/>
        </w:rPr>
      </w:pPr>
    </w:p>
    <w:p>
      <w:pPr>
        <w:ind w:left="338" w:right="40" w:hanging="338"/>
        <w:spacing w:after="0" w:line="259" w:lineRule="auto"/>
        <w:tabs>
          <w:tab w:leader="none" w:pos="33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On December 2023, the cross currency swap (CCS) matured for a nominal amount of ¥5,000.0 million (¥5,000.0 million equivalent to S/145.7 million as of December 31, 2022) designated to hedge cash flows of bonds issued in yen at a fixed rate, which were converted to soles, see note 12(c).</w:t>
      </w:r>
    </w:p>
    <w:p>
      <w:pPr>
        <w:spacing w:after="0" w:line="296" w:lineRule="exact"/>
        <w:rPr>
          <w:sz w:val="20"/>
          <w:szCs w:val="20"/>
          <w:color w:val="auto"/>
        </w:rPr>
      </w:pPr>
    </w:p>
    <w:p>
      <w:pPr>
        <w:ind w:left="4798"/>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41275</wp:posOffset>
            </wp:positionV>
            <wp:extent cx="714565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538"/>
          </w:cols>
          <w:pgMar w:left="1002" w:top="306" w:right="359" w:bottom="1440" w:gutter="0" w:footer="0" w:header="0"/>
        </w:sectPr>
      </w:pPr>
    </w:p>
    <w:bookmarkStart w:id="110" w:name="page111"/>
    <w:bookmarkEnd w:id="110"/>
    <w:p>
      <w:pPr>
        <w:ind w:left="1040" w:right="540"/>
        <w:spacing w:after="0" w:line="280" w:lineRule="auto"/>
        <w:rPr>
          <w:sz w:val="20"/>
          <w:szCs w:val="20"/>
          <w:color w:val="auto"/>
        </w:rPr>
      </w:pPr>
      <w:r>
        <w:rPr>
          <w:rFonts w:ascii="Arial" w:cs="Arial" w:eastAsia="Arial" w:hAnsi="Arial"/>
          <w:sz w:val="16"/>
          <w:szCs w:val="16"/>
          <w:color w:val="auto"/>
        </w:rPr>
        <w:t>On September 19, 2023, the Bank issued Senior Notes for approximately ¥3,000.0 million equivalent to S/79.0 million, as of December 31,2023, with a fixed rate of 0.97 percent, whose maturity on November 19, 2025.</w:t>
      </w:r>
    </w:p>
    <w:p>
      <w:pPr>
        <w:spacing w:after="0" w:line="120" w:lineRule="exact"/>
        <w:rPr>
          <w:sz w:val="20"/>
          <w:szCs w:val="20"/>
          <w:color w:val="auto"/>
        </w:rPr>
      </w:pPr>
    </w:p>
    <w:p>
      <w:pPr>
        <w:ind w:left="1040" w:right="180"/>
        <w:spacing w:after="0" w:line="252" w:lineRule="auto"/>
        <w:rPr>
          <w:sz w:val="20"/>
          <w:szCs w:val="20"/>
          <w:color w:val="auto"/>
        </w:rPr>
      </w:pPr>
      <w:r>
        <w:rPr>
          <w:rFonts w:ascii="Arial" w:cs="Arial" w:eastAsia="Arial" w:hAnsi="Arial"/>
          <w:sz w:val="16"/>
          <w:szCs w:val="16"/>
          <w:color w:val="auto"/>
        </w:rPr>
        <w:t>As of December 31, 2023, the bank maintains a cross currency swap (CCS) for a nominal amount of ¥ 3,000.0 million equivalent to S/79.0 million, see note 12(c), which was decomposed by risk variables into two cross currency swaps (CCS) with the purpose of being designated as a cash flow hedge of a bond issued in yen at a fixed rate, which was converted to soles through this swap and as a cash flow hedge of placements.</w:t>
      </w:r>
    </w:p>
    <w:p>
      <w:pPr>
        <w:spacing w:after="0" w:line="144" w:lineRule="exact"/>
        <w:rPr>
          <w:sz w:val="20"/>
          <w:szCs w:val="20"/>
          <w:color w:val="auto"/>
        </w:rPr>
      </w:pPr>
    </w:p>
    <w:p>
      <w:pPr>
        <w:ind w:left="1020" w:right="40" w:hanging="338"/>
        <w:spacing w:after="0" w:line="245" w:lineRule="auto"/>
        <w:tabs>
          <w:tab w:leader="none" w:pos="102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On July 1, 2020, the Bank issued Subordinated Notes under the Medium-Term Bond Program amounting to US$850.0 million at a semiannual rate of 3.125 percent maturing in July 2030 called “3.125% Fixed Rate Subordinated Notes Due 2030 (Callable 2025).” As of July 1, 2025, It will be paid a fixed interest rate equal to the United States Treasury interest rate, comparable to 5 years, plus 300.0 basic points. On July 1, 2025, the Bank may redeem all or part of the notes at a redemption price that is equal to 100 percent of the aggregate principal amount of the notes to be redeemed. Thereafter, the Bank may redeem all or part of the notes at a redemption price equal to the higher of (i) 100 percent of the principal amount of the notes and (ii) the sum of the remaining flows discounted to a rate equivalent to the United States Treasury interest rate plus 45 basis points. The payment of the principal will take place on the expiration date of the notes or when the Bank redeems them.</w:t>
      </w:r>
    </w:p>
    <w:p>
      <w:pPr>
        <w:spacing w:after="0" w:line="151" w:lineRule="exact"/>
        <w:rPr>
          <w:rFonts w:ascii="Arial" w:cs="Arial" w:eastAsia="Arial" w:hAnsi="Arial"/>
          <w:sz w:val="16"/>
          <w:szCs w:val="16"/>
          <w:color w:val="auto"/>
        </w:rPr>
      </w:pPr>
    </w:p>
    <w:p>
      <w:pPr>
        <w:ind w:left="1040" w:right="360"/>
        <w:spacing w:after="0" w:line="249" w:lineRule="auto"/>
        <w:rPr>
          <w:rFonts w:ascii="Arial" w:cs="Arial" w:eastAsia="Arial" w:hAnsi="Arial"/>
          <w:sz w:val="16"/>
          <w:szCs w:val="16"/>
          <w:color w:val="auto"/>
        </w:rPr>
      </w:pPr>
      <w:r>
        <w:rPr>
          <w:rFonts w:ascii="Arial" w:cs="Arial" w:eastAsia="Arial" w:hAnsi="Arial"/>
          <w:sz w:val="16"/>
          <w:szCs w:val="16"/>
          <w:color w:val="auto"/>
        </w:rPr>
        <w:t>On the other hand, effective March 30, 2021, the Bank issued Subordinated Notes under the Medium-Term Bond Program for US$500.0 million at a semi-annual coupon rate of 3.25 percent maturing in September 2031. called “Subordinated Bonds at a Fixed Interest Rate at</w:t>
      </w:r>
    </w:p>
    <w:p>
      <w:pPr>
        <w:ind w:left="1040" w:right="120"/>
        <w:spacing w:after="0" w:line="242" w:lineRule="auto"/>
        <w:rPr>
          <w:rFonts w:ascii="Arial" w:cs="Arial" w:eastAsia="Arial" w:hAnsi="Arial"/>
          <w:sz w:val="16"/>
          <w:szCs w:val="16"/>
          <w:color w:val="auto"/>
        </w:rPr>
      </w:pPr>
      <w:r>
        <w:rPr>
          <w:rFonts w:ascii="Arial" w:cs="Arial" w:eastAsia="Arial" w:hAnsi="Arial"/>
          <w:sz w:val="16"/>
          <w:szCs w:val="16"/>
          <w:color w:val="auto"/>
        </w:rPr>
        <w:t>3.250% maturing in 2031 (Callable in 2026)”. As of September 30, 2026, a fixed interest rate will be paid equal to the United States Treasury interest rate, comparable to 5 years, plus 245.0 basis points. On September 30, 2026, the Bank may redeem all or part of the subordinated notes at a redemption price that is equal to 100 percent of the aggregate principal amount of the subordinated notes to be redeemed. Thereafter, the Bank may redeem all or part of the subordinated notes at a redemption price that is equal to the greater of (i) 100 percent of the principal amount of the subordinated notes and (ii) the sum of the cash flows remaining discounted at a rate equivalent to the United States Treasury interest rate plus 40 basis points. Principal payment will take place on the maturity date of the subordinated notes or when the Bank redeems them.</w:t>
      </w:r>
    </w:p>
    <w:p>
      <w:pPr>
        <w:spacing w:after="0" w:line="151" w:lineRule="exact"/>
        <w:rPr>
          <w:rFonts w:ascii="Arial" w:cs="Arial" w:eastAsia="Arial" w:hAnsi="Arial"/>
          <w:sz w:val="16"/>
          <w:szCs w:val="16"/>
          <w:color w:val="auto"/>
        </w:rPr>
      </w:pPr>
    </w:p>
    <w:p>
      <w:pPr>
        <w:ind w:left="1020" w:right="260" w:hanging="338"/>
        <w:spacing w:after="0" w:line="280" w:lineRule="auto"/>
        <w:tabs>
          <w:tab w:leader="none" w:pos="102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On May 17, 2023, Pacífico Compañía de Seguros y Reaseguros S.A. has completed the total redemption of the subordinated bonds called ’First issuance of the First Pacífico Subordinated Bonds Program’ for a notional of US$60.0 million, with maturity in the year 2026.</w:t>
      </w:r>
    </w:p>
    <w:p>
      <w:pPr>
        <w:spacing w:after="0" w:line="120" w:lineRule="exact"/>
        <w:rPr>
          <w:rFonts w:ascii="Arial" w:cs="Arial" w:eastAsia="Arial" w:hAnsi="Arial"/>
          <w:sz w:val="16"/>
          <w:szCs w:val="16"/>
          <w:color w:val="auto"/>
        </w:rPr>
      </w:pPr>
    </w:p>
    <w:p>
      <w:pPr>
        <w:ind w:left="680" w:hanging="340"/>
        <w:spacing w:after="0"/>
        <w:tabs>
          <w:tab w:leader="none" w:pos="6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table below shows the bonds and notes issued, classified by maturity, without accrued interests: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80" w:type="dxa"/>
            <w:vAlign w:val="bottom"/>
          </w:tcPr>
          <w:p>
            <w:pPr>
              <w:spacing w:after="0"/>
              <w:rPr>
                <w:sz w:val="17"/>
                <w:szCs w:val="17"/>
                <w:color w:val="auto"/>
              </w:rPr>
            </w:pPr>
          </w:p>
        </w:tc>
        <w:tc>
          <w:tcPr>
            <w:tcW w:w="4140" w:type="dxa"/>
            <w:vAlign w:val="bottom"/>
            <w:gridSpan w:val="2"/>
          </w:tcPr>
          <w:p>
            <w:pPr>
              <w:ind w:left="282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2022</w:t>
            </w:r>
          </w:p>
        </w:tc>
        <w:tc>
          <w:tcPr>
            <w:tcW w:w="1580" w:type="dxa"/>
            <w:vAlign w:val="bottom"/>
          </w:tcPr>
          <w:p>
            <w:pPr>
              <w:spacing w:after="0"/>
              <w:rPr>
                <w:sz w:val="17"/>
                <w:szCs w:val="17"/>
                <w:color w:val="auto"/>
              </w:rPr>
            </w:pPr>
          </w:p>
        </w:tc>
      </w:tr>
      <w:tr>
        <w:trPr>
          <w:trHeight w:val="216"/>
        </w:trPr>
        <w:tc>
          <w:tcPr>
            <w:tcW w:w="3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3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1580" w:type="dxa"/>
            <w:vAlign w:val="bottom"/>
          </w:tcPr>
          <w:p>
            <w:pPr>
              <w:spacing w:after="0"/>
              <w:rPr>
                <w:sz w:val="18"/>
                <w:szCs w:val="18"/>
                <w:color w:val="auto"/>
              </w:rPr>
            </w:pPr>
          </w:p>
        </w:tc>
      </w:tr>
      <w:tr>
        <w:trPr>
          <w:trHeight w:val="310"/>
        </w:trPr>
        <w:tc>
          <w:tcPr>
            <w:tcW w:w="3980" w:type="dxa"/>
            <w:vAlign w:val="bottom"/>
          </w:tcPr>
          <w:p>
            <w:pPr>
              <w:ind w:left="700"/>
              <w:spacing w:after="0"/>
              <w:rPr>
                <w:sz w:val="20"/>
                <w:szCs w:val="20"/>
                <w:color w:val="auto"/>
              </w:rPr>
            </w:pPr>
            <w:r>
              <w:rPr>
                <w:rFonts w:ascii="Arial" w:cs="Arial" w:eastAsia="Arial" w:hAnsi="Arial"/>
                <w:sz w:val="16"/>
                <w:szCs w:val="16"/>
                <w:color w:val="auto"/>
              </w:rPr>
              <w:t>Up to 3 months</w:t>
            </w:r>
          </w:p>
        </w:tc>
        <w:tc>
          <w:tcPr>
            <w:tcW w:w="4140" w:type="dxa"/>
            <w:vAlign w:val="bottom"/>
            <w:gridSpan w:val="2"/>
          </w:tcPr>
          <w:p>
            <w:pPr>
              <w:jc w:val="right"/>
              <w:spacing w:after="0"/>
              <w:rPr>
                <w:sz w:val="20"/>
                <w:szCs w:val="20"/>
                <w:color w:val="auto"/>
              </w:rPr>
            </w:pPr>
            <w:r>
              <w:rPr>
                <w:rFonts w:ascii="Arial" w:cs="Arial" w:eastAsia="Arial" w:hAnsi="Arial"/>
                <w:sz w:val="16"/>
                <w:szCs w:val="16"/>
                <w:color w:val="auto"/>
              </w:rPr>
              <w:t>174,341</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128,442</w:t>
            </w:r>
          </w:p>
        </w:tc>
        <w:tc>
          <w:tcPr>
            <w:tcW w:w="1580" w:type="dxa"/>
            <w:vAlign w:val="bottom"/>
          </w:tcPr>
          <w:p>
            <w:pPr>
              <w:spacing w:after="0"/>
              <w:rPr>
                <w:sz w:val="24"/>
                <w:szCs w:val="24"/>
                <w:color w:val="auto"/>
              </w:rPr>
            </w:pPr>
          </w:p>
        </w:tc>
      </w:tr>
      <w:tr>
        <w:trPr>
          <w:trHeight w:val="183"/>
        </w:trPr>
        <w:tc>
          <w:tcPr>
            <w:tcW w:w="3980" w:type="dxa"/>
            <w:vAlign w:val="bottom"/>
          </w:tcPr>
          <w:p>
            <w:pPr>
              <w:ind w:left="700"/>
              <w:spacing w:after="0"/>
              <w:rPr>
                <w:sz w:val="20"/>
                <w:szCs w:val="20"/>
                <w:color w:val="auto"/>
              </w:rPr>
            </w:pPr>
            <w:r>
              <w:rPr>
                <w:rFonts w:ascii="Arial" w:cs="Arial" w:eastAsia="Arial" w:hAnsi="Arial"/>
                <w:sz w:val="16"/>
                <w:szCs w:val="16"/>
                <w:color w:val="auto"/>
              </w:rPr>
              <w:t>From 3 months to 1 year</w:t>
            </w:r>
          </w:p>
        </w:tc>
        <w:tc>
          <w:tcPr>
            <w:tcW w:w="4140" w:type="dxa"/>
            <w:vAlign w:val="bottom"/>
            <w:gridSpan w:val="2"/>
          </w:tcPr>
          <w:p>
            <w:pPr>
              <w:jc w:val="right"/>
              <w:spacing w:after="0"/>
              <w:rPr>
                <w:sz w:val="20"/>
                <w:szCs w:val="20"/>
                <w:color w:val="auto"/>
              </w:rPr>
            </w:pPr>
            <w:r>
              <w:rPr>
                <w:rFonts w:ascii="Arial" w:cs="Arial" w:eastAsia="Arial" w:hAnsi="Arial"/>
                <w:sz w:val="16"/>
                <w:szCs w:val="16"/>
                <w:color w:val="auto"/>
              </w:rPr>
              <w:t>3,660,915</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3,671,142</w:t>
            </w:r>
          </w:p>
        </w:tc>
        <w:tc>
          <w:tcPr>
            <w:tcW w:w="1580" w:type="dxa"/>
            <w:vAlign w:val="bottom"/>
          </w:tcPr>
          <w:p>
            <w:pPr>
              <w:spacing w:after="0"/>
              <w:rPr>
                <w:sz w:val="15"/>
                <w:szCs w:val="15"/>
                <w:color w:val="auto"/>
              </w:rPr>
            </w:pPr>
          </w:p>
        </w:tc>
      </w:tr>
      <w:tr>
        <w:trPr>
          <w:trHeight w:val="183"/>
        </w:trPr>
        <w:tc>
          <w:tcPr>
            <w:tcW w:w="3980" w:type="dxa"/>
            <w:vAlign w:val="bottom"/>
          </w:tcPr>
          <w:p>
            <w:pPr>
              <w:ind w:left="700"/>
              <w:spacing w:after="0"/>
              <w:rPr>
                <w:sz w:val="20"/>
                <w:szCs w:val="20"/>
                <w:color w:val="auto"/>
              </w:rPr>
            </w:pPr>
            <w:r>
              <w:rPr>
                <w:rFonts w:ascii="Arial" w:cs="Arial" w:eastAsia="Arial" w:hAnsi="Arial"/>
                <w:sz w:val="16"/>
                <w:szCs w:val="16"/>
                <w:color w:val="auto"/>
              </w:rPr>
              <w:t>From 1 to 3 years</w:t>
            </w:r>
          </w:p>
        </w:tc>
        <w:tc>
          <w:tcPr>
            <w:tcW w:w="4140" w:type="dxa"/>
            <w:vAlign w:val="bottom"/>
            <w:gridSpan w:val="2"/>
          </w:tcPr>
          <w:p>
            <w:pPr>
              <w:jc w:val="right"/>
              <w:spacing w:after="0"/>
              <w:rPr>
                <w:sz w:val="20"/>
                <w:szCs w:val="20"/>
                <w:color w:val="auto"/>
              </w:rPr>
            </w:pPr>
            <w:r>
              <w:rPr>
                <w:rFonts w:ascii="Arial" w:cs="Arial" w:eastAsia="Arial" w:hAnsi="Arial"/>
                <w:sz w:val="16"/>
                <w:szCs w:val="16"/>
                <w:color w:val="auto"/>
              </w:rPr>
              <w:t>4,728,629</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7,184,334</w:t>
            </w:r>
          </w:p>
        </w:tc>
        <w:tc>
          <w:tcPr>
            <w:tcW w:w="1580" w:type="dxa"/>
            <w:vAlign w:val="bottom"/>
          </w:tcPr>
          <w:p>
            <w:pPr>
              <w:spacing w:after="0"/>
              <w:rPr>
                <w:sz w:val="15"/>
                <w:szCs w:val="15"/>
                <w:color w:val="auto"/>
              </w:rPr>
            </w:pPr>
          </w:p>
        </w:tc>
      </w:tr>
      <w:tr>
        <w:trPr>
          <w:trHeight w:val="183"/>
        </w:trPr>
        <w:tc>
          <w:tcPr>
            <w:tcW w:w="3980" w:type="dxa"/>
            <w:vAlign w:val="bottom"/>
          </w:tcPr>
          <w:p>
            <w:pPr>
              <w:ind w:left="700"/>
              <w:spacing w:after="0"/>
              <w:rPr>
                <w:sz w:val="20"/>
                <w:szCs w:val="20"/>
                <w:color w:val="auto"/>
              </w:rPr>
            </w:pPr>
            <w:r>
              <w:rPr>
                <w:rFonts w:ascii="Arial" w:cs="Arial" w:eastAsia="Arial" w:hAnsi="Arial"/>
                <w:sz w:val="16"/>
                <w:szCs w:val="16"/>
                <w:color w:val="auto"/>
              </w:rPr>
              <w:t>From 3 to 5 years</w:t>
            </w:r>
          </w:p>
        </w:tc>
        <w:tc>
          <w:tcPr>
            <w:tcW w:w="4140" w:type="dxa"/>
            <w:vAlign w:val="bottom"/>
            <w:gridSpan w:val="2"/>
          </w:tcPr>
          <w:p>
            <w:pPr>
              <w:jc w:val="right"/>
              <w:spacing w:after="0"/>
              <w:rPr>
                <w:sz w:val="20"/>
                <w:szCs w:val="20"/>
                <w:color w:val="auto"/>
              </w:rPr>
            </w:pPr>
            <w:r>
              <w:rPr>
                <w:rFonts w:ascii="Arial" w:cs="Arial" w:eastAsia="Arial" w:hAnsi="Arial"/>
                <w:sz w:val="16"/>
                <w:szCs w:val="16"/>
                <w:color w:val="auto"/>
              </w:rPr>
              <w:t>159,754</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388,396</w:t>
            </w:r>
          </w:p>
        </w:tc>
        <w:tc>
          <w:tcPr>
            <w:tcW w:w="1580" w:type="dxa"/>
            <w:vAlign w:val="bottom"/>
          </w:tcPr>
          <w:p>
            <w:pPr>
              <w:spacing w:after="0"/>
              <w:rPr>
                <w:sz w:val="15"/>
                <w:szCs w:val="15"/>
                <w:color w:val="auto"/>
              </w:rPr>
            </w:pPr>
          </w:p>
        </w:tc>
      </w:tr>
      <w:tr>
        <w:trPr>
          <w:trHeight w:val="200"/>
        </w:trPr>
        <w:tc>
          <w:tcPr>
            <w:tcW w:w="3980" w:type="dxa"/>
            <w:vAlign w:val="bottom"/>
          </w:tcPr>
          <w:p>
            <w:pPr>
              <w:ind w:left="700"/>
              <w:spacing w:after="0"/>
              <w:rPr>
                <w:sz w:val="20"/>
                <w:szCs w:val="20"/>
                <w:color w:val="auto"/>
              </w:rPr>
            </w:pPr>
            <w:r>
              <w:rPr>
                <w:rFonts w:ascii="Arial" w:cs="Arial" w:eastAsia="Arial" w:hAnsi="Arial"/>
                <w:sz w:val="16"/>
                <w:szCs w:val="16"/>
                <w:color w:val="auto"/>
              </w:rPr>
              <w:t>More than 5 years</w:t>
            </w:r>
          </w:p>
        </w:tc>
        <w:tc>
          <w:tcPr>
            <w:tcW w:w="4140" w:type="dxa"/>
            <w:vAlign w:val="bottom"/>
            <w:gridSpan w:val="2"/>
          </w:tcPr>
          <w:p>
            <w:pPr>
              <w:jc w:val="right"/>
              <w:spacing w:after="0"/>
              <w:rPr>
                <w:sz w:val="20"/>
                <w:szCs w:val="20"/>
                <w:color w:val="auto"/>
              </w:rPr>
            </w:pPr>
            <w:r>
              <w:rPr>
                <w:rFonts w:ascii="Arial" w:cs="Arial" w:eastAsia="Arial" w:hAnsi="Arial"/>
                <w:sz w:val="16"/>
                <w:szCs w:val="16"/>
                <w:color w:val="auto"/>
              </w:rPr>
              <w:t>5,650,121</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5,479,575</w:t>
            </w:r>
          </w:p>
        </w:tc>
        <w:tc>
          <w:tcPr>
            <w:tcW w:w="1580" w:type="dxa"/>
            <w:vAlign w:val="bottom"/>
          </w:tcPr>
          <w:p>
            <w:pPr>
              <w:spacing w:after="0"/>
              <w:rPr>
                <w:sz w:val="17"/>
                <w:szCs w:val="17"/>
                <w:color w:val="auto"/>
              </w:rPr>
            </w:pPr>
          </w:p>
        </w:tc>
      </w:tr>
      <w:tr>
        <w:trPr>
          <w:trHeight w:val="180"/>
        </w:trPr>
        <w:tc>
          <w:tcPr>
            <w:tcW w:w="3980" w:type="dxa"/>
            <w:vAlign w:val="bottom"/>
          </w:tcPr>
          <w:p>
            <w:pPr>
              <w:ind w:left="700"/>
              <w:spacing w:after="0" w:line="175" w:lineRule="exact"/>
              <w:rPr>
                <w:sz w:val="20"/>
                <w:szCs w:val="20"/>
                <w:color w:val="auto"/>
              </w:rPr>
            </w:pPr>
            <w:r>
              <w:rPr>
                <w:rFonts w:ascii="Arial" w:cs="Arial" w:eastAsia="Arial" w:hAnsi="Arial"/>
                <w:sz w:val="16"/>
                <w:szCs w:val="16"/>
                <w:color w:val="auto"/>
              </w:rPr>
              <w:t>Total</w:t>
            </w:r>
          </w:p>
        </w:tc>
        <w:tc>
          <w:tcPr>
            <w:tcW w:w="278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14,373,760</w:t>
            </w: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16,851,889</w:t>
            </w:r>
          </w:p>
        </w:tc>
        <w:tc>
          <w:tcPr>
            <w:tcW w:w="1580" w:type="dxa"/>
            <w:vAlign w:val="bottom"/>
          </w:tcPr>
          <w:p>
            <w:pPr>
              <w:spacing w:after="0"/>
              <w:rPr>
                <w:sz w:val="15"/>
                <w:szCs w:val="15"/>
                <w:color w:val="auto"/>
              </w:rPr>
            </w:pPr>
          </w:p>
        </w:tc>
      </w:tr>
      <w:tr>
        <w:trPr>
          <w:trHeight w:val="541"/>
        </w:trPr>
        <w:tc>
          <w:tcPr>
            <w:tcW w:w="3980" w:type="dxa"/>
            <w:vAlign w:val="bottom"/>
          </w:tcPr>
          <w:p>
            <w:pPr>
              <w:spacing w:after="0"/>
              <w:rPr>
                <w:sz w:val="24"/>
                <w:szCs w:val="24"/>
                <w:color w:val="auto"/>
              </w:rPr>
            </w:pPr>
          </w:p>
        </w:tc>
        <w:tc>
          <w:tcPr>
            <w:tcW w:w="2780" w:type="dxa"/>
            <w:vAlign w:val="bottom"/>
          </w:tcPr>
          <w:p>
            <w:pPr>
              <w:jc w:val="right"/>
              <w:ind w:right="919"/>
              <w:spacing w:after="0"/>
              <w:rPr>
                <w:sz w:val="20"/>
                <w:szCs w:val="20"/>
                <w:color w:val="auto"/>
              </w:rPr>
            </w:pPr>
            <w:r>
              <w:rPr>
                <w:rFonts w:ascii="Arial" w:cs="Arial" w:eastAsia="Arial" w:hAnsi="Arial"/>
                <w:sz w:val="16"/>
                <w:szCs w:val="16"/>
                <w:color w:val="auto"/>
              </w:rPr>
              <w:t>108</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8"/>
        </w:trPr>
        <w:tc>
          <w:tcPr>
            <w:tcW w:w="398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111" w:name="page112"/>
    <w:bookmarkEnd w:id="111"/>
    <w:p>
      <w:pPr>
        <w:ind w:left="382" w:hanging="382"/>
        <w:spacing w:after="0"/>
        <w:tabs>
          <w:tab w:leader="none" w:pos="382"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EQUITY</w:t>
      </w:r>
    </w:p>
    <w:p>
      <w:pPr>
        <w:spacing w:after="0" w:line="182" w:lineRule="exact"/>
        <w:rPr>
          <w:rFonts w:ascii="Arial" w:cs="Arial" w:eastAsia="Arial" w:hAnsi="Arial"/>
          <w:sz w:val="16"/>
          <w:szCs w:val="16"/>
          <w:b w:val="1"/>
          <w:bCs w:val="1"/>
          <w:color w:val="auto"/>
        </w:rPr>
      </w:pPr>
    </w:p>
    <w:p>
      <w:pPr>
        <w:ind w:left="682" w:hanging="340"/>
        <w:spacing w:after="0"/>
        <w:tabs>
          <w:tab w:leader="none" w:pos="682" w:val="left"/>
        </w:tabs>
        <w:numPr>
          <w:ilvl w:val="1"/>
          <w:numId w:val="131"/>
        </w:numPr>
        <w:rPr>
          <w:rFonts w:ascii="Arial" w:cs="Arial" w:eastAsia="Arial" w:hAnsi="Arial"/>
          <w:sz w:val="16"/>
          <w:szCs w:val="16"/>
          <w:color w:val="auto"/>
        </w:rPr>
      </w:pPr>
      <w:r>
        <w:rPr>
          <w:rFonts w:ascii="Arial" w:cs="Arial" w:eastAsia="Arial" w:hAnsi="Arial"/>
          <w:sz w:val="16"/>
          <w:szCs w:val="16"/>
          <w:color w:val="auto"/>
        </w:rPr>
        <w:t>Capital stock -</w:t>
      </w:r>
    </w:p>
    <w:p>
      <w:pPr>
        <w:spacing w:after="0" w:line="182" w:lineRule="exact"/>
        <w:rPr>
          <w:rFonts w:ascii="Arial" w:cs="Arial" w:eastAsia="Arial" w:hAnsi="Arial"/>
          <w:sz w:val="16"/>
          <w:szCs w:val="16"/>
          <w:color w:val="auto"/>
        </w:rPr>
      </w:pPr>
    </w:p>
    <w:p>
      <w:pPr>
        <w:ind w:left="702"/>
        <w:spacing w:after="0"/>
        <w:rPr>
          <w:rFonts w:ascii="Arial" w:cs="Arial" w:eastAsia="Arial" w:hAnsi="Arial"/>
          <w:sz w:val="16"/>
          <w:szCs w:val="16"/>
          <w:color w:val="auto"/>
        </w:rPr>
      </w:pPr>
      <w:r>
        <w:rPr>
          <w:rFonts w:ascii="Arial" w:cs="Arial" w:eastAsia="Arial" w:hAnsi="Arial"/>
          <w:sz w:val="16"/>
          <w:szCs w:val="16"/>
          <w:color w:val="auto"/>
        </w:rPr>
        <w:t>As of December 31, 2023, 2022 and 2021 a total of 94,382,317 shares have been issued at US$5 per share.</w:t>
      </w:r>
    </w:p>
    <w:p>
      <w:pPr>
        <w:spacing w:after="0" w:line="182" w:lineRule="exact"/>
        <w:rPr>
          <w:rFonts w:ascii="Arial" w:cs="Arial" w:eastAsia="Arial" w:hAnsi="Arial"/>
          <w:sz w:val="16"/>
          <w:szCs w:val="16"/>
          <w:color w:val="auto"/>
        </w:rPr>
      </w:pPr>
    </w:p>
    <w:p>
      <w:pPr>
        <w:ind w:left="682" w:hanging="340"/>
        <w:spacing w:after="0"/>
        <w:tabs>
          <w:tab w:leader="none" w:pos="682"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Treasury stock -</w:t>
      </w:r>
    </w:p>
    <w:p>
      <w:pPr>
        <w:spacing w:after="0" w:line="182" w:lineRule="exact"/>
        <w:rPr>
          <w:rFonts w:ascii="Arial" w:cs="Arial" w:eastAsia="Arial" w:hAnsi="Arial"/>
          <w:sz w:val="16"/>
          <w:szCs w:val="16"/>
          <w:color w:val="auto"/>
        </w:rPr>
      </w:pPr>
    </w:p>
    <w:p>
      <w:pPr>
        <w:ind w:left="702" w:right="460"/>
        <w:spacing w:after="0" w:line="280" w:lineRule="auto"/>
        <w:rPr>
          <w:rFonts w:ascii="Arial" w:cs="Arial" w:eastAsia="Arial" w:hAnsi="Arial"/>
          <w:sz w:val="16"/>
          <w:szCs w:val="16"/>
          <w:color w:val="auto"/>
        </w:rPr>
      </w:pPr>
      <w:r>
        <w:rPr>
          <w:rFonts w:ascii="Arial" w:cs="Arial" w:eastAsia="Arial" w:hAnsi="Arial"/>
          <w:sz w:val="16"/>
          <w:szCs w:val="16"/>
          <w:color w:val="auto"/>
        </w:rPr>
        <w:t>We present below the stocks of Credicorp Ltd., the number of shares that the Group’s subsidiaries own in Credicorp Ltd. as of December 31, 2023, 2022 and 2021:</w:t>
      </w:r>
    </w:p>
    <w:p>
      <w:pPr>
        <w:spacing w:after="0" w:line="120" w:lineRule="exact"/>
        <w:rPr>
          <w:sz w:val="20"/>
          <w:szCs w:val="20"/>
          <w:color w:val="auto"/>
        </w:rPr>
      </w:pPr>
    </w:p>
    <w:tbl>
      <w:tblPr>
        <w:tblLayout w:type="fixed"/>
        <w:tblInd w:w="702" w:type="dxa"/>
        <w:tblCellMar>
          <w:top w:w="0" w:type="dxa"/>
          <w:left w:w="0" w:type="dxa"/>
          <w:bottom w:w="0" w:type="dxa"/>
          <w:right w:w="0" w:type="dxa"/>
        </w:tblCellMar>
      </w:tblPr>
      <w:tr>
        <w:trPr>
          <w:trHeight w:val="200"/>
        </w:trPr>
        <w:tc>
          <w:tcPr>
            <w:tcW w:w="63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Number of shares</w:t>
            </w:r>
          </w:p>
        </w:tc>
        <w:tc>
          <w:tcPr>
            <w:tcW w:w="1260" w:type="dxa"/>
            <w:vAlign w:val="bottom"/>
            <w:tcBorders>
              <w:bottom w:val="single" w:sz="8" w:color="auto"/>
            </w:tcBorders>
          </w:tcPr>
          <w:p>
            <w:pPr>
              <w:spacing w:after="0"/>
              <w:rPr>
                <w:sz w:val="17"/>
                <w:szCs w:val="17"/>
                <w:color w:val="auto"/>
              </w:rPr>
            </w:pPr>
          </w:p>
        </w:tc>
      </w:tr>
      <w:tr>
        <w:trPr>
          <w:trHeight w:val="159"/>
        </w:trPr>
        <w:tc>
          <w:tcPr>
            <w:tcW w:w="6340" w:type="dxa"/>
            <w:vAlign w:val="bottom"/>
          </w:tcPr>
          <w:p>
            <w:pPr>
              <w:spacing w:after="0"/>
              <w:rPr>
                <w:sz w:val="13"/>
                <w:szCs w:val="13"/>
                <w:color w:val="auto"/>
              </w:rPr>
            </w:pPr>
          </w:p>
        </w:tc>
        <w:tc>
          <w:tcPr>
            <w:tcW w:w="1280" w:type="dxa"/>
            <w:vAlign w:val="bottom"/>
          </w:tcPr>
          <w:p>
            <w:pPr>
              <w:ind w:left="60"/>
              <w:spacing w:after="0" w:line="159" w:lineRule="exact"/>
              <w:rPr>
                <w:sz w:val="20"/>
                <w:szCs w:val="20"/>
                <w:color w:val="auto"/>
              </w:rPr>
            </w:pPr>
            <w:r>
              <w:rPr>
                <w:rFonts w:ascii="Arial" w:cs="Arial" w:eastAsia="Arial" w:hAnsi="Arial"/>
                <w:sz w:val="16"/>
                <w:szCs w:val="16"/>
                <w:b w:val="1"/>
                <w:bCs w:val="1"/>
                <w:color w:val="auto"/>
              </w:rPr>
              <w:t>Shares of the</w:t>
            </w:r>
          </w:p>
        </w:tc>
        <w:tc>
          <w:tcPr>
            <w:tcW w:w="220" w:type="dxa"/>
            <w:vAlign w:val="bottom"/>
          </w:tcPr>
          <w:p>
            <w:pPr>
              <w:spacing w:after="0"/>
              <w:rPr>
                <w:sz w:val="13"/>
                <w:szCs w:val="13"/>
                <w:color w:val="auto"/>
              </w:rPr>
            </w:pPr>
          </w:p>
        </w:tc>
        <w:tc>
          <w:tcPr>
            <w:tcW w:w="1460" w:type="dxa"/>
            <w:vAlign w:val="bottom"/>
            <w:gridSpan w:val="2"/>
          </w:tcPr>
          <w:p>
            <w:pPr>
              <w:ind w:left="60"/>
              <w:spacing w:after="0" w:line="159" w:lineRule="exact"/>
              <w:rPr>
                <w:sz w:val="20"/>
                <w:szCs w:val="20"/>
                <w:color w:val="auto"/>
              </w:rPr>
            </w:pPr>
            <w:r>
              <w:rPr>
                <w:rFonts w:ascii="Arial" w:cs="Arial" w:eastAsia="Arial" w:hAnsi="Arial"/>
                <w:sz w:val="16"/>
                <w:szCs w:val="16"/>
                <w:b w:val="1"/>
                <w:bCs w:val="1"/>
                <w:color w:val="auto"/>
              </w:rPr>
              <w:t>Shared-based</w:t>
            </w:r>
          </w:p>
        </w:tc>
        <w:tc>
          <w:tcPr>
            <w:tcW w:w="1260" w:type="dxa"/>
            <w:vAlign w:val="bottom"/>
          </w:tcPr>
          <w:p>
            <w:pPr>
              <w:spacing w:after="0"/>
              <w:rPr>
                <w:sz w:val="13"/>
                <w:szCs w:val="13"/>
                <w:color w:val="auto"/>
              </w:rPr>
            </w:pPr>
          </w:p>
        </w:tc>
      </w:tr>
      <w:tr>
        <w:trPr>
          <w:trHeight w:val="200"/>
        </w:trPr>
        <w:tc>
          <w:tcPr>
            <w:tcW w:w="6340" w:type="dxa"/>
            <w:vAlign w:val="bottom"/>
          </w:tcPr>
          <w:p>
            <w:pPr>
              <w:spacing w:after="0"/>
              <w:rPr>
                <w:sz w:val="20"/>
                <w:szCs w:val="20"/>
                <w:color w:val="auto"/>
              </w:rPr>
            </w:pPr>
            <w:r>
              <w:rPr>
                <w:rFonts w:ascii="Arial" w:cs="Arial" w:eastAsia="Arial" w:hAnsi="Arial"/>
                <w:sz w:val="16"/>
                <w:szCs w:val="16"/>
                <w:b w:val="1"/>
                <w:bCs w:val="1"/>
                <w:color w:val="auto"/>
              </w:rPr>
              <w:t>As of December 31, 2023</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Group</w:t>
            </w:r>
          </w:p>
        </w:tc>
        <w:tc>
          <w:tcPr>
            <w:tcW w:w="220" w:type="dxa"/>
            <w:vAlign w:val="bottom"/>
          </w:tcPr>
          <w:p>
            <w:pPr>
              <w:spacing w:after="0"/>
              <w:rPr>
                <w:sz w:val="17"/>
                <w:szCs w:val="17"/>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payment (*)</w:t>
            </w:r>
          </w:p>
        </w:tc>
        <w:tc>
          <w:tcPr>
            <w:tcW w:w="200" w:type="dxa"/>
            <w:vAlign w:val="bottom"/>
          </w:tcPr>
          <w:p>
            <w:pPr>
              <w:spacing w:after="0"/>
              <w:rPr>
                <w:sz w:val="17"/>
                <w:szCs w:val="17"/>
                <w:color w:val="auto"/>
              </w:rPr>
            </w:pPr>
          </w:p>
        </w:tc>
        <w:tc>
          <w:tcPr>
            <w:tcW w:w="12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Total</w:t>
            </w:r>
          </w:p>
        </w:tc>
      </w:tr>
      <w:tr>
        <w:trPr>
          <w:trHeight w:val="342"/>
        </w:trPr>
        <w:tc>
          <w:tcPr>
            <w:tcW w:w="6340" w:type="dxa"/>
            <w:vAlign w:val="bottom"/>
          </w:tcPr>
          <w:p>
            <w:pPr>
              <w:spacing w:after="0"/>
              <w:rPr>
                <w:sz w:val="20"/>
                <w:szCs w:val="20"/>
                <w:color w:val="auto"/>
              </w:rPr>
            </w:pPr>
            <w:r>
              <w:rPr>
                <w:rFonts w:ascii="Arial" w:cs="Arial" w:eastAsia="Arial" w:hAnsi="Arial"/>
                <w:sz w:val="16"/>
                <w:szCs w:val="16"/>
                <w:color w:val="auto"/>
              </w:rPr>
              <w:t>Atlantic Security Holding Corporation</w:t>
            </w:r>
          </w:p>
        </w:tc>
        <w:tc>
          <w:tcPr>
            <w:tcW w:w="1280" w:type="dxa"/>
            <w:vAlign w:val="bottom"/>
          </w:tcPr>
          <w:p>
            <w:pPr>
              <w:jc w:val="right"/>
              <w:spacing w:after="0"/>
              <w:rPr>
                <w:sz w:val="20"/>
                <w:szCs w:val="20"/>
                <w:color w:val="auto"/>
              </w:rPr>
            </w:pPr>
            <w:r>
              <w:rPr>
                <w:rFonts w:ascii="Arial" w:cs="Arial" w:eastAsia="Arial" w:hAnsi="Arial"/>
                <w:sz w:val="16"/>
                <w:szCs w:val="16"/>
                <w:color w:val="auto"/>
              </w:rPr>
              <w:t>14,620,846</w:t>
            </w:r>
          </w:p>
        </w:tc>
        <w:tc>
          <w:tcPr>
            <w:tcW w:w="22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14,620,846</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BCP</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109,185</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109,185</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Atlantic Security International Financial Services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39,309</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39,309</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Grupo Crédito</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36,698</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36,698</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Pacífico Seguros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19,912</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19,912</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Mibanco</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14,128</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14,128</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Credicorp Capital Servicios Financieros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13,267</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13,267</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ASB Bank Corp</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12,041</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12,041</w:t>
            </w:r>
          </w:p>
        </w:tc>
      </w:tr>
      <w:tr>
        <w:trPr>
          <w:trHeight w:val="200"/>
        </w:trPr>
        <w:tc>
          <w:tcPr>
            <w:tcW w:w="6340" w:type="dxa"/>
            <w:vAlign w:val="bottom"/>
          </w:tcPr>
          <w:p>
            <w:pPr>
              <w:spacing w:after="0"/>
              <w:rPr>
                <w:sz w:val="20"/>
                <w:szCs w:val="20"/>
                <w:color w:val="auto"/>
              </w:rPr>
            </w:pPr>
            <w:r>
              <w:rPr>
                <w:rFonts w:ascii="Arial" w:cs="Arial" w:eastAsia="Arial" w:hAnsi="Arial"/>
                <w:sz w:val="16"/>
                <w:szCs w:val="16"/>
                <w:color w:val="auto"/>
              </w:rPr>
              <w:t>Other minors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20,710</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20,710</w:t>
            </w:r>
          </w:p>
        </w:tc>
      </w:tr>
      <w:tr>
        <w:trPr>
          <w:trHeight w:val="180"/>
        </w:trPr>
        <w:tc>
          <w:tcPr>
            <w:tcW w:w="634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14,620,846</w:t>
            </w:r>
          </w:p>
        </w:tc>
        <w:tc>
          <w:tcPr>
            <w:tcW w:w="22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265,250</w:t>
            </w:r>
          </w:p>
        </w:tc>
        <w:tc>
          <w:tcPr>
            <w:tcW w:w="20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14,886,096</w:t>
            </w:r>
          </w:p>
        </w:tc>
      </w:tr>
    </w:tbl>
    <w:p>
      <w:pPr>
        <w:spacing w:after="0" w:line="166" w:lineRule="exact"/>
        <w:rPr>
          <w:sz w:val="20"/>
          <w:szCs w:val="20"/>
          <w:color w:val="auto"/>
        </w:rPr>
      </w:pPr>
    </w:p>
    <w:tbl>
      <w:tblPr>
        <w:tblLayout w:type="fixed"/>
        <w:tblInd w:w="702" w:type="dxa"/>
        <w:tblCellMar>
          <w:top w:w="0" w:type="dxa"/>
          <w:left w:w="0" w:type="dxa"/>
          <w:bottom w:w="0" w:type="dxa"/>
          <w:right w:w="0" w:type="dxa"/>
        </w:tblCellMar>
      </w:tblPr>
      <w:tr>
        <w:trPr>
          <w:trHeight w:val="200"/>
        </w:trPr>
        <w:tc>
          <w:tcPr>
            <w:tcW w:w="63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Number of shares</w:t>
            </w:r>
          </w:p>
        </w:tc>
        <w:tc>
          <w:tcPr>
            <w:tcW w:w="1260" w:type="dxa"/>
            <w:vAlign w:val="bottom"/>
            <w:tcBorders>
              <w:bottom w:val="single" w:sz="8" w:color="auto"/>
            </w:tcBorders>
          </w:tcPr>
          <w:p>
            <w:pPr>
              <w:spacing w:after="0"/>
              <w:rPr>
                <w:sz w:val="17"/>
                <w:szCs w:val="17"/>
                <w:color w:val="auto"/>
              </w:rPr>
            </w:pPr>
          </w:p>
        </w:tc>
      </w:tr>
      <w:tr>
        <w:trPr>
          <w:trHeight w:val="159"/>
        </w:trPr>
        <w:tc>
          <w:tcPr>
            <w:tcW w:w="6340" w:type="dxa"/>
            <w:vAlign w:val="bottom"/>
          </w:tcPr>
          <w:p>
            <w:pPr>
              <w:spacing w:after="0"/>
              <w:rPr>
                <w:sz w:val="13"/>
                <w:szCs w:val="13"/>
                <w:color w:val="auto"/>
              </w:rPr>
            </w:pPr>
          </w:p>
        </w:tc>
        <w:tc>
          <w:tcPr>
            <w:tcW w:w="1280" w:type="dxa"/>
            <w:vAlign w:val="bottom"/>
          </w:tcPr>
          <w:p>
            <w:pPr>
              <w:ind w:left="60"/>
              <w:spacing w:after="0" w:line="159" w:lineRule="exact"/>
              <w:rPr>
                <w:sz w:val="20"/>
                <w:szCs w:val="20"/>
                <w:color w:val="auto"/>
              </w:rPr>
            </w:pPr>
            <w:r>
              <w:rPr>
                <w:rFonts w:ascii="Arial" w:cs="Arial" w:eastAsia="Arial" w:hAnsi="Arial"/>
                <w:sz w:val="16"/>
                <w:szCs w:val="16"/>
                <w:b w:val="1"/>
                <w:bCs w:val="1"/>
                <w:color w:val="auto"/>
              </w:rPr>
              <w:t>Shares of the</w:t>
            </w:r>
          </w:p>
        </w:tc>
        <w:tc>
          <w:tcPr>
            <w:tcW w:w="220" w:type="dxa"/>
            <w:vAlign w:val="bottom"/>
          </w:tcPr>
          <w:p>
            <w:pPr>
              <w:spacing w:after="0"/>
              <w:rPr>
                <w:sz w:val="13"/>
                <w:szCs w:val="13"/>
                <w:color w:val="auto"/>
              </w:rPr>
            </w:pPr>
          </w:p>
        </w:tc>
        <w:tc>
          <w:tcPr>
            <w:tcW w:w="1460" w:type="dxa"/>
            <w:vAlign w:val="bottom"/>
            <w:gridSpan w:val="2"/>
          </w:tcPr>
          <w:p>
            <w:pPr>
              <w:ind w:left="60"/>
              <w:spacing w:after="0" w:line="159" w:lineRule="exact"/>
              <w:rPr>
                <w:sz w:val="20"/>
                <w:szCs w:val="20"/>
                <w:color w:val="auto"/>
              </w:rPr>
            </w:pPr>
            <w:r>
              <w:rPr>
                <w:rFonts w:ascii="Arial" w:cs="Arial" w:eastAsia="Arial" w:hAnsi="Arial"/>
                <w:sz w:val="16"/>
                <w:szCs w:val="16"/>
                <w:b w:val="1"/>
                <w:bCs w:val="1"/>
                <w:color w:val="auto"/>
              </w:rPr>
              <w:t>Shared-based</w:t>
            </w:r>
          </w:p>
        </w:tc>
        <w:tc>
          <w:tcPr>
            <w:tcW w:w="1260" w:type="dxa"/>
            <w:vAlign w:val="bottom"/>
          </w:tcPr>
          <w:p>
            <w:pPr>
              <w:spacing w:after="0"/>
              <w:rPr>
                <w:sz w:val="13"/>
                <w:szCs w:val="13"/>
                <w:color w:val="auto"/>
              </w:rPr>
            </w:pPr>
          </w:p>
        </w:tc>
      </w:tr>
      <w:tr>
        <w:trPr>
          <w:trHeight w:val="200"/>
        </w:trPr>
        <w:tc>
          <w:tcPr>
            <w:tcW w:w="6340" w:type="dxa"/>
            <w:vAlign w:val="bottom"/>
          </w:tcPr>
          <w:p>
            <w:pPr>
              <w:spacing w:after="0"/>
              <w:rPr>
                <w:sz w:val="20"/>
                <w:szCs w:val="20"/>
                <w:color w:val="auto"/>
              </w:rPr>
            </w:pPr>
            <w:r>
              <w:rPr>
                <w:rFonts w:ascii="Arial" w:cs="Arial" w:eastAsia="Arial" w:hAnsi="Arial"/>
                <w:sz w:val="16"/>
                <w:szCs w:val="16"/>
                <w:b w:val="1"/>
                <w:bCs w:val="1"/>
                <w:color w:val="auto"/>
              </w:rPr>
              <w:t>As of December 31, 2022</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Group</w:t>
            </w:r>
          </w:p>
        </w:tc>
        <w:tc>
          <w:tcPr>
            <w:tcW w:w="220" w:type="dxa"/>
            <w:vAlign w:val="bottom"/>
          </w:tcPr>
          <w:p>
            <w:pPr>
              <w:spacing w:after="0"/>
              <w:rPr>
                <w:sz w:val="17"/>
                <w:szCs w:val="17"/>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payment (*)</w:t>
            </w:r>
          </w:p>
        </w:tc>
        <w:tc>
          <w:tcPr>
            <w:tcW w:w="200" w:type="dxa"/>
            <w:vAlign w:val="bottom"/>
          </w:tcPr>
          <w:p>
            <w:pPr>
              <w:spacing w:after="0"/>
              <w:rPr>
                <w:sz w:val="17"/>
                <w:szCs w:val="17"/>
                <w:color w:val="auto"/>
              </w:rPr>
            </w:pPr>
          </w:p>
        </w:tc>
        <w:tc>
          <w:tcPr>
            <w:tcW w:w="12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Total</w:t>
            </w:r>
          </w:p>
        </w:tc>
      </w:tr>
      <w:tr>
        <w:trPr>
          <w:trHeight w:val="342"/>
        </w:trPr>
        <w:tc>
          <w:tcPr>
            <w:tcW w:w="6340" w:type="dxa"/>
            <w:vAlign w:val="bottom"/>
          </w:tcPr>
          <w:p>
            <w:pPr>
              <w:spacing w:after="0"/>
              <w:rPr>
                <w:sz w:val="20"/>
                <w:szCs w:val="20"/>
                <w:color w:val="auto"/>
              </w:rPr>
            </w:pPr>
            <w:r>
              <w:rPr>
                <w:rFonts w:ascii="Arial" w:cs="Arial" w:eastAsia="Arial" w:hAnsi="Arial"/>
                <w:sz w:val="16"/>
                <w:szCs w:val="16"/>
                <w:color w:val="auto"/>
              </w:rPr>
              <w:t>Atlantic Security Holding Corporation</w:t>
            </w:r>
          </w:p>
        </w:tc>
        <w:tc>
          <w:tcPr>
            <w:tcW w:w="1280" w:type="dxa"/>
            <w:vAlign w:val="bottom"/>
          </w:tcPr>
          <w:p>
            <w:pPr>
              <w:jc w:val="right"/>
              <w:spacing w:after="0"/>
              <w:rPr>
                <w:sz w:val="20"/>
                <w:szCs w:val="20"/>
                <w:color w:val="auto"/>
              </w:rPr>
            </w:pPr>
            <w:r>
              <w:rPr>
                <w:rFonts w:ascii="Arial" w:cs="Arial" w:eastAsia="Arial" w:hAnsi="Arial"/>
                <w:sz w:val="16"/>
                <w:szCs w:val="16"/>
                <w:color w:val="auto"/>
              </w:rPr>
              <w:t>14,620,846</w:t>
            </w:r>
          </w:p>
        </w:tc>
        <w:tc>
          <w:tcPr>
            <w:tcW w:w="22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14,620,846</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BCP</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120,505</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120,505</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Grupo Crédito</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23,214</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23,214</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Pacífico Seguros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20,606</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20,606</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Credicorp Capital Servicios Financieros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15,007</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15,007</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Mibanco</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14,260</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14,260</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ASB Bank Corp</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11,791</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11,791</w:t>
            </w:r>
          </w:p>
        </w:tc>
      </w:tr>
      <w:tr>
        <w:trPr>
          <w:trHeight w:val="200"/>
        </w:trPr>
        <w:tc>
          <w:tcPr>
            <w:tcW w:w="6340" w:type="dxa"/>
            <w:vAlign w:val="bottom"/>
          </w:tcPr>
          <w:p>
            <w:pPr>
              <w:spacing w:after="0"/>
              <w:rPr>
                <w:sz w:val="20"/>
                <w:szCs w:val="20"/>
                <w:color w:val="auto"/>
              </w:rPr>
            </w:pPr>
            <w:r>
              <w:rPr>
                <w:rFonts w:ascii="Arial" w:cs="Arial" w:eastAsia="Arial" w:hAnsi="Arial"/>
                <w:sz w:val="16"/>
                <w:szCs w:val="16"/>
                <w:color w:val="auto"/>
              </w:rPr>
              <w:t>Other minors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22,994</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22,994</w:t>
            </w:r>
          </w:p>
        </w:tc>
      </w:tr>
      <w:tr>
        <w:trPr>
          <w:trHeight w:val="180"/>
        </w:trPr>
        <w:tc>
          <w:tcPr>
            <w:tcW w:w="634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14,620,846</w:t>
            </w:r>
          </w:p>
        </w:tc>
        <w:tc>
          <w:tcPr>
            <w:tcW w:w="22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228,377</w:t>
            </w:r>
          </w:p>
        </w:tc>
        <w:tc>
          <w:tcPr>
            <w:tcW w:w="20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14,849,223</w:t>
            </w:r>
          </w:p>
        </w:tc>
      </w:tr>
    </w:tbl>
    <w:p>
      <w:pPr>
        <w:spacing w:after="0" w:line="166" w:lineRule="exact"/>
        <w:rPr>
          <w:sz w:val="20"/>
          <w:szCs w:val="20"/>
          <w:color w:val="auto"/>
        </w:rPr>
      </w:pPr>
    </w:p>
    <w:tbl>
      <w:tblPr>
        <w:tblLayout w:type="fixed"/>
        <w:tblInd w:w="702" w:type="dxa"/>
        <w:tblCellMar>
          <w:top w:w="0" w:type="dxa"/>
          <w:left w:w="0" w:type="dxa"/>
          <w:bottom w:w="0" w:type="dxa"/>
          <w:right w:w="0" w:type="dxa"/>
        </w:tblCellMar>
      </w:tblPr>
      <w:tr>
        <w:trPr>
          <w:trHeight w:val="200"/>
        </w:trPr>
        <w:tc>
          <w:tcPr>
            <w:tcW w:w="63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Number of shares</w:t>
            </w:r>
          </w:p>
        </w:tc>
        <w:tc>
          <w:tcPr>
            <w:tcW w:w="1260" w:type="dxa"/>
            <w:vAlign w:val="bottom"/>
            <w:tcBorders>
              <w:bottom w:val="single" w:sz="8" w:color="auto"/>
            </w:tcBorders>
          </w:tcPr>
          <w:p>
            <w:pPr>
              <w:spacing w:after="0"/>
              <w:rPr>
                <w:sz w:val="17"/>
                <w:szCs w:val="17"/>
                <w:color w:val="auto"/>
              </w:rPr>
            </w:pPr>
          </w:p>
        </w:tc>
      </w:tr>
      <w:tr>
        <w:trPr>
          <w:trHeight w:val="159"/>
        </w:trPr>
        <w:tc>
          <w:tcPr>
            <w:tcW w:w="6340" w:type="dxa"/>
            <w:vAlign w:val="bottom"/>
          </w:tcPr>
          <w:p>
            <w:pPr>
              <w:spacing w:after="0"/>
              <w:rPr>
                <w:sz w:val="13"/>
                <w:szCs w:val="13"/>
                <w:color w:val="auto"/>
              </w:rPr>
            </w:pPr>
          </w:p>
        </w:tc>
        <w:tc>
          <w:tcPr>
            <w:tcW w:w="1280" w:type="dxa"/>
            <w:vAlign w:val="bottom"/>
          </w:tcPr>
          <w:p>
            <w:pPr>
              <w:ind w:left="60"/>
              <w:spacing w:after="0" w:line="159" w:lineRule="exact"/>
              <w:rPr>
                <w:sz w:val="20"/>
                <w:szCs w:val="20"/>
                <w:color w:val="auto"/>
              </w:rPr>
            </w:pPr>
            <w:r>
              <w:rPr>
                <w:rFonts w:ascii="Arial" w:cs="Arial" w:eastAsia="Arial" w:hAnsi="Arial"/>
                <w:sz w:val="16"/>
                <w:szCs w:val="16"/>
                <w:b w:val="1"/>
                <w:bCs w:val="1"/>
                <w:color w:val="auto"/>
              </w:rPr>
              <w:t>Shares of the</w:t>
            </w:r>
          </w:p>
        </w:tc>
        <w:tc>
          <w:tcPr>
            <w:tcW w:w="220" w:type="dxa"/>
            <w:vAlign w:val="bottom"/>
          </w:tcPr>
          <w:p>
            <w:pPr>
              <w:spacing w:after="0"/>
              <w:rPr>
                <w:sz w:val="13"/>
                <w:szCs w:val="13"/>
                <w:color w:val="auto"/>
              </w:rPr>
            </w:pPr>
          </w:p>
        </w:tc>
        <w:tc>
          <w:tcPr>
            <w:tcW w:w="1460" w:type="dxa"/>
            <w:vAlign w:val="bottom"/>
            <w:gridSpan w:val="2"/>
          </w:tcPr>
          <w:p>
            <w:pPr>
              <w:ind w:left="60"/>
              <w:spacing w:after="0" w:line="159" w:lineRule="exact"/>
              <w:rPr>
                <w:sz w:val="20"/>
                <w:szCs w:val="20"/>
                <w:color w:val="auto"/>
              </w:rPr>
            </w:pPr>
            <w:r>
              <w:rPr>
                <w:rFonts w:ascii="Arial" w:cs="Arial" w:eastAsia="Arial" w:hAnsi="Arial"/>
                <w:sz w:val="16"/>
                <w:szCs w:val="16"/>
                <w:b w:val="1"/>
                <w:bCs w:val="1"/>
                <w:color w:val="auto"/>
              </w:rPr>
              <w:t>Shared-based</w:t>
            </w:r>
          </w:p>
        </w:tc>
        <w:tc>
          <w:tcPr>
            <w:tcW w:w="1260" w:type="dxa"/>
            <w:vAlign w:val="bottom"/>
          </w:tcPr>
          <w:p>
            <w:pPr>
              <w:spacing w:after="0"/>
              <w:rPr>
                <w:sz w:val="13"/>
                <w:szCs w:val="13"/>
                <w:color w:val="auto"/>
              </w:rPr>
            </w:pPr>
          </w:p>
        </w:tc>
      </w:tr>
      <w:tr>
        <w:trPr>
          <w:trHeight w:val="200"/>
        </w:trPr>
        <w:tc>
          <w:tcPr>
            <w:tcW w:w="6340" w:type="dxa"/>
            <w:vAlign w:val="bottom"/>
          </w:tcPr>
          <w:p>
            <w:pPr>
              <w:spacing w:after="0"/>
              <w:rPr>
                <w:sz w:val="20"/>
                <w:szCs w:val="20"/>
                <w:color w:val="auto"/>
              </w:rPr>
            </w:pPr>
            <w:r>
              <w:rPr>
                <w:rFonts w:ascii="Arial" w:cs="Arial" w:eastAsia="Arial" w:hAnsi="Arial"/>
                <w:sz w:val="16"/>
                <w:szCs w:val="16"/>
                <w:b w:val="1"/>
                <w:bCs w:val="1"/>
                <w:color w:val="auto"/>
              </w:rPr>
              <w:t>As of December 31, 2021</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Group</w:t>
            </w:r>
          </w:p>
        </w:tc>
        <w:tc>
          <w:tcPr>
            <w:tcW w:w="220" w:type="dxa"/>
            <w:vAlign w:val="bottom"/>
          </w:tcPr>
          <w:p>
            <w:pPr>
              <w:spacing w:after="0"/>
              <w:rPr>
                <w:sz w:val="17"/>
                <w:szCs w:val="17"/>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payment (*)</w:t>
            </w:r>
          </w:p>
        </w:tc>
        <w:tc>
          <w:tcPr>
            <w:tcW w:w="200" w:type="dxa"/>
            <w:vAlign w:val="bottom"/>
          </w:tcPr>
          <w:p>
            <w:pPr>
              <w:spacing w:after="0"/>
              <w:rPr>
                <w:sz w:val="17"/>
                <w:szCs w:val="17"/>
                <w:color w:val="auto"/>
              </w:rPr>
            </w:pPr>
          </w:p>
        </w:tc>
        <w:tc>
          <w:tcPr>
            <w:tcW w:w="12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Total</w:t>
            </w:r>
          </w:p>
        </w:tc>
      </w:tr>
      <w:tr>
        <w:trPr>
          <w:trHeight w:val="342"/>
        </w:trPr>
        <w:tc>
          <w:tcPr>
            <w:tcW w:w="6340" w:type="dxa"/>
            <w:vAlign w:val="bottom"/>
          </w:tcPr>
          <w:p>
            <w:pPr>
              <w:spacing w:after="0"/>
              <w:rPr>
                <w:sz w:val="20"/>
                <w:szCs w:val="20"/>
                <w:color w:val="auto"/>
              </w:rPr>
            </w:pPr>
            <w:r>
              <w:rPr>
                <w:rFonts w:ascii="Arial" w:cs="Arial" w:eastAsia="Arial" w:hAnsi="Arial"/>
                <w:sz w:val="16"/>
                <w:szCs w:val="16"/>
                <w:color w:val="auto"/>
              </w:rPr>
              <w:t>Atlantic Security Holding Corporation</w:t>
            </w:r>
          </w:p>
        </w:tc>
        <w:tc>
          <w:tcPr>
            <w:tcW w:w="1280" w:type="dxa"/>
            <w:vAlign w:val="bottom"/>
          </w:tcPr>
          <w:p>
            <w:pPr>
              <w:jc w:val="right"/>
              <w:spacing w:after="0"/>
              <w:rPr>
                <w:sz w:val="20"/>
                <w:szCs w:val="20"/>
                <w:color w:val="auto"/>
              </w:rPr>
            </w:pPr>
            <w:r>
              <w:rPr>
                <w:rFonts w:ascii="Arial" w:cs="Arial" w:eastAsia="Arial" w:hAnsi="Arial"/>
                <w:sz w:val="16"/>
                <w:szCs w:val="16"/>
                <w:color w:val="auto"/>
              </w:rPr>
              <w:t>14,620,846</w:t>
            </w:r>
          </w:p>
        </w:tc>
        <w:tc>
          <w:tcPr>
            <w:tcW w:w="22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14,620,846</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BCP</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134,133</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134,133</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Pacífico Seguros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22,966</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22,966</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Credicorp Capital Servicios Financieros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15,561</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15,561</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Mibanco</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14,418</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14,418</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ASB Bank Corp (Atlantic Security Bank)</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11,193</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11,193</w:t>
            </w:r>
          </w:p>
        </w:tc>
      </w:tr>
      <w:tr>
        <w:trPr>
          <w:trHeight w:val="183"/>
        </w:trPr>
        <w:tc>
          <w:tcPr>
            <w:tcW w:w="6340" w:type="dxa"/>
            <w:vAlign w:val="bottom"/>
          </w:tcPr>
          <w:p>
            <w:pPr>
              <w:spacing w:after="0"/>
              <w:rPr>
                <w:sz w:val="20"/>
                <w:szCs w:val="20"/>
                <w:color w:val="auto"/>
              </w:rPr>
            </w:pPr>
            <w:r>
              <w:rPr>
                <w:rFonts w:ascii="Arial" w:cs="Arial" w:eastAsia="Arial" w:hAnsi="Arial"/>
                <w:sz w:val="16"/>
                <w:szCs w:val="16"/>
                <w:color w:val="auto"/>
              </w:rPr>
              <w:t>Grupo Crédito</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7,871</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7,871</w:t>
            </w:r>
          </w:p>
        </w:tc>
      </w:tr>
      <w:tr>
        <w:trPr>
          <w:trHeight w:val="200"/>
        </w:trPr>
        <w:tc>
          <w:tcPr>
            <w:tcW w:w="6340" w:type="dxa"/>
            <w:vAlign w:val="bottom"/>
          </w:tcPr>
          <w:p>
            <w:pPr>
              <w:spacing w:after="0"/>
              <w:rPr>
                <w:sz w:val="20"/>
                <w:szCs w:val="20"/>
                <w:color w:val="auto"/>
              </w:rPr>
            </w:pPr>
            <w:r>
              <w:rPr>
                <w:rFonts w:ascii="Arial" w:cs="Arial" w:eastAsia="Arial" w:hAnsi="Arial"/>
                <w:sz w:val="16"/>
                <w:szCs w:val="16"/>
                <w:color w:val="auto"/>
              </w:rPr>
              <w:t>Other minors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23,381</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23,381</w:t>
            </w:r>
          </w:p>
        </w:tc>
      </w:tr>
      <w:tr>
        <w:trPr>
          <w:trHeight w:val="180"/>
        </w:trPr>
        <w:tc>
          <w:tcPr>
            <w:tcW w:w="634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14,620,846</w:t>
            </w:r>
          </w:p>
        </w:tc>
        <w:tc>
          <w:tcPr>
            <w:tcW w:w="22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229,523</w:t>
            </w:r>
          </w:p>
        </w:tc>
        <w:tc>
          <w:tcPr>
            <w:tcW w:w="20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14,850,369</w:t>
            </w:r>
          </w:p>
        </w:tc>
      </w:tr>
    </w:tbl>
    <w:p>
      <w:pPr>
        <w:spacing w:after="0" w:line="166" w:lineRule="exact"/>
        <w:rPr>
          <w:sz w:val="20"/>
          <w:szCs w:val="20"/>
          <w:color w:val="auto"/>
        </w:rPr>
      </w:pPr>
    </w:p>
    <w:p>
      <w:pPr>
        <w:ind w:left="702" w:right="60" w:hanging="8"/>
        <w:spacing w:after="0" w:line="259" w:lineRule="auto"/>
        <w:tabs>
          <w:tab w:leader="none" w:pos="91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It corresponds mainly to the treasury shares that were granted to employees and Senior Management, for which they have the right to vote, and to a lesser extent to the shares acquired for coverage purposes for the new complementary retention program. These shares are not released on said dates.</w:t>
      </w:r>
    </w:p>
    <w:p>
      <w:pPr>
        <w:spacing w:after="0" w:line="29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2"/>
          </w:cols>
          <w:pgMar w:left="318" w:top="306" w:right="319" w:bottom="1440" w:gutter="0" w:footer="0" w:header="0"/>
        </w:sectPr>
      </w:pPr>
    </w:p>
    <w:bookmarkStart w:id="112" w:name="page113"/>
    <w:bookmarkEnd w:id="112"/>
    <w:p>
      <w:pPr>
        <w:spacing w:after="0" w:line="259" w:lineRule="auto"/>
        <w:rPr>
          <w:sz w:val="20"/>
          <w:szCs w:val="20"/>
          <w:color w:val="auto"/>
        </w:rPr>
      </w:pPr>
      <w:r>
        <w:rPr>
          <w:rFonts w:ascii="Arial" w:cs="Arial" w:eastAsia="Arial" w:hAnsi="Arial"/>
          <w:sz w:val="16"/>
          <w:szCs w:val="16"/>
          <w:color w:val="auto"/>
        </w:rPr>
        <w:t>During 2023, 2022 and 2021, the Group purchased 163,067, 137,604 and 97,951 shares of Credicorp Ltd., respectively, for a total of US$22.5 million (equivalent to S/85.6 million), US$22.5 million (equivalent to S/83.6 million) and US$16.1 million (equivalent to a S/58.9 million), respectively.</w:t>
      </w:r>
    </w:p>
    <w:p>
      <w:pPr>
        <w:spacing w:after="0" w:line="296"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41275</wp:posOffset>
            </wp:positionV>
            <wp:extent cx="714565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200"/>
          </w:cols>
          <w:pgMar w:left="1020" w:top="306" w:right="679" w:bottom="1440" w:gutter="0" w:footer="0" w:header="0"/>
        </w:sectPr>
      </w:pPr>
    </w:p>
    <w:bookmarkStart w:id="113" w:name="page114"/>
    <w:bookmarkEnd w:id="113"/>
    <w:p>
      <w:pPr>
        <w:ind w:left="880" w:hanging="296"/>
        <w:spacing w:after="0"/>
        <w:tabs>
          <w:tab w:leader="none" w:pos="8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Reserves -</w:t>
      </w:r>
    </w:p>
    <w:p>
      <w:pPr>
        <w:spacing w:after="0" w:line="182" w:lineRule="exact"/>
        <w:rPr>
          <w:rFonts w:ascii="Arial" w:cs="Arial" w:eastAsia="Arial" w:hAnsi="Arial"/>
          <w:sz w:val="16"/>
          <w:szCs w:val="16"/>
          <w:color w:val="auto"/>
        </w:rPr>
      </w:pPr>
    </w:p>
    <w:p>
      <w:pPr>
        <w:ind w:left="880" w:right="20"/>
        <w:spacing w:after="0" w:line="252" w:lineRule="auto"/>
        <w:rPr>
          <w:rFonts w:ascii="Arial" w:cs="Arial" w:eastAsia="Arial" w:hAnsi="Arial"/>
          <w:sz w:val="16"/>
          <w:szCs w:val="16"/>
          <w:color w:val="auto"/>
        </w:rPr>
      </w:pPr>
      <w:r>
        <w:rPr>
          <w:rFonts w:ascii="Arial" w:cs="Arial" w:eastAsia="Arial" w:hAnsi="Arial"/>
          <w:sz w:val="16"/>
          <w:szCs w:val="16"/>
          <w:color w:val="auto"/>
        </w:rPr>
        <w:t>Certain Group’s subsidiaries are required to keep a reserve that equals a percentage of paid-in capital (20, 30 or 50 percent, depending on its activities and the country in which production takes place); this reserve must be constituted with annual transfers of not less than 10 percent of net profits. As of December 31, 2023, 2022 and 2021, the balance of this reserves amounts approximately to S/8,621.7 million, S/7,783.3 million and S/7,088.6 million, respectively.</w:t>
      </w:r>
    </w:p>
    <w:p>
      <w:pPr>
        <w:spacing w:after="0" w:line="143" w:lineRule="exact"/>
        <w:rPr>
          <w:rFonts w:ascii="Arial" w:cs="Arial" w:eastAsia="Arial" w:hAnsi="Arial"/>
          <w:sz w:val="16"/>
          <w:szCs w:val="16"/>
          <w:color w:val="auto"/>
        </w:rPr>
      </w:pPr>
    </w:p>
    <w:p>
      <w:pPr>
        <w:ind w:left="880" w:right="700"/>
        <w:spacing w:after="0" w:line="280" w:lineRule="auto"/>
        <w:rPr>
          <w:rFonts w:ascii="Arial" w:cs="Arial" w:eastAsia="Arial" w:hAnsi="Arial"/>
          <w:sz w:val="16"/>
          <w:szCs w:val="16"/>
          <w:color w:val="auto"/>
        </w:rPr>
      </w:pPr>
      <w:r>
        <w:rPr>
          <w:rFonts w:ascii="Arial" w:cs="Arial" w:eastAsia="Arial" w:hAnsi="Arial"/>
          <w:sz w:val="16"/>
          <w:szCs w:val="16"/>
          <w:color w:val="auto"/>
        </w:rPr>
        <w:t>At the Board meetings held on April 27, 2023, April 28, 2022 and February 25, 2021, the decision was made to transfer from “Retained earnings” to “Reserves” S/2,593.6 million, S/2,354.9 million and S/347.0 million, respectively.</w:t>
      </w:r>
    </w:p>
    <w:p>
      <w:pPr>
        <w:spacing w:after="0" w:line="120" w:lineRule="exact"/>
        <w:rPr>
          <w:sz w:val="20"/>
          <w:szCs w:val="20"/>
          <w:color w:val="auto"/>
        </w:rPr>
      </w:pPr>
    </w:p>
    <w:p>
      <w:pPr>
        <w:ind w:left="880" w:right="180"/>
        <w:spacing w:after="0" w:line="280" w:lineRule="auto"/>
        <w:rPr>
          <w:sz w:val="20"/>
          <w:szCs w:val="20"/>
          <w:color w:val="auto"/>
        </w:rPr>
      </w:pPr>
      <w:r>
        <w:rPr>
          <w:rFonts w:ascii="Arial" w:cs="Arial" w:eastAsia="Arial" w:hAnsi="Arial"/>
          <w:sz w:val="16"/>
          <w:szCs w:val="16"/>
          <w:color w:val="auto"/>
        </w:rPr>
        <w:t>“Other reserves” include unrealized gains (losses) on fair value of investments through other comprehensive income and on cash flow hedges derivative instruments, net of deferred income tax and non-controlling interest. Movement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60" w:type="dxa"/>
            <w:vAlign w:val="bottom"/>
          </w:tcPr>
          <w:p>
            <w:pPr>
              <w:spacing w:after="0"/>
              <w:rPr>
                <w:sz w:val="17"/>
                <w:szCs w:val="17"/>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Other reserves:</w:t>
            </w: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9"/>
        </w:trPr>
        <w:tc>
          <w:tcPr>
            <w:tcW w:w="5060" w:type="dxa"/>
            <w:vAlign w:val="bottom"/>
          </w:tcPr>
          <w:p>
            <w:pPr>
              <w:spacing w:after="0"/>
              <w:rPr>
                <w:sz w:val="13"/>
                <w:szCs w:val="13"/>
                <w:color w:val="auto"/>
              </w:rPr>
            </w:pPr>
          </w:p>
        </w:tc>
        <w:tc>
          <w:tcPr>
            <w:tcW w:w="1220" w:type="dxa"/>
            <w:vAlign w:val="bottom"/>
            <w:gridSpan w:val="3"/>
          </w:tcPr>
          <w:p>
            <w:pPr>
              <w:spacing w:after="0" w:line="159" w:lineRule="exact"/>
              <w:rPr>
                <w:sz w:val="20"/>
                <w:szCs w:val="20"/>
                <w:color w:val="auto"/>
              </w:rPr>
            </w:pPr>
            <w:r>
              <w:rPr>
                <w:rFonts w:ascii="Arial" w:cs="Arial" w:eastAsia="Arial" w:hAnsi="Arial"/>
                <w:sz w:val="16"/>
                <w:szCs w:val="16"/>
                <w:b w:val="1"/>
                <w:bCs w:val="1"/>
                <w:color w:val="auto"/>
              </w:rPr>
              <w:t>Instruments</w:t>
            </w: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50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that will not</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50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be reclassifed</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50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to profit or</w:t>
            </w:r>
          </w:p>
        </w:tc>
        <w:tc>
          <w:tcPr>
            <w:tcW w:w="3080" w:type="dxa"/>
            <w:vAlign w:val="bottom"/>
            <w:gridSpan w:val="9"/>
          </w:tcPr>
          <w:p>
            <w:pPr>
              <w:ind w:left="20"/>
              <w:spacing w:after="0"/>
              <w:rPr>
                <w:sz w:val="20"/>
                <w:szCs w:val="20"/>
                <w:color w:val="auto"/>
              </w:rPr>
            </w:pPr>
            <w:r>
              <w:rPr>
                <w:rFonts w:ascii="Arial" w:cs="Arial" w:eastAsia="Arial" w:hAnsi="Arial"/>
                <w:sz w:val="16"/>
                <w:szCs w:val="16"/>
                <w:b w:val="1"/>
                <w:bCs w:val="1"/>
                <w:color w:val="auto"/>
              </w:rPr>
              <w:t>Instruments that will be reclassified to</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0"/>
        </w:trPr>
        <w:tc>
          <w:tcPr>
            <w:tcW w:w="506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loss</w:t>
            </w:r>
          </w:p>
        </w:tc>
        <w:tc>
          <w:tcPr>
            <w:tcW w:w="3080" w:type="dxa"/>
            <w:vAlign w:val="bottom"/>
            <w:gridSpan w:val="9"/>
          </w:tcPr>
          <w:p>
            <w:pPr>
              <w:ind w:left="20"/>
              <w:spacing w:after="0"/>
              <w:rPr>
                <w:sz w:val="20"/>
                <w:szCs w:val="20"/>
                <w:color w:val="auto"/>
              </w:rPr>
            </w:pPr>
            <w:r>
              <w:rPr>
                <w:rFonts w:ascii="Arial" w:cs="Arial" w:eastAsia="Arial" w:hAnsi="Arial"/>
                <w:sz w:val="16"/>
                <w:szCs w:val="16"/>
                <w:b w:val="1"/>
                <w:bCs w:val="1"/>
                <w:color w:val="auto"/>
              </w:rPr>
              <w:t>consolidated statement of income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9"/>
        </w:trPr>
        <w:tc>
          <w:tcPr>
            <w:tcW w:w="5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ind w:left="60"/>
              <w:spacing w:after="0" w:line="159" w:lineRule="exact"/>
              <w:rPr>
                <w:sz w:val="20"/>
                <w:szCs w:val="20"/>
                <w:color w:val="auto"/>
              </w:rPr>
            </w:pPr>
            <w:r>
              <w:rPr>
                <w:rFonts w:ascii="Arial" w:cs="Arial" w:eastAsia="Arial" w:hAnsi="Arial"/>
                <w:sz w:val="16"/>
                <w:szCs w:val="16"/>
                <w:b w:val="1"/>
                <w:bCs w:val="1"/>
                <w:color w:val="auto"/>
              </w:rPr>
              <w:t>Reserve</w:t>
            </w:r>
          </w:p>
        </w:tc>
        <w:tc>
          <w:tcPr>
            <w:tcW w:w="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spacing w:after="0" w:line="159" w:lineRule="exact"/>
              <w:rPr>
                <w:sz w:val="20"/>
                <w:szCs w:val="20"/>
                <w:color w:val="auto"/>
              </w:rPr>
            </w:pPr>
            <w:r>
              <w:rPr>
                <w:rFonts w:ascii="Arial" w:cs="Arial" w:eastAsia="Arial" w:hAnsi="Arial"/>
                <w:sz w:val="16"/>
                <w:szCs w:val="16"/>
                <w:b w:val="1"/>
                <w:bCs w:val="1"/>
                <w:color w:val="auto"/>
              </w:rPr>
              <w:t>Foreign</w:t>
            </w: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50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Equity</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Debt</w:t>
            </w:r>
          </w:p>
        </w:tc>
        <w:tc>
          <w:tcPr>
            <w:tcW w:w="1000" w:type="dxa"/>
            <w:vAlign w:val="bottom"/>
            <w:gridSpan w:val="3"/>
          </w:tcPr>
          <w:p>
            <w:pPr>
              <w:ind w:left="60"/>
              <w:spacing w:after="0"/>
              <w:rPr>
                <w:sz w:val="20"/>
                <w:szCs w:val="20"/>
                <w:color w:val="auto"/>
              </w:rPr>
            </w:pPr>
            <w:r>
              <w:rPr>
                <w:rFonts w:ascii="Arial" w:cs="Arial" w:eastAsia="Arial" w:hAnsi="Arial"/>
                <w:sz w:val="16"/>
                <w:szCs w:val="16"/>
                <w:b w:val="1"/>
                <w:bCs w:val="1"/>
                <w:color w:val="auto"/>
              </w:rPr>
              <w:t>for cash</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currency</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50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instruments at</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instruments</w:t>
            </w:r>
          </w:p>
        </w:tc>
        <w:tc>
          <w:tcPr>
            <w:tcW w:w="1000" w:type="dxa"/>
            <w:vAlign w:val="bottom"/>
            <w:gridSpan w:val="3"/>
          </w:tcPr>
          <w:p>
            <w:pPr>
              <w:ind w:left="60"/>
              <w:spacing w:after="0"/>
              <w:rPr>
                <w:sz w:val="20"/>
                <w:szCs w:val="20"/>
                <w:color w:val="auto"/>
              </w:rPr>
            </w:pPr>
            <w:r>
              <w:rPr>
                <w:rFonts w:ascii="Arial" w:cs="Arial" w:eastAsia="Arial" w:hAnsi="Arial"/>
                <w:sz w:val="16"/>
                <w:szCs w:val="16"/>
                <w:b w:val="1"/>
                <w:bCs w:val="1"/>
                <w:color w:val="auto"/>
              </w:rPr>
              <w:t>flow</w:t>
            </w:r>
          </w:p>
        </w:tc>
        <w:tc>
          <w:tcPr>
            <w:tcW w:w="1060" w:type="dxa"/>
            <w:vAlign w:val="bottom"/>
            <w:gridSpan w:val="3"/>
          </w:tcPr>
          <w:p>
            <w:pPr>
              <w:ind w:left="60"/>
              <w:spacing w:after="0"/>
              <w:rPr>
                <w:sz w:val="20"/>
                <w:szCs w:val="20"/>
                <w:color w:val="auto"/>
              </w:rPr>
            </w:pPr>
            <w:r>
              <w:rPr>
                <w:rFonts w:ascii="Arial" w:cs="Arial" w:eastAsia="Arial" w:hAnsi="Arial"/>
                <w:sz w:val="16"/>
                <w:szCs w:val="16"/>
                <w:b w:val="1"/>
                <w:bCs w:val="1"/>
                <w:color w:val="auto"/>
              </w:rPr>
              <w:t>Insurance</w:t>
            </w: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translation</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0"/>
        </w:trPr>
        <w:tc>
          <w:tcPr>
            <w:tcW w:w="506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fair value</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at fair value</w:t>
            </w:r>
          </w:p>
        </w:tc>
        <w:tc>
          <w:tcPr>
            <w:tcW w:w="1000" w:type="dxa"/>
            <w:vAlign w:val="bottom"/>
            <w:gridSpan w:val="3"/>
          </w:tcPr>
          <w:p>
            <w:pPr>
              <w:ind w:left="60"/>
              <w:spacing w:after="0"/>
              <w:rPr>
                <w:sz w:val="20"/>
                <w:szCs w:val="20"/>
                <w:color w:val="auto"/>
              </w:rPr>
            </w:pPr>
            <w:r>
              <w:rPr>
                <w:rFonts w:ascii="Arial" w:cs="Arial" w:eastAsia="Arial" w:hAnsi="Arial"/>
                <w:sz w:val="16"/>
                <w:szCs w:val="16"/>
                <w:b w:val="1"/>
                <w:bCs w:val="1"/>
                <w:color w:val="auto"/>
              </w:rPr>
              <w:t>hedges</w:t>
            </w:r>
          </w:p>
        </w:tc>
        <w:tc>
          <w:tcPr>
            <w:tcW w:w="1060" w:type="dxa"/>
            <w:vAlign w:val="bottom"/>
            <w:gridSpan w:val="3"/>
          </w:tcPr>
          <w:p>
            <w:pPr>
              <w:ind w:left="60"/>
              <w:spacing w:after="0"/>
              <w:rPr>
                <w:sz w:val="20"/>
                <w:szCs w:val="20"/>
                <w:color w:val="auto"/>
              </w:rPr>
            </w:pPr>
            <w:r>
              <w:rPr>
                <w:rFonts w:ascii="Arial" w:cs="Arial" w:eastAsia="Arial" w:hAnsi="Arial"/>
                <w:sz w:val="16"/>
                <w:szCs w:val="16"/>
                <w:b w:val="1"/>
                <w:bCs w:val="1"/>
                <w:color w:val="auto"/>
              </w:rPr>
              <w:t>reserves</w:t>
            </w: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reserve</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r>
      <w:tr>
        <w:trPr>
          <w:trHeight w:val="216"/>
        </w:trPr>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10"/>
        </w:trPr>
        <w:tc>
          <w:tcPr>
            <w:tcW w:w="5060" w:type="dxa"/>
            <w:vAlign w:val="bottom"/>
          </w:tcPr>
          <w:p>
            <w:pPr>
              <w:spacing w:after="0"/>
              <w:rPr>
                <w:sz w:val="20"/>
                <w:szCs w:val="20"/>
                <w:color w:val="auto"/>
              </w:rPr>
            </w:pPr>
            <w:r>
              <w:rPr>
                <w:rFonts w:ascii="Arial" w:cs="Arial" w:eastAsia="Arial" w:hAnsi="Arial"/>
                <w:sz w:val="16"/>
                <w:szCs w:val="16"/>
                <w:b w:val="1"/>
                <w:bCs w:val="1"/>
                <w:color w:val="auto"/>
              </w:rPr>
              <w:t>Balance as of January 1, 2021</w:t>
            </w: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315,202</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2,256,531</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(41,102)</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(892,598)</w:t>
            </w:r>
          </w:p>
        </w:tc>
        <w:tc>
          <w:tcPr>
            <w:tcW w:w="880" w:type="dxa"/>
            <w:vAlign w:val="bottom"/>
          </w:tcPr>
          <w:p>
            <w:pPr>
              <w:jc w:val="right"/>
              <w:spacing w:after="0"/>
              <w:rPr>
                <w:sz w:val="20"/>
                <w:szCs w:val="20"/>
                <w:color w:val="auto"/>
              </w:rPr>
            </w:pPr>
            <w:r>
              <w:rPr>
                <w:rFonts w:ascii="Arial" w:cs="Arial" w:eastAsia="Arial" w:hAnsi="Arial"/>
                <w:sz w:val="16"/>
                <w:szCs w:val="16"/>
                <w:color w:val="auto"/>
              </w:rPr>
              <w:t>227,865</w:t>
            </w:r>
          </w:p>
        </w:tc>
        <w:tc>
          <w:tcPr>
            <w:tcW w:w="1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1,865,898</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Decrease in net unrealized gains on investments</w:t>
            </w: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(108,317)</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(2,411,900)</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(2,520,217)</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Transfer to results of the net realized loss of investments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3,848</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3,848</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Transfer of recovery of credit loss of investments to profit or loss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8,121</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8,121</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Change in net unrealized gain on cash flow hedges derivatives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97,251</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97,251</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Transfer of net realized gain on cash flow hedges derivatives to</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profit or loss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(56,422)</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(56,422)</w:t>
            </w:r>
          </w:p>
        </w:tc>
        <w:tc>
          <w:tcPr>
            <w:tcW w:w="20" w:type="dxa"/>
            <w:vAlign w:val="bottom"/>
          </w:tcPr>
          <w:p>
            <w:pPr>
              <w:spacing w:after="0"/>
              <w:rPr>
                <w:sz w:val="15"/>
                <w:szCs w:val="15"/>
                <w:color w:val="auto"/>
              </w:rPr>
            </w:pP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Other reserves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733,932</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733,932</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Foreign exchange translation</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160,810</w:t>
            </w:r>
          </w:p>
        </w:tc>
        <w:tc>
          <w:tcPr>
            <w:tcW w:w="1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160,810</w:t>
            </w:r>
          </w:p>
        </w:tc>
      </w:tr>
      <w:tr>
        <w:trPr>
          <w:trHeight w:val="192"/>
        </w:trPr>
        <w:tc>
          <w:tcPr>
            <w:tcW w:w="5060" w:type="dxa"/>
            <w:vAlign w:val="bottom"/>
          </w:tcPr>
          <w:p>
            <w:pPr>
              <w:spacing w:after="0"/>
              <w:rPr>
                <w:sz w:val="20"/>
                <w:szCs w:val="20"/>
                <w:color w:val="auto"/>
              </w:rPr>
            </w:pPr>
            <w:r>
              <w:rPr>
                <w:rFonts w:ascii="Arial" w:cs="Arial" w:eastAsia="Arial" w:hAnsi="Arial"/>
                <w:sz w:val="16"/>
                <w:szCs w:val="16"/>
                <w:color w:val="auto"/>
              </w:rPr>
              <w:t>Net movement in hedges of net investments in foreign businesses</w:t>
            </w:r>
          </w:p>
        </w:tc>
        <w:tc>
          <w:tcPr>
            <w:tcW w:w="2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(57,319)</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(57,319)</w:t>
            </w:r>
          </w:p>
        </w:tc>
        <w:tc>
          <w:tcPr>
            <w:tcW w:w="20" w:type="dxa"/>
            <w:vAlign w:val="bottom"/>
          </w:tcPr>
          <w:p>
            <w:pPr>
              <w:spacing w:after="0"/>
              <w:rPr>
                <w:sz w:val="16"/>
                <w:szCs w:val="16"/>
                <w:color w:val="auto"/>
              </w:rPr>
            </w:pPr>
          </w:p>
        </w:tc>
      </w:tr>
      <w:tr>
        <w:trPr>
          <w:trHeight w:val="166"/>
        </w:trPr>
        <w:tc>
          <w:tcPr>
            <w:tcW w:w="5060" w:type="dxa"/>
            <w:vAlign w:val="bottom"/>
          </w:tcPr>
          <w:p>
            <w:pPr>
              <w:spacing w:after="0" w:line="167" w:lineRule="exact"/>
              <w:rPr>
                <w:sz w:val="20"/>
                <w:szCs w:val="20"/>
                <w:color w:val="auto"/>
              </w:rPr>
            </w:pPr>
            <w:r>
              <w:rPr>
                <w:rFonts w:ascii="Arial" w:cs="Arial" w:eastAsia="Arial" w:hAnsi="Arial"/>
                <w:sz w:val="16"/>
                <w:szCs w:val="16"/>
                <w:b w:val="1"/>
                <w:bCs w:val="1"/>
                <w:color w:val="auto"/>
              </w:rPr>
              <w:t>Balance as of December 31, 2021</w:t>
            </w:r>
          </w:p>
        </w:tc>
        <w:tc>
          <w:tcPr>
            <w:tcW w:w="20" w:type="dxa"/>
            <w:vAlign w:val="bottom"/>
          </w:tcPr>
          <w:p>
            <w:pPr>
              <w:spacing w:after="0"/>
              <w:rPr>
                <w:sz w:val="14"/>
                <w:szCs w:val="14"/>
                <w:color w:val="auto"/>
              </w:rPr>
            </w:pPr>
          </w:p>
        </w:tc>
        <w:tc>
          <w:tcPr>
            <w:tcW w:w="11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206,885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(143,400)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(273)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(158,666)</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331,356</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235,902</w:t>
            </w:r>
          </w:p>
        </w:tc>
        <w:tc>
          <w:tcPr>
            <w:tcW w:w="20" w:type="dxa"/>
            <w:vAlign w:val="bottom"/>
          </w:tcPr>
          <w:p>
            <w:pPr>
              <w:spacing w:after="0"/>
              <w:rPr>
                <w:sz w:val="14"/>
                <w:szCs w:val="14"/>
                <w:color w:val="auto"/>
              </w:rPr>
            </w:pP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Impact of initial application of IRFS 17</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158,666</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158,666</w:t>
            </w:r>
          </w:p>
        </w:tc>
      </w:tr>
      <w:tr>
        <w:trPr>
          <w:trHeight w:val="192"/>
        </w:trPr>
        <w:tc>
          <w:tcPr>
            <w:tcW w:w="5060" w:type="dxa"/>
            <w:vAlign w:val="bottom"/>
          </w:tcPr>
          <w:p>
            <w:pPr>
              <w:spacing w:after="0"/>
              <w:rPr>
                <w:sz w:val="20"/>
                <w:szCs w:val="20"/>
                <w:color w:val="auto"/>
              </w:rPr>
            </w:pPr>
            <w:r>
              <w:rPr>
                <w:rFonts w:ascii="Arial" w:cs="Arial" w:eastAsia="Arial" w:hAnsi="Arial"/>
                <w:sz w:val="16"/>
                <w:szCs w:val="16"/>
                <w:color w:val="auto"/>
              </w:rPr>
              <w:t>Others</w:t>
            </w:r>
          </w:p>
        </w:tc>
        <w:tc>
          <w:tcPr>
            <w:tcW w:w="2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3,900</w:t>
            </w:r>
          </w:p>
        </w:tc>
        <w:tc>
          <w:tcPr>
            <w:tcW w:w="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5,681</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9,581</w:t>
            </w:r>
          </w:p>
        </w:tc>
      </w:tr>
      <w:tr>
        <w:trPr>
          <w:trHeight w:val="166"/>
        </w:trPr>
        <w:tc>
          <w:tcPr>
            <w:tcW w:w="5060" w:type="dxa"/>
            <w:vAlign w:val="bottom"/>
          </w:tcPr>
          <w:p>
            <w:pPr>
              <w:spacing w:after="0" w:line="167" w:lineRule="exact"/>
              <w:rPr>
                <w:sz w:val="20"/>
                <w:szCs w:val="20"/>
                <w:color w:val="auto"/>
              </w:rPr>
            </w:pPr>
            <w:r>
              <w:rPr>
                <w:rFonts w:ascii="Arial" w:cs="Arial" w:eastAsia="Arial" w:hAnsi="Arial"/>
                <w:sz w:val="16"/>
                <w:szCs w:val="16"/>
                <w:b w:val="1"/>
                <w:bCs w:val="1"/>
                <w:color w:val="auto"/>
              </w:rPr>
              <w:t>Balances as of January 1, 2022 - Restated</w:t>
            </w:r>
          </w:p>
        </w:tc>
        <w:tc>
          <w:tcPr>
            <w:tcW w:w="20" w:type="dxa"/>
            <w:vAlign w:val="bottom"/>
          </w:tcPr>
          <w:p>
            <w:pPr>
              <w:spacing w:after="0"/>
              <w:rPr>
                <w:sz w:val="14"/>
                <w:szCs w:val="14"/>
                <w:color w:val="auto"/>
              </w:rPr>
            </w:pPr>
          </w:p>
        </w:tc>
        <w:tc>
          <w:tcPr>
            <w:tcW w:w="11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206,885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(139,500)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(273)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404,149</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Decrease in net unrealized gains on investments</w:t>
            </w: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(36,477)</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(1,629,016)</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(1,665,493)</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Transfer to results of the net realized loss of investments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49,754</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49,754</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Transfer of recovery of credit loss of investments to profit or loss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63,203</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63,203</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Change in net unrealized gain on cash flow hedges derivatives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29,109</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29,109</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Transfer of net realized gain on cash flow hedges derivatives to</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profit or loss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(28,048)</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(28,048)</w:t>
            </w:r>
          </w:p>
        </w:tc>
        <w:tc>
          <w:tcPr>
            <w:tcW w:w="20" w:type="dxa"/>
            <w:vAlign w:val="bottom"/>
          </w:tcPr>
          <w:p>
            <w:pPr>
              <w:spacing w:after="0"/>
              <w:rPr>
                <w:sz w:val="15"/>
                <w:szCs w:val="15"/>
                <w:color w:val="auto"/>
              </w:rPr>
            </w:pP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Other reserves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1,133,536</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1,133,536</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Foreign exchange translation</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(301,969)</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(301,969)</w:t>
            </w:r>
          </w:p>
        </w:tc>
      </w:tr>
      <w:tr>
        <w:trPr>
          <w:trHeight w:val="192"/>
        </w:trPr>
        <w:tc>
          <w:tcPr>
            <w:tcW w:w="5060" w:type="dxa"/>
            <w:vAlign w:val="bottom"/>
          </w:tcPr>
          <w:p>
            <w:pPr>
              <w:spacing w:after="0"/>
              <w:rPr>
                <w:sz w:val="20"/>
                <w:szCs w:val="20"/>
                <w:color w:val="auto"/>
              </w:rPr>
            </w:pPr>
            <w:r>
              <w:rPr>
                <w:rFonts w:ascii="Arial" w:cs="Arial" w:eastAsia="Arial" w:hAnsi="Arial"/>
                <w:sz w:val="16"/>
                <w:szCs w:val="16"/>
                <w:color w:val="auto"/>
              </w:rPr>
              <w:t>Net movement in hedges of net investments in foreign businesses</w:t>
            </w:r>
          </w:p>
        </w:tc>
        <w:tc>
          <w:tcPr>
            <w:tcW w:w="2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39,587</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39,587</w:t>
            </w:r>
          </w:p>
        </w:tc>
      </w:tr>
      <w:tr>
        <w:trPr>
          <w:trHeight w:val="166"/>
        </w:trPr>
        <w:tc>
          <w:tcPr>
            <w:tcW w:w="5060" w:type="dxa"/>
            <w:vAlign w:val="bottom"/>
          </w:tcPr>
          <w:p>
            <w:pPr>
              <w:spacing w:after="0" w:line="167" w:lineRule="exact"/>
              <w:rPr>
                <w:sz w:val="20"/>
                <w:szCs w:val="20"/>
                <w:color w:val="auto"/>
              </w:rPr>
            </w:pPr>
            <w:r>
              <w:rPr>
                <w:rFonts w:ascii="Arial" w:cs="Arial" w:eastAsia="Arial" w:hAnsi="Arial"/>
                <w:sz w:val="16"/>
                <w:szCs w:val="16"/>
                <w:b w:val="1"/>
                <w:bCs w:val="1"/>
                <w:color w:val="auto"/>
              </w:rPr>
              <w:t>Balance as of December 31, 2022 - Restated</w:t>
            </w:r>
          </w:p>
        </w:tc>
        <w:tc>
          <w:tcPr>
            <w:tcW w:w="20" w:type="dxa"/>
            <w:vAlign w:val="bottom"/>
          </w:tcPr>
          <w:p>
            <w:pPr>
              <w:spacing w:after="0"/>
              <w:rPr>
                <w:sz w:val="14"/>
                <w:szCs w:val="14"/>
                <w:color w:val="auto"/>
              </w:rPr>
            </w:pPr>
          </w:p>
        </w:tc>
        <w:tc>
          <w:tcPr>
            <w:tcW w:w="11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170,408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(1,655,559)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788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1,133,536</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74,655</w:t>
            </w:r>
          </w:p>
        </w:tc>
        <w:tc>
          <w:tcPr>
            <w:tcW w:w="12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(276,172)</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Decrease (increase) in net unrealized gains on investments</w:t>
            </w: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(12,247)</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1,241,632</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1,229,385</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Transfer to results of the net realized loss of investments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7,789</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7,789</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Transfer of recovery of credit loss of investments to profit or loss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8,716</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8,716</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Change in net unrealized gain on cash flow hedges derivatives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18,359</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18,359</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Transfer of net realized gain on cash flow hedges derivatives to</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profit or loss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(30,550)</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(30,550)</w:t>
            </w:r>
          </w:p>
        </w:tc>
        <w:tc>
          <w:tcPr>
            <w:tcW w:w="20" w:type="dxa"/>
            <w:vAlign w:val="bottom"/>
          </w:tcPr>
          <w:p>
            <w:pPr>
              <w:spacing w:after="0"/>
              <w:rPr>
                <w:sz w:val="15"/>
                <w:szCs w:val="15"/>
                <w:color w:val="auto"/>
              </w:rPr>
            </w:pP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Other reserves</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(754,192)</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(754,192)</w:t>
            </w:r>
          </w:p>
        </w:tc>
      </w:tr>
      <w:tr>
        <w:trPr>
          <w:trHeight w:val="183"/>
        </w:trPr>
        <w:tc>
          <w:tcPr>
            <w:tcW w:w="5060" w:type="dxa"/>
            <w:vAlign w:val="bottom"/>
          </w:tcPr>
          <w:p>
            <w:pPr>
              <w:spacing w:after="0"/>
              <w:rPr>
                <w:sz w:val="20"/>
                <w:szCs w:val="20"/>
                <w:color w:val="auto"/>
              </w:rPr>
            </w:pPr>
            <w:r>
              <w:rPr>
                <w:rFonts w:ascii="Arial" w:cs="Arial" w:eastAsia="Arial" w:hAnsi="Arial"/>
                <w:sz w:val="16"/>
                <w:szCs w:val="16"/>
                <w:color w:val="auto"/>
              </w:rPr>
              <w:t>Foreign exchange translation</w:t>
            </w:r>
          </w:p>
        </w:tc>
        <w:tc>
          <w:tcPr>
            <w:tcW w:w="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73,498</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73,498</w:t>
            </w:r>
          </w:p>
        </w:tc>
      </w:tr>
      <w:tr>
        <w:trPr>
          <w:trHeight w:val="200"/>
        </w:trPr>
        <w:tc>
          <w:tcPr>
            <w:tcW w:w="5060" w:type="dxa"/>
            <w:vAlign w:val="bottom"/>
          </w:tcPr>
          <w:p>
            <w:pPr>
              <w:spacing w:after="0"/>
              <w:rPr>
                <w:sz w:val="20"/>
                <w:szCs w:val="20"/>
                <w:color w:val="auto"/>
              </w:rPr>
            </w:pPr>
            <w:r>
              <w:rPr>
                <w:rFonts w:ascii="Arial" w:cs="Arial" w:eastAsia="Arial" w:hAnsi="Arial"/>
                <w:sz w:val="16"/>
                <w:szCs w:val="16"/>
                <w:color w:val="auto"/>
              </w:rPr>
              <w:t>Net movement in hedges of net investments in foreign businesses</w:t>
            </w:r>
          </w:p>
        </w:tc>
        <w:tc>
          <w:tcPr>
            <w:tcW w:w="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18,950</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18,950</w:t>
            </w:r>
          </w:p>
        </w:tc>
      </w:tr>
      <w:tr>
        <w:trPr>
          <w:trHeight w:val="180"/>
        </w:trPr>
        <w:tc>
          <w:tcPr>
            <w:tcW w:w="5060" w:type="dxa"/>
            <w:vAlign w:val="bottom"/>
          </w:tcPr>
          <w:p>
            <w:pPr>
              <w:spacing w:after="0" w:line="175" w:lineRule="exact"/>
              <w:rPr>
                <w:sz w:val="20"/>
                <w:szCs w:val="20"/>
                <w:color w:val="auto"/>
              </w:rPr>
            </w:pPr>
            <w:r>
              <w:rPr>
                <w:rFonts w:ascii="Arial" w:cs="Arial" w:eastAsia="Arial" w:hAnsi="Arial"/>
                <w:sz w:val="16"/>
                <w:szCs w:val="16"/>
                <w:b w:val="1"/>
                <w:bCs w:val="1"/>
                <w:color w:val="auto"/>
              </w:rPr>
              <w:t>Balance as of December 31, 2023</w:t>
            </w:r>
          </w:p>
        </w:tc>
        <w:tc>
          <w:tcPr>
            <w:tcW w:w="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158,161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(397,422)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(11,403)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379,344</w:t>
            </w:r>
          </w:p>
        </w:tc>
        <w:tc>
          <w:tcPr>
            <w:tcW w:w="12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167,103</w:t>
            </w:r>
          </w:p>
        </w:tc>
        <w:tc>
          <w:tcPr>
            <w:tcW w:w="12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295,783</w:t>
            </w:r>
          </w:p>
        </w:tc>
        <w:tc>
          <w:tcPr>
            <w:tcW w:w="20" w:type="dxa"/>
            <w:vAlign w:val="bottom"/>
            <w:tcBorders>
              <w:top w:val="single" w:sz="8" w:color="auto"/>
            </w:tcBorders>
          </w:tcPr>
          <w:p>
            <w:pPr>
              <w:spacing w:after="0"/>
              <w:rPr>
                <w:sz w:val="15"/>
                <w:szCs w:val="15"/>
                <w:color w:val="auto"/>
              </w:rPr>
            </w:pPr>
          </w:p>
        </w:tc>
      </w:tr>
      <w:tr>
        <w:trPr>
          <w:trHeight w:val="541"/>
        </w:trPr>
        <w:tc>
          <w:tcPr>
            <w:tcW w:w="5060" w:type="dxa"/>
            <w:vAlign w:val="bottom"/>
          </w:tcPr>
          <w:p>
            <w:pPr>
              <w:spacing w:after="0"/>
              <w:rPr>
                <w:sz w:val="24"/>
                <w:szCs w:val="24"/>
                <w:color w:val="auto"/>
              </w:rPr>
            </w:pPr>
          </w:p>
        </w:tc>
        <w:tc>
          <w:tcPr>
            <w:tcW w:w="1140" w:type="dxa"/>
            <w:vAlign w:val="bottom"/>
            <w:gridSpan w:val="2"/>
          </w:tcPr>
          <w:p>
            <w:pPr>
              <w:jc w:val="right"/>
              <w:ind w:right="399"/>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
        </w:trPr>
        <w:tc>
          <w:tcPr>
            <w:tcW w:w="5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ind w:left="580"/>
              <w:spacing w:after="0"/>
              <w:rPr>
                <w:sz w:val="20"/>
                <w:szCs w:val="20"/>
                <w:color w:val="auto"/>
              </w:rPr>
            </w:pPr>
            <w:r>
              <w:rPr>
                <w:rFonts w:ascii="Arial" w:cs="Arial" w:eastAsia="Arial" w:hAnsi="Arial"/>
                <w:sz w:val="16"/>
                <w:szCs w:val="16"/>
                <w:color w:val="auto"/>
              </w:rPr>
              <w:t>d)  Components of other comprehensive income -</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7060" w:type="dxa"/>
            <w:vAlign w:val="bottom"/>
          </w:tcPr>
          <w:p>
            <w:pPr>
              <w:ind w:left="880"/>
              <w:spacing w:after="0"/>
              <w:rPr>
                <w:sz w:val="20"/>
                <w:szCs w:val="20"/>
                <w:color w:val="auto"/>
              </w:rPr>
            </w:pPr>
            <w:r>
              <w:rPr>
                <w:rFonts w:ascii="Arial" w:cs="Arial" w:eastAsia="Arial" w:hAnsi="Arial"/>
                <w:sz w:val="16"/>
                <w:szCs w:val="16"/>
                <w:color w:val="auto"/>
              </w:rPr>
              <w:t>The movement of the item is as follows: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0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(Restated)</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vMerge w:val="restart"/>
          </w:tcPr>
          <w:p>
            <w:pPr>
              <w:ind w:left="880"/>
              <w:spacing w:after="0"/>
              <w:rPr>
                <w:sz w:val="20"/>
                <w:szCs w:val="20"/>
                <w:color w:val="auto"/>
              </w:rPr>
            </w:pPr>
            <w:r>
              <w:rPr>
                <w:rFonts w:ascii="Arial" w:cs="Arial" w:eastAsia="Arial" w:hAnsi="Arial"/>
                <w:sz w:val="16"/>
                <w:szCs w:val="16"/>
                <w:b w:val="1"/>
                <w:bCs w:val="1"/>
                <w:color w:val="auto"/>
              </w:rPr>
              <w:t>To be reclassified to the consolidated statement of income in later periods</w:t>
            </w: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0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1020"/>
              <w:spacing w:after="0"/>
              <w:rPr>
                <w:sz w:val="20"/>
                <w:szCs w:val="20"/>
                <w:color w:val="auto"/>
              </w:rPr>
            </w:pPr>
            <w:r>
              <w:rPr>
                <w:rFonts w:ascii="Arial" w:cs="Arial" w:eastAsia="Arial" w:hAnsi="Arial"/>
                <w:sz w:val="16"/>
                <w:szCs w:val="16"/>
                <w:b w:val="1"/>
                <w:bCs w:val="1"/>
                <w:color w:val="auto"/>
              </w:rPr>
              <w:t>comprehensive income</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7060" w:type="dxa"/>
            <w:vAlign w:val="bottom"/>
          </w:tcPr>
          <w:p>
            <w:pPr>
              <w:ind w:left="880"/>
              <w:spacing w:after="0"/>
              <w:rPr>
                <w:sz w:val="20"/>
                <w:szCs w:val="20"/>
                <w:color w:val="auto"/>
              </w:rPr>
            </w:pPr>
            <w:r>
              <w:rPr>
                <w:rFonts w:ascii="Arial" w:cs="Arial" w:eastAsia="Arial" w:hAnsi="Arial"/>
                <w:sz w:val="16"/>
                <w:szCs w:val="16"/>
                <w:b w:val="1"/>
                <w:bCs w:val="1"/>
                <w:color w:val="auto"/>
              </w:rPr>
              <w:t>Debt instruments at fair value through other -</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60" w:type="dxa"/>
            <w:vAlign w:val="bottom"/>
          </w:tcPr>
          <w:p>
            <w:pPr>
              <w:ind w:left="1040"/>
              <w:spacing w:after="0"/>
              <w:rPr>
                <w:sz w:val="20"/>
                <w:szCs w:val="20"/>
                <w:color w:val="auto"/>
              </w:rPr>
            </w:pPr>
            <w:r>
              <w:rPr>
                <w:rFonts w:ascii="Arial" w:cs="Arial" w:eastAsia="Arial" w:hAnsi="Arial"/>
                <w:sz w:val="16"/>
                <w:szCs w:val="16"/>
                <w:color w:val="auto"/>
              </w:rPr>
              <w:t>Net unrealized gain (loss)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1,241,632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(1,629,016)</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(2,411,900)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60" w:type="dxa"/>
            <w:vAlign w:val="bottom"/>
          </w:tcPr>
          <w:p>
            <w:pPr>
              <w:ind w:left="1040"/>
              <w:spacing w:after="0"/>
              <w:rPr>
                <w:sz w:val="20"/>
                <w:szCs w:val="20"/>
                <w:color w:val="auto"/>
              </w:rPr>
            </w:pPr>
            <w:r>
              <w:rPr>
                <w:rFonts w:ascii="Arial" w:cs="Arial" w:eastAsia="Arial" w:hAnsi="Arial"/>
                <w:sz w:val="16"/>
                <w:szCs w:val="16"/>
                <w:color w:val="auto"/>
              </w:rPr>
              <w:t>Transfer to results of net realized loss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7,789</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49,754</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3,848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060" w:type="dxa"/>
            <w:vAlign w:val="bottom"/>
          </w:tcPr>
          <w:p>
            <w:pPr>
              <w:ind w:left="1040"/>
              <w:spacing w:after="0"/>
              <w:rPr>
                <w:sz w:val="20"/>
                <w:szCs w:val="20"/>
                <w:color w:val="auto"/>
              </w:rPr>
            </w:pPr>
            <w:r>
              <w:rPr>
                <w:rFonts w:ascii="Arial" w:cs="Arial" w:eastAsia="Arial" w:hAnsi="Arial"/>
                <w:sz w:val="16"/>
                <w:szCs w:val="16"/>
                <w:color w:val="auto"/>
              </w:rPr>
              <w:t>Transfer of recovery of credit loss to profit or loss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8,716</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63,203</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8,121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060" w:type="dxa"/>
            <w:vAlign w:val="bottom"/>
          </w:tcPr>
          <w:p>
            <w:pPr>
              <w:ind w:left="1040"/>
              <w:spacing w:after="0" w:line="159" w:lineRule="exact"/>
              <w:rPr>
                <w:sz w:val="20"/>
                <w:szCs w:val="20"/>
                <w:color w:val="auto"/>
              </w:rPr>
            </w:pPr>
            <w:r>
              <w:rPr>
                <w:rFonts w:ascii="Arial" w:cs="Arial" w:eastAsia="Arial" w:hAnsi="Arial"/>
                <w:sz w:val="16"/>
                <w:szCs w:val="16"/>
                <w:b w:val="1"/>
                <w:bCs w:val="1"/>
                <w:color w:val="auto"/>
              </w:rPr>
              <w:t>Sub total</w:t>
            </w:r>
          </w:p>
        </w:tc>
        <w:tc>
          <w:tcPr>
            <w:tcW w:w="1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1,258,137</w:t>
            </w:r>
          </w:p>
        </w:tc>
        <w:tc>
          <w:tcPr>
            <w:tcW w:w="120" w:type="dxa"/>
            <w:vAlign w:val="bottom"/>
          </w:tcPr>
          <w:p>
            <w:pPr>
              <w:spacing w:after="0"/>
              <w:rPr>
                <w:sz w:val="13"/>
                <w:szCs w:val="13"/>
                <w:color w:val="auto"/>
              </w:rPr>
            </w:pPr>
          </w:p>
        </w:tc>
        <w:tc>
          <w:tcPr>
            <w:tcW w:w="1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(1,516,059)</w:t>
            </w:r>
          </w:p>
        </w:tc>
        <w:tc>
          <w:tcPr>
            <w:tcW w:w="10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20"/>
              <w:spacing w:after="0" w:line="159" w:lineRule="exact"/>
              <w:rPr>
                <w:sz w:val="20"/>
                <w:szCs w:val="20"/>
                <w:color w:val="auto"/>
              </w:rPr>
            </w:pPr>
            <w:r>
              <w:rPr>
                <w:rFonts w:ascii="Arial" w:cs="Arial" w:eastAsia="Arial" w:hAnsi="Arial"/>
                <w:sz w:val="16"/>
                <w:szCs w:val="16"/>
                <w:color w:val="auto"/>
              </w:rPr>
              <w:t>(2,399,931)</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060" w:type="dxa"/>
            <w:vAlign w:val="bottom"/>
          </w:tcPr>
          <w:p>
            <w:pPr>
              <w:ind w:left="1040"/>
              <w:spacing w:after="0"/>
              <w:rPr>
                <w:sz w:val="20"/>
                <w:szCs w:val="20"/>
                <w:color w:val="auto"/>
              </w:rPr>
            </w:pPr>
            <w:r>
              <w:rPr>
                <w:rFonts w:ascii="Arial" w:cs="Arial" w:eastAsia="Arial" w:hAnsi="Arial"/>
                <w:sz w:val="16"/>
                <w:szCs w:val="16"/>
                <w:color w:val="auto"/>
              </w:rPr>
              <w:t>Non-controlling interest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18,317</w:t>
            </w:r>
          </w:p>
        </w:tc>
        <w:tc>
          <w:tcPr>
            <w:tcW w:w="1120" w:type="dxa"/>
            <w:vAlign w:val="bottom"/>
          </w:tcPr>
          <w:p>
            <w:pPr>
              <w:jc w:val="right"/>
              <w:spacing w:after="0"/>
              <w:rPr>
                <w:sz w:val="20"/>
                <w:szCs w:val="20"/>
                <w:color w:val="auto"/>
              </w:rPr>
            </w:pPr>
            <w:r>
              <w:rPr>
                <w:rFonts w:ascii="Arial" w:cs="Arial" w:eastAsia="Arial" w:hAnsi="Arial"/>
                <w:sz w:val="16"/>
                <w:szCs w:val="16"/>
                <w:color w:val="auto"/>
              </w:rPr>
              <w:t>(15,535)</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(39,890)</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060" w:type="dxa"/>
            <w:vAlign w:val="bottom"/>
          </w:tcPr>
          <w:p>
            <w:pPr>
              <w:ind w:left="1040"/>
              <w:spacing w:after="0"/>
              <w:rPr>
                <w:sz w:val="20"/>
                <w:szCs w:val="20"/>
                <w:color w:val="auto"/>
              </w:rPr>
            </w:pPr>
            <w:r>
              <w:rPr>
                <w:rFonts w:ascii="Arial" w:cs="Arial" w:eastAsia="Arial" w:hAnsi="Arial"/>
                <w:sz w:val="16"/>
                <w:szCs w:val="16"/>
                <w:color w:val="auto"/>
              </w:rPr>
              <w:t>Income tax</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58,489</w:t>
            </w:r>
          </w:p>
        </w:tc>
        <w:tc>
          <w:tcPr>
            <w:tcW w:w="1120" w:type="dxa"/>
            <w:vAlign w:val="bottom"/>
          </w:tcPr>
          <w:p>
            <w:pPr>
              <w:jc w:val="right"/>
              <w:spacing w:after="0"/>
              <w:rPr>
                <w:sz w:val="20"/>
                <w:szCs w:val="20"/>
                <w:color w:val="auto"/>
              </w:rPr>
            </w:pPr>
            <w:r>
              <w:rPr>
                <w:rFonts w:ascii="Arial" w:cs="Arial" w:eastAsia="Arial" w:hAnsi="Arial"/>
                <w:sz w:val="16"/>
                <w:szCs w:val="16"/>
                <w:color w:val="auto"/>
              </w:rPr>
              <w:t>(82,459)</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(52,086)</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0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1,334,943</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(1,614,053)</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(2,491,907)</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060" w:type="dxa"/>
            <w:vAlign w:val="bottom"/>
          </w:tcPr>
          <w:p>
            <w:pPr>
              <w:ind w:left="880"/>
              <w:spacing w:after="0"/>
              <w:rPr>
                <w:sz w:val="20"/>
                <w:szCs w:val="20"/>
                <w:color w:val="auto"/>
              </w:rPr>
            </w:pPr>
            <w:r>
              <w:rPr>
                <w:rFonts w:ascii="Arial" w:cs="Arial" w:eastAsia="Arial" w:hAnsi="Arial"/>
                <w:sz w:val="16"/>
                <w:szCs w:val="16"/>
                <w:b w:val="1"/>
                <w:bCs w:val="1"/>
                <w:color w:val="auto"/>
              </w:rPr>
              <w:t>Cash flow hedge reserves -</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60" w:type="dxa"/>
            <w:vAlign w:val="bottom"/>
          </w:tcPr>
          <w:p>
            <w:pPr>
              <w:ind w:left="1040"/>
              <w:spacing w:after="0"/>
              <w:rPr>
                <w:sz w:val="20"/>
                <w:szCs w:val="20"/>
                <w:color w:val="auto"/>
              </w:rPr>
            </w:pPr>
            <w:r>
              <w:rPr>
                <w:rFonts w:ascii="Arial" w:cs="Arial" w:eastAsia="Arial" w:hAnsi="Arial"/>
                <w:sz w:val="16"/>
                <w:szCs w:val="16"/>
                <w:color w:val="auto"/>
              </w:rPr>
              <w:t>Net gain on cash flow hedges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18,359</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29,109</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97,251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060" w:type="dxa"/>
            <w:vAlign w:val="bottom"/>
          </w:tcPr>
          <w:p>
            <w:pPr>
              <w:ind w:left="1040"/>
              <w:spacing w:after="0"/>
              <w:rPr>
                <w:sz w:val="20"/>
                <w:szCs w:val="20"/>
                <w:color w:val="auto"/>
              </w:rPr>
            </w:pPr>
            <w:r>
              <w:rPr>
                <w:rFonts w:ascii="Arial" w:cs="Arial" w:eastAsia="Arial" w:hAnsi="Arial"/>
                <w:sz w:val="16"/>
                <w:szCs w:val="16"/>
                <w:color w:val="auto"/>
              </w:rPr>
              <w:t>Transfer of net realized gain on cash flow hedges derivatives to profit or loss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(30,550)</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(28,048)</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(56,422)</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060" w:type="dxa"/>
            <w:vAlign w:val="bottom"/>
          </w:tcPr>
          <w:p>
            <w:pPr>
              <w:ind w:left="1060"/>
              <w:spacing w:after="0" w:line="159" w:lineRule="exact"/>
              <w:rPr>
                <w:sz w:val="20"/>
                <w:szCs w:val="20"/>
                <w:color w:val="auto"/>
              </w:rPr>
            </w:pPr>
            <w:r>
              <w:rPr>
                <w:rFonts w:ascii="Arial" w:cs="Arial" w:eastAsia="Arial" w:hAnsi="Arial"/>
                <w:sz w:val="16"/>
                <w:szCs w:val="16"/>
                <w:b w:val="1"/>
                <w:bCs w:val="1"/>
                <w:color w:val="auto"/>
              </w:rPr>
              <w:t>Sub total</w:t>
            </w:r>
          </w:p>
        </w:tc>
        <w:tc>
          <w:tcPr>
            <w:tcW w:w="1120" w:type="dxa"/>
            <w:vAlign w:val="bottom"/>
          </w:tcPr>
          <w:p>
            <w:pPr>
              <w:jc w:val="right"/>
              <w:spacing w:after="0" w:line="159" w:lineRule="exact"/>
              <w:rPr>
                <w:sz w:val="20"/>
                <w:szCs w:val="20"/>
                <w:color w:val="auto"/>
              </w:rPr>
            </w:pPr>
            <w:r>
              <w:rPr>
                <w:rFonts w:ascii="Arial" w:cs="Arial" w:eastAsia="Arial" w:hAnsi="Arial"/>
                <w:sz w:val="16"/>
                <w:szCs w:val="16"/>
                <w:color w:val="auto"/>
              </w:rPr>
              <w:t>(12,191)</w:t>
            </w:r>
          </w:p>
        </w:tc>
        <w:tc>
          <w:tcPr>
            <w:tcW w:w="120" w:type="dxa"/>
            <w:vAlign w:val="bottom"/>
          </w:tcPr>
          <w:p>
            <w:pPr>
              <w:spacing w:after="0"/>
              <w:rPr>
                <w:sz w:val="13"/>
                <w:szCs w:val="13"/>
                <w:color w:val="auto"/>
              </w:rPr>
            </w:pPr>
          </w:p>
        </w:tc>
        <w:tc>
          <w:tcPr>
            <w:tcW w:w="1120" w:type="dxa"/>
            <w:vAlign w:val="bottom"/>
          </w:tcPr>
          <w:p>
            <w:pPr>
              <w:jc w:val="right"/>
              <w:spacing w:after="0" w:line="159" w:lineRule="exact"/>
              <w:rPr>
                <w:sz w:val="20"/>
                <w:szCs w:val="20"/>
                <w:color w:val="auto"/>
              </w:rPr>
            </w:pPr>
            <w:r>
              <w:rPr>
                <w:rFonts w:ascii="Arial" w:cs="Arial" w:eastAsia="Arial" w:hAnsi="Arial"/>
                <w:sz w:val="16"/>
                <w:szCs w:val="16"/>
                <w:color w:val="auto"/>
              </w:rPr>
              <w:t>1,061</w:t>
            </w:r>
          </w:p>
        </w:tc>
        <w:tc>
          <w:tcPr>
            <w:tcW w:w="10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6"/>
                <w:szCs w:val="16"/>
                <w:color w:val="auto"/>
              </w:rPr>
              <w:t>40,829</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060" w:type="dxa"/>
            <w:vAlign w:val="bottom"/>
          </w:tcPr>
          <w:p>
            <w:pPr>
              <w:ind w:left="1040"/>
              <w:spacing w:after="0"/>
              <w:rPr>
                <w:sz w:val="20"/>
                <w:szCs w:val="20"/>
                <w:color w:val="auto"/>
              </w:rPr>
            </w:pPr>
            <w:r>
              <w:rPr>
                <w:rFonts w:ascii="Arial" w:cs="Arial" w:eastAsia="Arial" w:hAnsi="Arial"/>
                <w:sz w:val="16"/>
                <w:szCs w:val="16"/>
                <w:color w:val="auto"/>
              </w:rPr>
              <w:t>Non-controlling interest</w:t>
            </w:r>
          </w:p>
        </w:tc>
        <w:tc>
          <w:tcPr>
            <w:tcW w:w="112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27</w:t>
            </w:r>
          </w:p>
        </w:tc>
        <w:tc>
          <w:tcPr>
            <w:tcW w:w="1140" w:type="dxa"/>
            <w:vAlign w:val="bottom"/>
          </w:tcPr>
          <w:p>
            <w:pPr>
              <w:jc w:val="right"/>
              <w:spacing w:after="0"/>
              <w:rPr>
                <w:sz w:val="20"/>
                <w:szCs w:val="20"/>
                <w:color w:val="auto"/>
              </w:rPr>
            </w:pPr>
            <w:r>
              <w:rPr>
                <w:rFonts w:ascii="Arial" w:cs="Arial" w:eastAsia="Arial" w:hAnsi="Arial"/>
                <w:sz w:val="16"/>
                <w:szCs w:val="16"/>
                <w:color w:val="auto"/>
              </w:rPr>
              <w:t>923</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060" w:type="dxa"/>
            <w:vAlign w:val="bottom"/>
          </w:tcPr>
          <w:p>
            <w:pPr>
              <w:ind w:left="1040"/>
              <w:spacing w:after="0"/>
              <w:rPr>
                <w:sz w:val="20"/>
                <w:szCs w:val="20"/>
                <w:color w:val="auto"/>
              </w:rPr>
            </w:pPr>
            <w:r>
              <w:rPr>
                <w:rFonts w:ascii="Arial" w:cs="Arial" w:eastAsia="Arial" w:hAnsi="Arial"/>
                <w:sz w:val="16"/>
                <w:szCs w:val="16"/>
                <w:color w:val="auto"/>
              </w:rPr>
              <w:t>Income tax</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(5,104)</w:t>
            </w:r>
          </w:p>
        </w:tc>
        <w:tc>
          <w:tcPr>
            <w:tcW w:w="112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16,834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060" w:type="dxa"/>
            <w:vAlign w:val="bottom"/>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(17,443)</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1,246</w:t>
            </w:r>
          </w:p>
        </w:tc>
        <w:tc>
          <w:tcPr>
            <w:tcW w:w="100" w:type="dxa"/>
            <w:vAlign w:val="bottom"/>
          </w:tcPr>
          <w:p>
            <w:pPr>
              <w:spacing w:after="0"/>
              <w:rPr>
                <w:sz w:val="15"/>
                <w:szCs w:val="15"/>
                <w:color w:val="auto"/>
              </w:rPr>
            </w:pPr>
          </w:p>
        </w:tc>
        <w:tc>
          <w:tcPr>
            <w:tcW w:w="1160" w:type="dxa"/>
            <w:vAlign w:val="bottom"/>
            <w:tcBorders>
              <w:top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58,586</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060" w:type="dxa"/>
            <w:vAlign w:val="bottom"/>
          </w:tcPr>
          <w:p>
            <w:pPr>
              <w:ind w:left="880"/>
              <w:spacing w:after="0"/>
              <w:rPr>
                <w:sz w:val="20"/>
                <w:szCs w:val="20"/>
                <w:color w:val="auto"/>
              </w:rPr>
            </w:pPr>
            <w:r>
              <w:rPr>
                <w:rFonts w:ascii="Arial" w:cs="Arial" w:eastAsia="Arial" w:hAnsi="Arial"/>
                <w:sz w:val="16"/>
                <w:szCs w:val="16"/>
                <w:b w:val="1"/>
                <w:bCs w:val="1"/>
                <w:color w:val="auto"/>
              </w:rPr>
              <w:t>Other reserves -</w:t>
            </w: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60" w:type="dxa"/>
            <w:vAlign w:val="bottom"/>
          </w:tcPr>
          <w:p>
            <w:pPr>
              <w:ind w:left="1040"/>
              <w:spacing w:after="0"/>
              <w:rPr>
                <w:sz w:val="20"/>
                <w:szCs w:val="20"/>
                <w:color w:val="auto"/>
              </w:rPr>
            </w:pPr>
            <w:r>
              <w:rPr>
                <w:rFonts w:ascii="Arial" w:cs="Arial" w:eastAsia="Arial" w:hAnsi="Arial"/>
                <w:sz w:val="16"/>
                <w:szCs w:val="16"/>
                <w:color w:val="auto"/>
              </w:rPr>
              <w:t>Insurances reserves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(754,192)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1,133,536</w:t>
            </w:r>
          </w:p>
        </w:tc>
        <w:tc>
          <w:tcPr>
            <w:tcW w:w="1140" w:type="dxa"/>
            <w:vAlign w:val="bottom"/>
          </w:tcPr>
          <w:p>
            <w:pPr>
              <w:jc w:val="right"/>
              <w:spacing w:after="0"/>
              <w:rPr>
                <w:sz w:val="20"/>
                <w:szCs w:val="20"/>
                <w:color w:val="auto"/>
              </w:rPr>
            </w:pPr>
            <w:r>
              <w:rPr>
                <w:rFonts w:ascii="Arial" w:cs="Arial" w:eastAsia="Arial" w:hAnsi="Arial"/>
                <w:sz w:val="16"/>
                <w:szCs w:val="16"/>
                <w:color w:val="auto"/>
              </w:rPr>
              <w:t>733,932</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60" w:type="dxa"/>
            <w:vAlign w:val="bottom"/>
          </w:tcPr>
          <w:p>
            <w:pPr>
              <w:ind w:left="1040"/>
              <w:spacing w:after="0"/>
              <w:rPr>
                <w:sz w:val="20"/>
                <w:szCs w:val="20"/>
                <w:color w:val="auto"/>
              </w:rPr>
            </w:pPr>
            <w:r>
              <w:rPr>
                <w:rFonts w:ascii="Arial" w:cs="Arial" w:eastAsia="Arial" w:hAnsi="Arial"/>
                <w:sz w:val="16"/>
                <w:szCs w:val="16"/>
                <w:color w:val="auto"/>
              </w:rPr>
              <w:t>Non-controlling interest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(8,619)</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10,604</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8,513</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060" w:type="dxa"/>
            <w:vAlign w:val="bottom"/>
          </w:tcPr>
          <w:p>
            <w:pPr>
              <w:ind w:left="1040"/>
              <w:spacing w:after="0"/>
              <w:rPr>
                <w:sz w:val="20"/>
                <w:szCs w:val="20"/>
                <w:color w:val="auto"/>
              </w:rPr>
            </w:pPr>
            <w:r>
              <w:rPr>
                <w:rFonts w:ascii="Arial" w:cs="Arial" w:eastAsia="Arial" w:hAnsi="Arial"/>
                <w:sz w:val="16"/>
                <w:szCs w:val="16"/>
                <w:color w:val="auto"/>
              </w:rPr>
              <w:t>Income tax</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26,846</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0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(762,811)</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1,144,140</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769,291</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060" w:type="dxa"/>
            <w:vAlign w:val="bottom"/>
          </w:tcPr>
          <w:p>
            <w:pPr>
              <w:ind w:left="880"/>
              <w:spacing w:after="0"/>
              <w:rPr>
                <w:sz w:val="20"/>
                <w:szCs w:val="20"/>
                <w:color w:val="auto"/>
              </w:rPr>
            </w:pPr>
            <w:r>
              <w:rPr>
                <w:rFonts w:ascii="Arial" w:cs="Arial" w:eastAsia="Arial" w:hAnsi="Arial"/>
                <w:sz w:val="16"/>
                <w:szCs w:val="16"/>
                <w:b w:val="1"/>
                <w:bCs w:val="1"/>
                <w:color w:val="auto"/>
              </w:rPr>
              <w:t>Foreign exchange traslation -</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60" w:type="dxa"/>
            <w:vAlign w:val="bottom"/>
          </w:tcPr>
          <w:p>
            <w:pPr>
              <w:ind w:left="1040"/>
              <w:spacing w:after="0"/>
              <w:rPr>
                <w:sz w:val="20"/>
                <w:szCs w:val="20"/>
                <w:color w:val="auto"/>
              </w:rPr>
            </w:pPr>
            <w:r>
              <w:rPr>
                <w:rFonts w:ascii="Arial" w:cs="Arial" w:eastAsia="Arial" w:hAnsi="Arial"/>
                <w:sz w:val="16"/>
                <w:szCs w:val="16"/>
                <w:color w:val="auto"/>
              </w:rPr>
              <w:t>Exchange gains or losses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73,498</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(301,969)</w:t>
            </w:r>
          </w:p>
        </w:tc>
        <w:tc>
          <w:tcPr>
            <w:tcW w:w="1140" w:type="dxa"/>
            <w:vAlign w:val="bottom"/>
          </w:tcPr>
          <w:p>
            <w:pPr>
              <w:jc w:val="right"/>
              <w:spacing w:after="0"/>
              <w:rPr>
                <w:sz w:val="20"/>
                <w:szCs w:val="20"/>
                <w:color w:val="auto"/>
              </w:rPr>
            </w:pPr>
            <w:r>
              <w:rPr>
                <w:rFonts w:ascii="Arial" w:cs="Arial" w:eastAsia="Arial" w:hAnsi="Arial"/>
                <w:sz w:val="16"/>
                <w:szCs w:val="16"/>
                <w:color w:val="auto"/>
              </w:rPr>
              <w:t>160,810</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060" w:type="dxa"/>
            <w:vAlign w:val="bottom"/>
          </w:tcPr>
          <w:p>
            <w:pPr>
              <w:ind w:left="1040"/>
              <w:spacing w:after="0"/>
              <w:rPr>
                <w:sz w:val="20"/>
                <w:szCs w:val="20"/>
                <w:color w:val="auto"/>
              </w:rPr>
            </w:pPr>
            <w:r>
              <w:rPr>
                <w:rFonts w:ascii="Arial" w:cs="Arial" w:eastAsia="Arial" w:hAnsi="Arial"/>
                <w:sz w:val="16"/>
                <w:szCs w:val="16"/>
                <w:color w:val="auto"/>
              </w:rPr>
              <w:t>Net movement in hedges of net investments in foreign businesses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18,950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39,587</w:t>
            </w:r>
          </w:p>
        </w:tc>
        <w:tc>
          <w:tcPr>
            <w:tcW w:w="1140" w:type="dxa"/>
            <w:vAlign w:val="bottom"/>
          </w:tcPr>
          <w:p>
            <w:pPr>
              <w:jc w:val="right"/>
              <w:spacing w:after="0"/>
              <w:rPr>
                <w:sz w:val="20"/>
                <w:szCs w:val="20"/>
                <w:color w:val="auto"/>
              </w:rPr>
            </w:pPr>
            <w:r>
              <w:rPr>
                <w:rFonts w:ascii="Arial" w:cs="Arial" w:eastAsia="Arial" w:hAnsi="Arial"/>
                <w:sz w:val="16"/>
                <w:szCs w:val="16"/>
                <w:color w:val="auto"/>
              </w:rPr>
              <w:t>(57,319)</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060" w:type="dxa"/>
            <w:vAlign w:val="bottom"/>
          </w:tcPr>
          <w:p>
            <w:pPr>
              <w:ind w:left="1060"/>
              <w:spacing w:after="0" w:line="159" w:lineRule="exact"/>
              <w:rPr>
                <w:sz w:val="20"/>
                <w:szCs w:val="20"/>
                <w:color w:val="auto"/>
              </w:rPr>
            </w:pPr>
            <w:r>
              <w:rPr>
                <w:rFonts w:ascii="Arial" w:cs="Arial" w:eastAsia="Arial" w:hAnsi="Arial"/>
                <w:sz w:val="16"/>
                <w:szCs w:val="16"/>
                <w:b w:val="1"/>
                <w:bCs w:val="1"/>
                <w:color w:val="auto"/>
              </w:rPr>
              <w:t>Sub total</w:t>
            </w:r>
          </w:p>
        </w:tc>
        <w:tc>
          <w:tcPr>
            <w:tcW w:w="1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92,448</w:t>
            </w:r>
          </w:p>
        </w:tc>
        <w:tc>
          <w:tcPr>
            <w:tcW w:w="120" w:type="dxa"/>
            <w:vAlign w:val="bottom"/>
          </w:tcPr>
          <w:p>
            <w:pPr>
              <w:spacing w:after="0"/>
              <w:rPr>
                <w:sz w:val="13"/>
                <w:szCs w:val="13"/>
                <w:color w:val="auto"/>
              </w:rPr>
            </w:pPr>
          </w:p>
        </w:tc>
        <w:tc>
          <w:tcPr>
            <w:tcW w:w="1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(262,382)</w:t>
            </w:r>
          </w:p>
        </w:tc>
        <w:tc>
          <w:tcPr>
            <w:tcW w:w="100" w:type="dxa"/>
            <w:vAlign w:val="bottom"/>
          </w:tcPr>
          <w:p>
            <w:pPr>
              <w:spacing w:after="0"/>
              <w:rPr>
                <w:sz w:val="13"/>
                <w:szCs w:val="13"/>
                <w:color w:val="auto"/>
              </w:rPr>
            </w:pPr>
          </w:p>
        </w:tc>
        <w:tc>
          <w:tcPr>
            <w:tcW w:w="11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103,491</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7060" w:type="dxa"/>
            <w:vAlign w:val="bottom"/>
          </w:tcPr>
          <w:p>
            <w:pPr>
              <w:ind w:left="1040"/>
              <w:spacing w:after="0"/>
              <w:rPr>
                <w:sz w:val="20"/>
                <w:szCs w:val="20"/>
                <w:color w:val="auto"/>
              </w:rPr>
            </w:pPr>
            <w:r>
              <w:rPr>
                <w:rFonts w:ascii="Arial" w:cs="Arial" w:eastAsia="Arial" w:hAnsi="Arial"/>
                <w:sz w:val="16"/>
                <w:szCs w:val="16"/>
                <w:color w:val="auto"/>
              </w:rPr>
              <w:t>Non-controlling interest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(114)</w:t>
            </w:r>
          </w:p>
        </w:tc>
        <w:tc>
          <w:tcPr>
            <w:tcW w:w="1140" w:type="dxa"/>
            <w:vAlign w:val="bottom"/>
          </w:tcPr>
          <w:p>
            <w:pPr>
              <w:jc w:val="right"/>
              <w:spacing w:after="0"/>
              <w:rPr>
                <w:sz w:val="20"/>
                <w:szCs w:val="20"/>
                <w:color w:val="auto"/>
              </w:rPr>
            </w:pPr>
            <w:r>
              <w:rPr>
                <w:rFonts w:ascii="Arial" w:cs="Arial" w:eastAsia="Arial" w:hAnsi="Arial"/>
                <w:sz w:val="16"/>
                <w:szCs w:val="16"/>
                <w:color w:val="auto"/>
              </w:rPr>
              <w:t>358</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0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92,414</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(262,496)</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103,849</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1"/>
        </w:trPr>
        <w:tc>
          <w:tcPr>
            <w:tcW w:w="7060" w:type="dxa"/>
            <w:vAlign w:val="bottom"/>
          </w:tcPr>
          <w:p>
            <w:pPr>
              <w:ind w:left="5480"/>
              <w:spacing w:after="0"/>
              <w:rPr>
                <w:sz w:val="20"/>
                <w:szCs w:val="20"/>
                <w:color w:val="auto"/>
              </w:rPr>
            </w:pPr>
            <w:r>
              <w:rPr>
                <w:rFonts w:ascii="Arial" w:cs="Arial" w:eastAsia="Arial" w:hAnsi="Arial"/>
                <w:sz w:val="16"/>
                <w:szCs w:val="16"/>
                <w:color w:val="auto"/>
              </w:rPr>
              <w:t>112</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70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6" w:right="319" w:bottom="1440" w:gutter="0" w:footer="0" w:header="0"/>
        </w:sectPr>
      </w:pPr>
    </w:p>
    <w:bookmarkStart w:id="115" w:name="page116"/>
    <w:bookmarkEnd w:id="115"/>
    <w:p>
      <w:pPr>
        <w:spacing w:after="0" w:line="1" w:lineRule="exact"/>
        <w:rPr>
          <w:sz w:val="20"/>
          <w:szCs w:val="20"/>
          <w:color w:val="auto"/>
        </w:rPr>
      </w:pPr>
    </w:p>
    <w:tbl>
      <w:tblPr>
        <w:tblLayout w:type="fixed"/>
        <w:tblInd w:w="296"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(Restated)</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vMerge w:val="restart"/>
          </w:tcPr>
          <w:p>
            <w:pPr>
              <w:spacing w:after="0"/>
              <w:rPr>
                <w:sz w:val="20"/>
                <w:szCs w:val="20"/>
                <w:color w:val="auto"/>
              </w:rPr>
            </w:pPr>
            <w:r>
              <w:rPr>
                <w:rFonts w:ascii="Arial" w:cs="Arial" w:eastAsia="Arial" w:hAnsi="Arial"/>
                <w:sz w:val="16"/>
                <w:szCs w:val="16"/>
                <w:b w:val="1"/>
                <w:bCs w:val="1"/>
                <w:color w:val="auto"/>
              </w:rPr>
              <w:t>Not to be reclassified to the consolidated statement of income in later</w:t>
            </w: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1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140"/>
              <w:spacing w:after="0"/>
              <w:rPr>
                <w:sz w:val="20"/>
                <w:szCs w:val="20"/>
                <w:color w:val="auto"/>
              </w:rPr>
            </w:pPr>
            <w:r>
              <w:rPr>
                <w:rFonts w:ascii="Arial" w:cs="Arial" w:eastAsia="Arial" w:hAnsi="Arial"/>
                <w:sz w:val="16"/>
                <w:szCs w:val="16"/>
                <w:b w:val="1"/>
                <w:bCs w:val="1"/>
                <w:color w:val="auto"/>
              </w:rPr>
              <w:t>periods: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6180" w:type="dxa"/>
            <w:vAlign w:val="bottom"/>
          </w:tcPr>
          <w:p>
            <w:pPr>
              <w:spacing w:after="0"/>
              <w:rPr>
                <w:sz w:val="20"/>
                <w:szCs w:val="20"/>
                <w:color w:val="auto"/>
              </w:rPr>
            </w:pPr>
            <w:r>
              <w:rPr>
                <w:rFonts w:ascii="Arial" w:cs="Arial" w:eastAsia="Arial" w:hAnsi="Arial"/>
                <w:sz w:val="16"/>
                <w:szCs w:val="16"/>
                <w:b w:val="1"/>
                <w:bCs w:val="1"/>
                <w:color w:val="auto"/>
              </w:rPr>
              <w:t>Equity instruments at fair value through other comprehensive income -</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180" w:type="dxa"/>
            <w:vAlign w:val="bottom"/>
          </w:tcPr>
          <w:p>
            <w:pPr>
              <w:ind w:left="160"/>
              <w:spacing w:after="0"/>
              <w:rPr>
                <w:sz w:val="20"/>
                <w:szCs w:val="20"/>
                <w:color w:val="auto"/>
              </w:rPr>
            </w:pPr>
            <w:r>
              <w:rPr>
                <w:rFonts w:ascii="Arial" w:cs="Arial" w:eastAsia="Arial" w:hAnsi="Arial"/>
                <w:sz w:val="16"/>
                <w:szCs w:val="16"/>
                <w:color w:val="auto"/>
              </w:rPr>
              <w:t>Net unrealized loss</w:t>
            </w:r>
          </w:p>
        </w:tc>
        <w:tc>
          <w:tcPr>
            <w:tcW w:w="1120" w:type="dxa"/>
            <w:vAlign w:val="bottom"/>
          </w:tcPr>
          <w:p>
            <w:pPr>
              <w:jc w:val="right"/>
              <w:spacing w:after="0"/>
              <w:rPr>
                <w:sz w:val="20"/>
                <w:szCs w:val="20"/>
                <w:color w:val="auto"/>
              </w:rPr>
            </w:pPr>
            <w:r>
              <w:rPr>
                <w:rFonts w:ascii="Arial" w:cs="Arial" w:eastAsia="Arial" w:hAnsi="Arial"/>
                <w:sz w:val="16"/>
                <w:szCs w:val="16"/>
                <w:color w:val="auto"/>
              </w:rPr>
              <w:t>(12,247)</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(36,477)</w:t>
            </w: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(108,317)</w:t>
            </w:r>
          </w:p>
        </w:tc>
        <w:tc>
          <w:tcPr>
            <w:tcW w:w="0" w:type="dxa"/>
            <w:vAlign w:val="bottom"/>
          </w:tcPr>
          <w:p>
            <w:pPr>
              <w:spacing w:after="0"/>
              <w:rPr>
                <w:sz w:val="1"/>
                <w:szCs w:val="1"/>
                <w:color w:val="auto"/>
              </w:rPr>
            </w:pPr>
          </w:p>
        </w:tc>
      </w:tr>
      <w:tr>
        <w:trPr>
          <w:trHeight w:val="183"/>
        </w:trPr>
        <w:tc>
          <w:tcPr>
            <w:tcW w:w="6180" w:type="dxa"/>
            <w:vAlign w:val="bottom"/>
          </w:tcPr>
          <w:p>
            <w:pPr>
              <w:ind w:left="160"/>
              <w:spacing w:after="0"/>
              <w:rPr>
                <w:sz w:val="20"/>
                <w:szCs w:val="20"/>
                <w:color w:val="auto"/>
              </w:rPr>
            </w:pPr>
            <w:r>
              <w:rPr>
                <w:rFonts w:ascii="Arial" w:cs="Arial" w:eastAsia="Arial" w:hAnsi="Arial"/>
                <w:sz w:val="16"/>
                <w:szCs w:val="16"/>
                <w:color w:val="auto"/>
              </w:rPr>
              <w:t>Non-controlling interest</w:t>
            </w:r>
          </w:p>
        </w:tc>
        <w:tc>
          <w:tcPr>
            <w:tcW w:w="112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0"/>
        </w:trPr>
        <w:tc>
          <w:tcPr>
            <w:tcW w:w="6180" w:type="dxa"/>
            <w:vAlign w:val="bottom"/>
          </w:tcPr>
          <w:p>
            <w:pPr>
              <w:ind w:left="160"/>
              <w:spacing w:after="0"/>
              <w:rPr>
                <w:sz w:val="20"/>
                <w:szCs w:val="20"/>
                <w:color w:val="auto"/>
              </w:rPr>
            </w:pPr>
            <w:r>
              <w:rPr>
                <w:rFonts w:ascii="Arial" w:cs="Arial" w:eastAsia="Arial" w:hAnsi="Arial"/>
                <w:sz w:val="16"/>
                <w:szCs w:val="16"/>
                <w:color w:val="auto"/>
              </w:rPr>
              <w:t>Income tax</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3,791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(2,109)</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(5,402)</w:t>
            </w:r>
          </w:p>
        </w:tc>
        <w:tc>
          <w:tcPr>
            <w:tcW w:w="0" w:type="dxa"/>
            <w:vAlign w:val="bottom"/>
          </w:tcPr>
          <w:p>
            <w:pPr>
              <w:spacing w:after="0"/>
              <w:rPr>
                <w:sz w:val="1"/>
                <w:szCs w:val="1"/>
                <w:color w:val="auto"/>
              </w:rPr>
            </w:pPr>
          </w:p>
        </w:tc>
      </w:tr>
      <w:tr>
        <w:trPr>
          <w:trHeight w:val="180"/>
        </w:trPr>
        <w:tc>
          <w:tcPr>
            <w:tcW w:w="618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(8,329)</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(38,563)</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(113,686)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6180" w:type="dxa"/>
            <w:vAlign w:val="bottom"/>
          </w:tcPr>
          <w:p>
            <w:pPr>
              <w:spacing w:after="0"/>
              <w:rPr>
                <w:sz w:val="20"/>
                <w:szCs w:val="20"/>
                <w:color w:val="auto"/>
              </w:rPr>
            </w:pPr>
            <w:r>
              <w:rPr>
                <w:rFonts w:ascii="Arial" w:cs="Arial" w:eastAsia="Arial" w:hAnsi="Arial"/>
                <w:sz w:val="16"/>
                <w:szCs w:val="16"/>
                <w:b w:val="1"/>
                <w:bCs w:val="1"/>
                <w:color w:val="auto"/>
              </w:rPr>
              <w:t>Attributable to:</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180" w:type="dxa"/>
            <w:vAlign w:val="bottom"/>
          </w:tcPr>
          <w:p>
            <w:pPr>
              <w:ind w:left="160"/>
              <w:spacing w:after="0"/>
              <w:rPr>
                <w:sz w:val="20"/>
                <w:szCs w:val="20"/>
                <w:color w:val="auto"/>
              </w:rPr>
            </w:pPr>
            <w:r>
              <w:rPr>
                <w:rFonts w:ascii="Arial" w:cs="Arial" w:eastAsia="Arial" w:hAnsi="Arial"/>
                <w:sz w:val="16"/>
                <w:szCs w:val="16"/>
                <w:color w:val="auto"/>
              </w:rPr>
              <w:t>Credicorp’s equity holders</w:t>
            </w:r>
          </w:p>
        </w:tc>
        <w:tc>
          <w:tcPr>
            <w:tcW w:w="1120" w:type="dxa"/>
            <w:vAlign w:val="bottom"/>
          </w:tcPr>
          <w:p>
            <w:pPr>
              <w:jc w:val="right"/>
              <w:spacing w:after="0"/>
              <w:rPr>
                <w:sz w:val="20"/>
                <w:szCs w:val="20"/>
                <w:color w:val="auto"/>
              </w:rPr>
            </w:pPr>
            <w:r>
              <w:rPr>
                <w:rFonts w:ascii="Arial" w:cs="Arial" w:eastAsia="Arial" w:hAnsi="Arial"/>
                <w:sz w:val="16"/>
                <w:szCs w:val="16"/>
                <w:color w:val="auto"/>
              </w:rPr>
              <w:t>571,955</w:t>
            </w: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(680,321)</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(1,629,996)</w:t>
            </w:r>
          </w:p>
        </w:tc>
        <w:tc>
          <w:tcPr>
            <w:tcW w:w="0" w:type="dxa"/>
            <w:vAlign w:val="bottom"/>
          </w:tcPr>
          <w:p>
            <w:pPr>
              <w:spacing w:after="0"/>
              <w:rPr>
                <w:sz w:val="1"/>
                <w:szCs w:val="1"/>
                <w:color w:val="auto"/>
              </w:rPr>
            </w:pPr>
          </w:p>
        </w:tc>
      </w:tr>
      <w:tr>
        <w:trPr>
          <w:trHeight w:val="200"/>
        </w:trPr>
        <w:tc>
          <w:tcPr>
            <w:tcW w:w="6180" w:type="dxa"/>
            <w:vAlign w:val="bottom"/>
          </w:tcPr>
          <w:p>
            <w:pPr>
              <w:ind w:left="160"/>
              <w:spacing w:after="0"/>
              <w:rPr>
                <w:sz w:val="20"/>
                <w:szCs w:val="20"/>
                <w:color w:val="auto"/>
              </w:rPr>
            </w:pPr>
            <w:r>
              <w:rPr>
                <w:rFonts w:ascii="Arial" w:cs="Arial" w:eastAsia="Arial" w:hAnsi="Arial"/>
                <w:sz w:val="16"/>
                <w:szCs w:val="16"/>
                <w:color w:val="auto"/>
              </w:rPr>
              <w:t>Non-controlling interest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9,643</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(4,995)</w:t>
            </w:r>
          </w:p>
        </w:tc>
        <w:tc>
          <w:tcPr>
            <w:tcW w:w="1140" w:type="dxa"/>
            <w:vAlign w:val="bottom"/>
          </w:tcPr>
          <w:p>
            <w:pPr>
              <w:jc w:val="right"/>
              <w:spacing w:after="0"/>
              <w:rPr>
                <w:sz w:val="20"/>
                <w:szCs w:val="20"/>
                <w:color w:val="auto"/>
              </w:rPr>
            </w:pPr>
            <w:r>
              <w:rPr>
                <w:rFonts w:ascii="Arial" w:cs="Arial" w:eastAsia="Arial" w:hAnsi="Arial"/>
                <w:sz w:val="16"/>
                <w:szCs w:val="16"/>
                <w:color w:val="auto"/>
              </w:rPr>
              <w:t>(30,063)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18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581,598</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(685,316)</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(1,660,059)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96" w:hanging="296"/>
        <w:spacing w:after="0"/>
        <w:tabs>
          <w:tab w:leader="none" w:pos="29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Dividend distribution –</w:t>
      </w:r>
    </w:p>
    <w:p>
      <w:pPr>
        <w:spacing w:after="0" w:line="182" w:lineRule="exact"/>
        <w:rPr>
          <w:rFonts w:ascii="Arial" w:cs="Arial" w:eastAsia="Arial" w:hAnsi="Arial"/>
          <w:sz w:val="16"/>
          <w:szCs w:val="16"/>
          <w:color w:val="auto"/>
        </w:rPr>
      </w:pPr>
    </w:p>
    <w:p>
      <w:pPr>
        <w:ind w:left="296"/>
        <w:spacing w:after="0"/>
        <w:rPr>
          <w:rFonts w:ascii="Arial" w:cs="Arial" w:eastAsia="Arial" w:hAnsi="Arial"/>
          <w:sz w:val="16"/>
          <w:szCs w:val="16"/>
          <w:color w:val="auto"/>
        </w:rPr>
      </w:pPr>
      <w:r>
        <w:rPr>
          <w:rFonts w:ascii="Arial" w:cs="Arial" w:eastAsia="Arial" w:hAnsi="Arial"/>
          <w:sz w:val="16"/>
          <w:szCs w:val="16"/>
          <w:color w:val="auto"/>
        </w:rPr>
        <w:t>The chart below shows the distribution of dividends agreed by the Board of Directors:</w:t>
      </w:r>
    </w:p>
    <w:p>
      <w:pPr>
        <w:spacing w:after="0" w:line="183" w:lineRule="exact"/>
        <w:rPr>
          <w:sz w:val="20"/>
          <w:szCs w:val="20"/>
          <w:color w:val="auto"/>
        </w:rPr>
      </w:pPr>
    </w:p>
    <w:tbl>
      <w:tblPr>
        <w:tblLayout w:type="fixed"/>
        <w:tblInd w:w="296" w:type="dxa"/>
        <w:tblCellMar>
          <w:top w:w="0" w:type="dxa"/>
          <w:left w:w="0" w:type="dxa"/>
          <w:bottom w:w="0" w:type="dxa"/>
          <w:right w:w="0" w:type="dxa"/>
        </w:tblCellMar>
      </w:tblPr>
      <w:tr>
        <w:trPr>
          <w:trHeight w:val="200"/>
        </w:trPr>
        <w:tc>
          <w:tcPr>
            <w:tcW w:w="6180" w:type="dxa"/>
            <w:vAlign w:val="bottom"/>
          </w:tcPr>
          <w:p>
            <w:pPr>
              <w:spacing w:after="0"/>
              <w:rPr>
                <w:sz w:val="17"/>
                <w:szCs w:val="17"/>
                <w:color w:val="auto"/>
              </w:rPr>
            </w:pPr>
          </w:p>
        </w:tc>
        <w:tc>
          <w:tcPr>
            <w:tcW w:w="11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95"/>
              </w:rPr>
              <w:t>2021</w:t>
            </w:r>
          </w:p>
        </w:tc>
      </w:tr>
      <w:tr>
        <w:trPr>
          <w:trHeight w:val="342"/>
        </w:trPr>
        <w:tc>
          <w:tcPr>
            <w:tcW w:w="6180" w:type="dxa"/>
            <w:vAlign w:val="bottom"/>
          </w:tcPr>
          <w:p>
            <w:pPr>
              <w:spacing w:after="0"/>
              <w:rPr>
                <w:sz w:val="20"/>
                <w:szCs w:val="20"/>
                <w:color w:val="auto"/>
              </w:rPr>
            </w:pPr>
            <w:r>
              <w:rPr>
                <w:rFonts w:ascii="Arial" w:cs="Arial" w:eastAsia="Arial" w:hAnsi="Arial"/>
                <w:sz w:val="16"/>
                <w:szCs w:val="16"/>
                <w:color w:val="auto"/>
              </w:rPr>
              <w:t>Date of Meeting - Board of Directors</w:t>
            </w:r>
          </w:p>
        </w:tc>
        <w:tc>
          <w:tcPr>
            <w:tcW w:w="1120" w:type="dxa"/>
            <w:vAlign w:val="bottom"/>
          </w:tcPr>
          <w:p>
            <w:pPr>
              <w:jc w:val="right"/>
              <w:spacing w:after="0"/>
              <w:rPr>
                <w:sz w:val="20"/>
                <w:szCs w:val="20"/>
                <w:color w:val="auto"/>
              </w:rPr>
            </w:pPr>
            <w:r>
              <w:rPr>
                <w:rFonts w:ascii="Arial" w:cs="Arial" w:eastAsia="Arial" w:hAnsi="Arial"/>
                <w:sz w:val="16"/>
                <w:szCs w:val="16"/>
                <w:color w:val="auto"/>
              </w:rPr>
              <w:t>27.04.2023</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28.04.2022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26.08.2021</w:t>
            </w:r>
          </w:p>
        </w:tc>
      </w:tr>
      <w:tr>
        <w:trPr>
          <w:trHeight w:val="183"/>
        </w:trPr>
        <w:tc>
          <w:tcPr>
            <w:tcW w:w="6180" w:type="dxa"/>
            <w:vAlign w:val="bottom"/>
          </w:tcPr>
          <w:p>
            <w:pPr>
              <w:spacing w:after="0"/>
              <w:rPr>
                <w:sz w:val="20"/>
                <w:szCs w:val="20"/>
                <w:color w:val="auto"/>
              </w:rPr>
            </w:pPr>
            <w:r>
              <w:rPr>
                <w:rFonts w:ascii="Arial" w:cs="Arial" w:eastAsia="Arial" w:hAnsi="Arial"/>
                <w:sz w:val="16"/>
                <w:szCs w:val="16"/>
                <w:color w:val="auto"/>
              </w:rPr>
              <w:t>Dividends distribution, net of treasury shares effect (in thousands of soles)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1,994,037</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1,196,422</w:t>
            </w:r>
          </w:p>
        </w:tc>
        <w:tc>
          <w:tcPr>
            <w:tcW w:w="1140" w:type="dxa"/>
            <w:vAlign w:val="bottom"/>
          </w:tcPr>
          <w:p>
            <w:pPr>
              <w:jc w:val="right"/>
              <w:spacing w:after="0"/>
              <w:rPr>
                <w:sz w:val="20"/>
                <w:szCs w:val="20"/>
                <w:color w:val="auto"/>
              </w:rPr>
            </w:pPr>
            <w:r>
              <w:rPr>
                <w:rFonts w:ascii="Arial" w:cs="Arial" w:eastAsia="Arial" w:hAnsi="Arial"/>
                <w:sz w:val="16"/>
                <w:szCs w:val="16"/>
                <w:color w:val="auto"/>
              </w:rPr>
              <w:t>398,808</w:t>
            </w:r>
          </w:p>
        </w:tc>
      </w:tr>
      <w:tr>
        <w:trPr>
          <w:trHeight w:val="183"/>
        </w:trPr>
        <w:tc>
          <w:tcPr>
            <w:tcW w:w="6180" w:type="dxa"/>
            <w:vAlign w:val="bottom"/>
          </w:tcPr>
          <w:p>
            <w:pPr>
              <w:spacing w:after="0"/>
              <w:rPr>
                <w:sz w:val="20"/>
                <w:szCs w:val="20"/>
                <w:color w:val="auto"/>
              </w:rPr>
            </w:pPr>
            <w:r>
              <w:rPr>
                <w:rFonts w:ascii="Arial" w:cs="Arial" w:eastAsia="Arial" w:hAnsi="Arial"/>
                <w:sz w:val="16"/>
                <w:szCs w:val="16"/>
                <w:color w:val="auto"/>
              </w:rPr>
              <w:t>Payment of dividends per share (in soles)</w:t>
            </w: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83"/>
        </w:trPr>
        <w:tc>
          <w:tcPr>
            <w:tcW w:w="6180" w:type="dxa"/>
            <w:vAlign w:val="bottom"/>
          </w:tcPr>
          <w:p>
            <w:pPr>
              <w:spacing w:after="0"/>
              <w:rPr>
                <w:sz w:val="20"/>
                <w:szCs w:val="20"/>
                <w:color w:val="auto"/>
              </w:rPr>
            </w:pPr>
            <w:r>
              <w:rPr>
                <w:rFonts w:ascii="Arial" w:cs="Arial" w:eastAsia="Arial" w:hAnsi="Arial"/>
                <w:sz w:val="16"/>
                <w:szCs w:val="16"/>
                <w:color w:val="auto"/>
              </w:rPr>
              <w:t>Date of dividends payout</w:t>
            </w:r>
          </w:p>
        </w:tc>
        <w:tc>
          <w:tcPr>
            <w:tcW w:w="1120" w:type="dxa"/>
            <w:vAlign w:val="bottom"/>
          </w:tcPr>
          <w:p>
            <w:pPr>
              <w:jc w:val="right"/>
              <w:spacing w:after="0"/>
              <w:rPr>
                <w:sz w:val="20"/>
                <w:szCs w:val="20"/>
                <w:color w:val="auto"/>
              </w:rPr>
            </w:pPr>
            <w:r>
              <w:rPr>
                <w:rFonts w:ascii="Arial" w:cs="Arial" w:eastAsia="Arial" w:hAnsi="Arial"/>
                <w:sz w:val="16"/>
                <w:szCs w:val="16"/>
                <w:color w:val="auto"/>
              </w:rPr>
              <w:t>09.06.2023</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10.06.2022</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07.10.2021</w:t>
            </w:r>
          </w:p>
        </w:tc>
      </w:tr>
      <w:tr>
        <w:trPr>
          <w:trHeight w:val="183"/>
        </w:trPr>
        <w:tc>
          <w:tcPr>
            <w:tcW w:w="6180" w:type="dxa"/>
            <w:vAlign w:val="bottom"/>
          </w:tcPr>
          <w:p>
            <w:pPr>
              <w:spacing w:after="0"/>
              <w:rPr>
                <w:sz w:val="20"/>
                <w:szCs w:val="20"/>
                <w:color w:val="auto"/>
              </w:rPr>
            </w:pPr>
            <w:r>
              <w:rPr>
                <w:rFonts w:ascii="Arial" w:cs="Arial" w:eastAsia="Arial" w:hAnsi="Arial"/>
                <w:sz w:val="16"/>
                <w:szCs w:val="16"/>
                <w:color w:val="auto"/>
              </w:rPr>
              <w:t>Exchange rate published by the SBS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3.6901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3.7560</w:t>
            </w:r>
          </w:p>
        </w:tc>
        <w:tc>
          <w:tcPr>
            <w:tcW w:w="1140" w:type="dxa"/>
            <w:vAlign w:val="bottom"/>
          </w:tcPr>
          <w:p>
            <w:pPr>
              <w:jc w:val="right"/>
              <w:spacing w:after="0"/>
              <w:rPr>
                <w:sz w:val="20"/>
                <w:szCs w:val="20"/>
                <w:color w:val="auto"/>
              </w:rPr>
            </w:pPr>
            <w:r>
              <w:rPr>
                <w:rFonts w:ascii="Arial" w:cs="Arial" w:eastAsia="Arial" w:hAnsi="Arial"/>
                <w:sz w:val="16"/>
                <w:szCs w:val="16"/>
                <w:color w:val="auto"/>
              </w:rPr>
              <w:t>4.1310</w:t>
            </w:r>
          </w:p>
        </w:tc>
      </w:tr>
      <w:tr>
        <w:trPr>
          <w:trHeight w:val="215"/>
        </w:trPr>
        <w:tc>
          <w:tcPr>
            <w:tcW w:w="6180" w:type="dxa"/>
            <w:vAlign w:val="bottom"/>
          </w:tcPr>
          <w:p>
            <w:pPr>
              <w:spacing w:after="0"/>
              <w:rPr>
                <w:sz w:val="20"/>
                <w:szCs w:val="20"/>
                <w:color w:val="auto"/>
              </w:rPr>
            </w:pPr>
            <w:r>
              <w:rPr>
                <w:rFonts w:ascii="Arial" w:cs="Arial" w:eastAsia="Arial" w:hAnsi="Arial"/>
                <w:sz w:val="16"/>
                <w:szCs w:val="16"/>
                <w:color w:val="auto"/>
              </w:rPr>
              <w:t>Dividends payout (equivalent in thousands of US$)</w:t>
            </w:r>
          </w:p>
        </w:tc>
        <w:tc>
          <w:tcPr>
            <w:tcW w:w="1120" w:type="dxa"/>
            <w:vAlign w:val="bottom"/>
          </w:tcPr>
          <w:p>
            <w:pPr>
              <w:jc w:val="right"/>
              <w:spacing w:after="0"/>
              <w:rPr>
                <w:sz w:val="20"/>
                <w:szCs w:val="20"/>
                <w:color w:val="auto"/>
              </w:rPr>
            </w:pPr>
            <w:r>
              <w:rPr>
                <w:rFonts w:ascii="Arial" w:cs="Arial" w:eastAsia="Arial" w:hAnsi="Arial"/>
                <w:sz w:val="16"/>
                <w:szCs w:val="16"/>
                <w:color w:val="auto"/>
              </w:rPr>
              <w:t>540,375</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318,536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96,540</w:t>
            </w:r>
          </w:p>
        </w:tc>
      </w:tr>
    </w:tbl>
    <w:p>
      <w:pPr>
        <w:spacing w:after="0" w:line="151" w:lineRule="exact"/>
        <w:rPr>
          <w:sz w:val="20"/>
          <w:szCs w:val="20"/>
          <w:color w:val="auto"/>
        </w:rPr>
      </w:pPr>
    </w:p>
    <w:p>
      <w:pPr>
        <w:ind w:left="296" w:right="340"/>
        <w:spacing w:after="0" w:line="259" w:lineRule="auto"/>
        <w:rPr>
          <w:sz w:val="20"/>
          <w:szCs w:val="20"/>
          <w:color w:val="auto"/>
        </w:rPr>
      </w:pPr>
      <w:r>
        <w:rPr>
          <w:rFonts w:ascii="Arial" w:cs="Arial" w:eastAsia="Arial" w:hAnsi="Arial"/>
          <w:sz w:val="16"/>
          <w:szCs w:val="16"/>
          <w:color w:val="auto"/>
        </w:rPr>
        <w:t>In accordance with current Peruvian legislation, there is no restriction for overseas remittance of dividends or the repatriation of foreign investment. As of December 31, 2023, 2022 and 2021 dividends paid by the Peruvian subsidiaries to Credicorp are subject to a 5.0 percent withholding tax.</w:t>
      </w:r>
    </w:p>
    <w:p>
      <w:pPr>
        <w:spacing w:after="0" w:line="137" w:lineRule="exact"/>
        <w:rPr>
          <w:sz w:val="20"/>
          <w:szCs w:val="20"/>
          <w:color w:val="auto"/>
        </w:rPr>
      </w:pPr>
    </w:p>
    <w:p>
      <w:pPr>
        <w:ind w:left="296" w:hanging="296"/>
        <w:spacing w:after="0"/>
        <w:tabs>
          <w:tab w:leader="none" w:pos="29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Regulatory capital -</w:t>
      </w:r>
    </w:p>
    <w:p>
      <w:pPr>
        <w:spacing w:after="0" w:line="182" w:lineRule="exact"/>
        <w:rPr>
          <w:rFonts w:ascii="Arial" w:cs="Arial" w:eastAsia="Arial" w:hAnsi="Arial"/>
          <w:sz w:val="16"/>
          <w:szCs w:val="16"/>
          <w:color w:val="auto"/>
        </w:rPr>
      </w:pPr>
    </w:p>
    <w:p>
      <w:pPr>
        <w:ind w:left="296"/>
        <w:spacing w:after="0" w:line="252" w:lineRule="auto"/>
        <w:rPr>
          <w:rFonts w:ascii="Arial" w:cs="Arial" w:eastAsia="Arial" w:hAnsi="Arial"/>
          <w:sz w:val="16"/>
          <w:szCs w:val="16"/>
          <w:color w:val="auto"/>
        </w:rPr>
      </w:pPr>
      <w:r>
        <w:rPr>
          <w:rFonts w:ascii="Arial" w:cs="Arial" w:eastAsia="Arial" w:hAnsi="Arial"/>
          <w:sz w:val="16"/>
          <w:szCs w:val="16"/>
          <w:color w:val="auto"/>
        </w:rPr>
        <w:t>As of December 31, 2023 and 2022, the regulatory capital requirement (“patrimonio efectivo” in Perú) applicable to Credicorp subsidiaries engaged in financial services and insurance activities in Perú, determined under the provisions of the Peruvian banking and insurance regulator, SBS, totals approximately S/33,452.6 million and S/31,754.6 million, respectively. At those dates, the Group’s regulatory requirement exceeds by approximately S/7,731.9 million and S/8,157 million, respectively, the minimum regulatory capital required by the SBS.</w:t>
      </w:r>
    </w:p>
    <w:p>
      <w:pPr>
        <w:spacing w:after="0" w:line="302" w:lineRule="exact"/>
        <w:rPr>
          <w:sz w:val="20"/>
          <w:szCs w:val="20"/>
          <w:color w:val="auto"/>
        </w:rPr>
      </w:pPr>
    </w:p>
    <w:p>
      <w:pPr>
        <w:ind w:left="4896"/>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56"/>
          </w:cols>
          <w:pgMar w:left="904" w:top="305" w:right="339" w:bottom="1440" w:gutter="0" w:footer="0" w:header="0"/>
        </w:sectPr>
      </w:pPr>
    </w:p>
    <w:bookmarkStart w:id="116" w:name="page117"/>
    <w:bookmarkEnd w:id="116"/>
    <w:p>
      <w:pPr>
        <w:ind w:left="582" w:hanging="582"/>
        <w:spacing w:after="0"/>
        <w:tabs>
          <w:tab w:leader="none" w:pos="582"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TAX SITUATION</w:t>
      </w:r>
    </w:p>
    <w:p>
      <w:pPr>
        <w:spacing w:after="0" w:line="182" w:lineRule="exact"/>
        <w:rPr>
          <w:rFonts w:ascii="Arial" w:cs="Arial" w:eastAsia="Arial" w:hAnsi="Arial"/>
          <w:sz w:val="16"/>
          <w:szCs w:val="16"/>
          <w:b w:val="1"/>
          <w:bCs w:val="1"/>
          <w:color w:val="auto"/>
        </w:rPr>
      </w:pPr>
    </w:p>
    <w:p>
      <w:pPr>
        <w:ind w:left="882" w:right="3560" w:hanging="296"/>
        <w:spacing w:after="0" w:line="478" w:lineRule="auto"/>
        <w:tabs>
          <w:tab w:leader="none" w:pos="88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Credicorp is not subject to income tax, wealth tax, capital gains tax or property tax in Bermuda. Credicorp’s Peruvian subsidiaries are subject to the Peruvian tax regime.</w:t>
      </w:r>
    </w:p>
    <w:p>
      <w:pPr>
        <w:ind w:left="882" w:right="240"/>
        <w:spacing w:after="0" w:line="280" w:lineRule="auto"/>
        <w:rPr>
          <w:rFonts w:ascii="Arial" w:cs="Arial" w:eastAsia="Arial" w:hAnsi="Arial"/>
          <w:sz w:val="16"/>
          <w:szCs w:val="16"/>
          <w:color w:val="auto"/>
        </w:rPr>
      </w:pPr>
      <w:r>
        <w:rPr>
          <w:rFonts w:ascii="Arial" w:cs="Arial" w:eastAsia="Arial" w:hAnsi="Arial"/>
          <w:sz w:val="16"/>
          <w:szCs w:val="16"/>
          <w:color w:val="auto"/>
        </w:rPr>
        <w:t>The Peruvian corporate income tax rate at December 31, 2023, 2022 and 2021 was 29.5 percent of taxable income after calculating workers’ participation, which is determined using a rate of 5.0 percent.</w:t>
      </w:r>
    </w:p>
    <w:p>
      <w:pPr>
        <w:spacing w:after="0" w:line="120" w:lineRule="exact"/>
        <w:rPr>
          <w:rFonts w:ascii="Arial" w:cs="Arial" w:eastAsia="Arial" w:hAnsi="Arial"/>
          <w:sz w:val="16"/>
          <w:szCs w:val="16"/>
          <w:color w:val="auto"/>
        </w:rPr>
      </w:pPr>
    </w:p>
    <w:p>
      <w:pPr>
        <w:ind w:left="882" w:right="140"/>
        <w:spacing w:after="0" w:line="252" w:lineRule="auto"/>
        <w:rPr>
          <w:rFonts w:ascii="Arial" w:cs="Arial" w:eastAsia="Arial" w:hAnsi="Arial"/>
          <w:sz w:val="16"/>
          <w:szCs w:val="16"/>
          <w:color w:val="auto"/>
        </w:rPr>
      </w:pPr>
      <w:r>
        <w:rPr>
          <w:rFonts w:ascii="Arial" w:cs="Arial" w:eastAsia="Arial" w:hAnsi="Arial"/>
          <w:sz w:val="16"/>
          <w:szCs w:val="16"/>
          <w:color w:val="auto"/>
        </w:rPr>
        <w:t>The corporate income tax rate in Bolivia is 25.0 percent as of December 31, 2023 and 2022. Bolivian financial entities are subject to an additional rate to the extent that the ROE exceeds 6.0 percent; in that case, they must consider an additional rate of 25.0 percent, which would bring the rate to 50.0 percent. As of 2021, the aforementioned additional rate is also applicable to brokerage firms, mutual fund management companies and insurance companies.</w:t>
      </w:r>
    </w:p>
    <w:p>
      <w:pPr>
        <w:spacing w:after="0" w:line="143" w:lineRule="exact"/>
        <w:rPr>
          <w:rFonts w:ascii="Arial" w:cs="Arial" w:eastAsia="Arial" w:hAnsi="Arial"/>
          <w:sz w:val="16"/>
          <w:szCs w:val="16"/>
          <w:color w:val="auto"/>
        </w:rPr>
      </w:pPr>
    </w:p>
    <w:p>
      <w:pPr>
        <w:ind w:left="882" w:right="120"/>
        <w:spacing w:after="0" w:line="259" w:lineRule="auto"/>
        <w:rPr>
          <w:rFonts w:ascii="Arial" w:cs="Arial" w:eastAsia="Arial" w:hAnsi="Arial"/>
          <w:sz w:val="16"/>
          <w:szCs w:val="16"/>
          <w:color w:val="auto"/>
        </w:rPr>
      </w:pPr>
      <w:r>
        <w:rPr>
          <w:rFonts w:ascii="Arial" w:cs="Arial" w:eastAsia="Arial" w:hAnsi="Arial"/>
          <w:sz w:val="16"/>
          <w:szCs w:val="16"/>
          <w:color w:val="auto"/>
        </w:rPr>
        <w:t>In the case of Chile, the tax legislation changed in 2020, establishing two new regimes currently in force: the general regime and the Pro-Pyme regime, the latter applicable to smaller companies. Credicorp Capital Holding Chile, as well as all its subsidiaries, are taxed under the general regime, whose corporate income tax rate for domiciled legal entities remains at 27.0 percent as of December 31, 2023.</w:t>
      </w:r>
    </w:p>
    <w:p>
      <w:pPr>
        <w:spacing w:after="0" w:line="137" w:lineRule="exact"/>
        <w:rPr>
          <w:rFonts w:ascii="Arial" w:cs="Arial" w:eastAsia="Arial" w:hAnsi="Arial"/>
          <w:sz w:val="16"/>
          <w:szCs w:val="16"/>
          <w:color w:val="auto"/>
        </w:rPr>
      </w:pPr>
    </w:p>
    <w:p>
      <w:pPr>
        <w:ind w:left="882" w:right="180"/>
        <w:spacing w:after="0" w:line="280" w:lineRule="auto"/>
        <w:rPr>
          <w:rFonts w:ascii="Arial" w:cs="Arial" w:eastAsia="Arial" w:hAnsi="Arial"/>
          <w:sz w:val="16"/>
          <w:szCs w:val="16"/>
          <w:color w:val="auto"/>
        </w:rPr>
      </w:pPr>
      <w:r>
        <w:rPr>
          <w:rFonts w:ascii="Arial" w:cs="Arial" w:eastAsia="Arial" w:hAnsi="Arial"/>
          <w:sz w:val="16"/>
          <w:szCs w:val="16"/>
          <w:color w:val="auto"/>
        </w:rPr>
        <w:t>Individuals or legal entities not domiciled in Chile will be subject to an additional tax at rates between 4.0 percent and 35.0 percent, depending on the nature of the income.</w:t>
      </w:r>
    </w:p>
    <w:p>
      <w:pPr>
        <w:spacing w:after="0" w:line="120" w:lineRule="exact"/>
        <w:rPr>
          <w:rFonts w:ascii="Arial" w:cs="Arial" w:eastAsia="Arial" w:hAnsi="Arial"/>
          <w:sz w:val="16"/>
          <w:szCs w:val="16"/>
          <w:color w:val="auto"/>
        </w:rPr>
      </w:pPr>
    </w:p>
    <w:p>
      <w:pPr>
        <w:ind w:left="882" w:right="280"/>
        <w:spacing w:after="0" w:line="259" w:lineRule="auto"/>
        <w:rPr>
          <w:rFonts w:ascii="Arial" w:cs="Arial" w:eastAsia="Arial" w:hAnsi="Arial"/>
          <w:sz w:val="16"/>
          <w:szCs w:val="16"/>
          <w:color w:val="auto"/>
        </w:rPr>
      </w:pPr>
      <w:r>
        <w:rPr>
          <w:rFonts w:ascii="Arial" w:cs="Arial" w:eastAsia="Arial" w:hAnsi="Arial"/>
          <w:sz w:val="16"/>
          <w:szCs w:val="16"/>
          <w:color w:val="auto"/>
        </w:rPr>
        <w:t>In Colombia, according to Law No.2277 of 2021 issued on December 13, 2022, the general income tax rate for the year 2023 is 35.0 percent and for financial institutions an additional 5.0 percent is added for the taxable years 2023 to 2027, totaling a general income tax rate of 40.0 percent (for the taxable year 2022 3.0 percentage points were added to the general tax rate, totaling an income tax rate of 38.0 percent).</w:t>
      </w:r>
    </w:p>
    <w:p>
      <w:pPr>
        <w:spacing w:after="0" w:line="137" w:lineRule="exact"/>
        <w:rPr>
          <w:rFonts w:ascii="Arial" w:cs="Arial" w:eastAsia="Arial" w:hAnsi="Arial"/>
          <w:sz w:val="16"/>
          <w:szCs w:val="16"/>
          <w:color w:val="auto"/>
        </w:rPr>
      </w:pPr>
    </w:p>
    <w:p>
      <w:pPr>
        <w:ind w:left="882" w:right="180"/>
        <w:spacing w:after="0" w:line="252" w:lineRule="auto"/>
        <w:rPr>
          <w:rFonts w:ascii="Arial" w:cs="Arial" w:eastAsia="Arial" w:hAnsi="Arial"/>
          <w:sz w:val="16"/>
          <w:szCs w:val="16"/>
          <w:color w:val="auto"/>
        </w:rPr>
      </w:pPr>
      <w:r>
        <w:rPr>
          <w:rFonts w:ascii="Arial" w:cs="Arial" w:eastAsia="Arial" w:hAnsi="Arial"/>
          <w:sz w:val="16"/>
          <w:szCs w:val="16"/>
          <w:color w:val="auto"/>
        </w:rPr>
        <w:t>The additional rate of 5.0 percent will be applicable only to financial institutions that in the corresponding taxable year have a taxable income equal to or greater than 120,000 Unidad de Valor Tributario (“UVT”), which as of December 31, 2023 and 2022 is equivalent to a total of S/4.4 million and S/3.6 million respectively. In this sense, Credicorp Capital Colombia, Credicorp Capital Fiduciaria and Mibanco Colombia must pay income tax taking into account the above.</w:t>
      </w:r>
    </w:p>
    <w:p>
      <w:pPr>
        <w:spacing w:after="0" w:line="143" w:lineRule="exact"/>
        <w:rPr>
          <w:rFonts w:ascii="Arial" w:cs="Arial" w:eastAsia="Arial" w:hAnsi="Arial"/>
          <w:sz w:val="16"/>
          <w:szCs w:val="16"/>
          <w:color w:val="auto"/>
        </w:rPr>
      </w:pPr>
    </w:p>
    <w:p>
      <w:pPr>
        <w:ind w:left="882" w:right="420"/>
        <w:spacing w:after="0" w:line="280" w:lineRule="auto"/>
        <w:rPr>
          <w:rFonts w:ascii="Arial" w:cs="Arial" w:eastAsia="Arial" w:hAnsi="Arial"/>
          <w:sz w:val="16"/>
          <w:szCs w:val="16"/>
          <w:color w:val="auto"/>
        </w:rPr>
      </w:pPr>
      <w:r>
        <w:rPr>
          <w:rFonts w:ascii="Arial" w:cs="Arial" w:eastAsia="Arial" w:hAnsi="Arial"/>
          <w:sz w:val="16"/>
          <w:szCs w:val="16"/>
          <w:color w:val="auto"/>
        </w:rPr>
        <w:t>Additionally, in case of receiving occasional profits, listed and established by the National Government in the Tax Statute and which are not subject to income tax, a differential rate of 10.0 percent must be applied on the net profit and the associated expenses respectively.</w:t>
      </w:r>
    </w:p>
    <w:p>
      <w:pPr>
        <w:spacing w:after="0" w:line="120" w:lineRule="exact"/>
        <w:rPr>
          <w:rFonts w:ascii="Arial" w:cs="Arial" w:eastAsia="Arial" w:hAnsi="Arial"/>
          <w:sz w:val="16"/>
          <w:szCs w:val="16"/>
          <w:color w:val="auto"/>
        </w:rPr>
      </w:pPr>
    </w:p>
    <w:p>
      <w:pPr>
        <w:ind w:left="882" w:right="60"/>
        <w:spacing w:after="0" w:line="259" w:lineRule="auto"/>
        <w:rPr>
          <w:rFonts w:ascii="Arial" w:cs="Arial" w:eastAsia="Arial" w:hAnsi="Arial"/>
          <w:sz w:val="16"/>
          <w:szCs w:val="16"/>
          <w:color w:val="auto"/>
        </w:rPr>
      </w:pPr>
      <w:r>
        <w:rPr>
          <w:rFonts w:ascii="Arial" w:cs="Arial" w:eastAsia="Arial" w:hAnsi="Arial"/>
          <w:sz w:val="16"/>
          <w:szCs w:val="16"/>
          <w:color w:val="auto"/>
        </w:rPr>
        <w:t>In fiscal year 2021, the Colombian Tax Reform Law repealed, as from fiscal year 2022, the rule that allowed taking 100.0 percent of the industry and commerce tax as a tax discount of the income tax, notices and boards. Therefore, in fiscal year 2023 only 50.0 percent of the industry and commerce tax, signs and boards may be taken as tax discount.</w:t>
      </w:r>
    </w:p>
    <w:p>
      <w:pPr>
        <w:spacing w:after="0" w:line="137" w:lineRule="exact"/>
        <w:rPr>
          <w:rFonts w:ascii="Arial" w:cs="Arial" w:eastAsia="Arial" w:hAnsi="Arial"/>
          <w:sz w:val="16"/>
          <w:szCs w:val="16"/>
          <w:color w:val="auto"/>
        </w:rPr>
      </w:pPr>
    </w:p>
    <w:p>
      <w:pPr>
        <w:ind w:left="882"/>
        <w:spacing w:after="0"/>
        <w:rPr>
          <w:rFonts w:ascii="Arial" w:cs="Arial" w:eastAsia="Arial" w:hAnsi="Arial"/>
          <w:sz w:val="16"/>
          <w:szCs w:val="16"/>
          <w:color w:val="auto"/>
        </w:rPr>
      </w:pPr>
      <w:r>
        <w:rPr>
          <w:rFonts w:ascii="Arial" w:cs="Arial" w:eastAsia="Arial" w:hAnsi="Arial"/>
          <w:sz w:val="16"/>
          <w:szCs w:val="16"/>
          <w:color w:val="auto"/>
        </w:rPr>
        <w:t>The deadlines for the finality of the income and complementary tax return for the taxable periods 2022 and 2023 are established as follows:</w:t>
      </w:r>
    </w:p>
    <w:p>
      <w:pPr>
        <w:spacing w:after="0" w:line="179" w:lineRule="exact"/>
        <w:rPr>
          <w:sz w:val="20"/>
          <w:szCs w:val="20"/>
          <w:color w:val="auto"/>
        </w:rPr>
      </w:pPr>
    </w:p>
    <w:tbl>
      <w:tblPr>
        <w:tblLayout w:type="fixed"/>
        <w:tblInd w:w="2" w:type="dxa"/>
        <w:tblCellMar>
          <w:top w:w="0" w:type="dxa"/>
          <w:left w:w="0" w:type="dxa"/>
          <w:bottom w:w="0" w:type="dxa"/>
          <w:right w:w="0" w:type="dxa"/>
        </w:tblCellMar>
      </w:tblPr>
      <w:tr>
        <w:trPr>
          <w:trHeight w:val="179"/>
        </w:trPr>
        <w:tc>
          <w:tcPr>
            <w:tcW w:w="2840" w:type="dxa"/>
            <w:vAlign w:val="bottom"/>
            <w:tcBorders>
              <w:right w:val="single" w:sz="8" w:color="auto"/>
            </w:tcBorders>
          </w:tcPr>
          <w:p>
            <w:pPr>
              <w:spacing w:after="0"/>
              <w:rPr>
                <w:sz w:val="15"/>
                <w:szCs w:val="15"/>
                <w:color w:val="auto"/>
              </w:rPr>
            </w:pPr>
          </w:p>
        </w:tc>
        <w:tc>
          <w:tcPr>
            <w:tcW w:w="3360" w:type="dxa"/>
            <w:vAlign w:val="bottom"/>
            <w:tcBorders>
              <w:top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rPr>
              <w:t>Increase in net income tax</w:t>
            </w:r>
          </w:p>
        </w:tc>
        <w:tc>
          <w:tcPr>
            <w:tcW w:w="2240" w:type="dxa"/>
            <w:vAlign w:val="bottom"/>
            <w:tcBorders>
              <w:top w:val="single" w:sz="8" w:color="auto"/>
              <w:right w:val="single" w:sz="8" w:color="auto"/>
            </w:tcBorders>
          </w:tcPr>
          <w:p>
            <w:pPr>
              <w:spacing w:after="0"/>
              <w:rPr>
                <w:sz w:val="15"/>
                <w:szCs w:val="15"/>
                <w:color w:val="auto"/>
              </w:rPr>
            </w:pPr>
          </w:p>
        </w:tc>
        <w:tc>
          <w:tcPr>
            <w:tcW w:w="2820" w:type="dxa"/>
            <w:vAlign w:val="bottom"/>
          </w:tcPr>
          <w:p>
            <w:pPr>
              <w:spacing w:after="0"/>
              <w:rPr>
                <w:sz w:val="15"/>
                <w:szCs w:val="15"/>
                <w:color w:val="auto"/>
              </w:rPr>
            </w:pPr>
          </w:p>
        </w:tc>
      </w:tr>
      <w:tr>
        <w:trPr>
          <w:trHeight w:val="200"/>
        </w:trPr>
        <w:tc>
          <w:tcPr>
            <w:tcW w:w="2840" w:type="dxa"/>
            <w:vAlign w:val="bottom"/>
            <w:tcBorders>
              <w:right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compared to the previous year</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Firmness of the declaration</w:t>
            </w:r>
          </w:p>
        </w:tc>
        <w:tc>
          <w:tcPr>
            <w:tcW w:w="2820" w:type="dxa"/>
            <w:vAlign w:val="bottom"/>
          </w:tcPr>
          <w:p>
            <w:pPr>
              <w:spacing w:after="0"/>
              <w:rPr>
                <w:sz w:val="17"/>
                <w:szCs w:val="17"/>
                <w:color w:val="auto"/>
              </w:rPr>
            </w:pPr>
          </w:p>
        </w:tc>
      </w:tr>
      <w:tr>
        <w:trPr>
          <w:trHeight w:val="175"/>
        </w:trPr>
        <w:tc>
          <w:tcPr>
            <w:tcW w:w="2840" w:type="dxa"/>
            <w:vAlign w:val="bottom"/>
            <w:tcBorders>
              <w:right w:val="single" w:sz="8" w:color="auto"/>
            </w:tcBorders>
          </w:tcPr>
          <w:p>
            <w:pPr>
              <w:spacing w:after="0"/>
              <w:rPr>
                <w:sz w:val="15"/>
                <w:szCs w:val="15"/>
                <w:color w:val="auto"/>
              </w:rPr>
            </w:pPr>
          </w:p>
        </w:tc>
        <w:tc>
          <w:tcPr>
            <w:tcW w:w="33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35 percent</w:t>
            </w:r>
          </w:p>
        </w:tc>
        <w:tc>
          <w:tcPr>
            <w:tcW w:w="22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6 months</w:t>
            </w:r>
          </w:p>
        </w:tc>
        <w:tc>
          <w:tcPr>
            <w:tcW w:w="2820" w:type="dxa"/>
            <w:vAlign w:val="bottom"/>
          </w:tcPr>
          <w:p>
            <w:pPr>
              <w:spacing w:after="0"/>
              <w:rPr>
                <w:sz w:val="15"/>
                <w:szCs w:val="15"/>
                <w:color w:val="auto"/>
              </w:rPr>
            </w:pPr>
          </w:p>
        </w:tc>
      </w:tr>
      <w:tr>
        <w:trPr>
          <w:trHeight w:val="175"/>
        </w:trPr>
        <w:tc>
          <w:tcPr>
            <w:tcW w:w="2840" w:type="dxa"/>
            <w:vAlign w:val="bottom"/>
            <w:tcBorders>
              <w:right w:val="single" w:sz="8" w:color="auto"/>
            </w:tcBorders>
          </w:tcPr>
          <w:p>
            <w:pPr>
              <w:spacing w:after="0"/>
              <w:rPr>
                <w:sz w:val="15"/>
                <w:szCs w:val="15"/>
                <w:color w:val="auto"/>
              </w:rPr>
            </w:pPr>
          </w:p>
        </w:tc>
        <w:tc>
          <w:tcPr>
            <w:tcW w:w="33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25 percent</w:t>
            </w:r>
          </w:p>
        </w:tc>
        <w:tc>
          <w:tcPr>
            <w:tcW w:w="22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12 months</w:t>
            </w:r>
          </w:p>
        </w:tc>
        <w:tc>
          <w:tcPr>
            <w:tcW w:w="2820" w:type="dxa"/>
            <w:vAlign w:val="bottom"/>
          </w:tcPr>
          <w:p>
            <w:pPr>
              <w:spacing w:after="0"/>
              <w:rPr>
                <w:sz w:val="15"/>
                <w:szCs w:val="15"/>
                <w:color w:val="auto"/>
              </w:rPr>
            </w:pPr>
          </w:p>
        </w:tc>
      </w:tr>
      <w:tr>
        <w:trPr>
          <w:trHeight w:val="533"/>
        </w:trPr>
        <w:tc>
          <w:tcPr>
            <w:tcW w:w="2840" w:type="dxa"/>
            <w:vAlign w:val="bottom"/>
          </w:tcPr>
          <w:p>
            <w:pPr>
              <w:spacing w:after="0"/>
              <w:rPr>
                <w:sz w:val="24"/>
                <w:szCs w:val="24"/>
                <w:color w:val="auto"/>
              </w:rPr>
            </w:pPr>
          </w:p>
        </w:tc>
        <w:tc>
          <w:tcPr>
            <w:tcW w:w="3360" w:type="dxa"/>
            <w:vAlign w:val="bottom"/>
          </w:tcPr>
          <w:p>
            <w:pPr>
              <w:jc w:val="right"/>
              <w:ind w:right="379"/>
              <w:spacing w:after="0"/>
              <w:rPr>
                <w:sz w:val="20"/>
                <w:szCs w:val="20"/>
                <w:color w:val="auto"/>
              </w:rPr>
            </w:pPr>
            <w:r>
              <w:rPr>
                <w:rFonts w:ascii="Arial" w:cs="Arial" w:eastAsia="Arial" w:hAnsi="Arial"/>
                <w:sz w:val="16"/>
                <w:szCs w:val="16"/>
                <w:color w:val="auto"/>
              </w:rPr>
              <w:t>114</w:t>
            </w:r>
          </w:p>
        </w:tc>
        <w:tc>
          <w:tcPr>
            <w:tcW w:w="2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8"/>
        </w:trPr>
        <w:tc>
          <w:tcPr>
            <w:tcW w:w="284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r>
    </w:tbl>
    <w:p>
      <w:pPr>
        <w:sectPr>
          <w:pgSz w:w="11900" w:h="16838" w:orient="portrait"/>
          <w:cols w:equalWidth="0" w:num="1">
            <w:col w:w="11262"/>
          </w:cols>
          <w:pgMar w:left="318" w:top="306" w:right="319" w:bottom="1440" w:gutter="0" w:footer="0" w:header="0"/>
        </w:sectPr>
      </w:pPr>
    </w:p>
    <w:bookmarkStart w:id="117" w:name="page118"/>
    <w:bookmarkEnd w:id="117"/>
    <w:p>
      <w:pPr>
        <w:ind w:left="880"/>
        <w:spacing w:after="0"/>
        <w:rPr>
          <w:sz w:val="20"/>
          <w:szCs w:val="20"/>
          <w:color w:val="auto"/>
        </w:rPr>
      </w:pPr>
      <w:r>
        <w:rPr>
          <w:rFonts w:ascii="Arial" w:cs="Arial" w:eastAsia="Arial" w:hAnsi="Arial"/>
          <w:sz w:val="16"/>
          <w:szCs w:val="16"/>
          <w:color w:val="auto"/>
        </w:rPr>
        <w:t>The reconciliation of the statutory income tax rate to the effective tax rate for the Group is as follows:</w:t>
      </w:r>
    </w:p>
    <w:p>
      <w:pPr>
        <w:spacing w:after="0" w:line="183" w:lineRule="exact"/>
        <w:rPr>
          <w:sz w:val="20"/>
          <w:szCs w:val="20"/>
          <w:color w:val="auto"/>
        </w:rPr>
      </w:pPr>
    </w:p>
    <w:tbl>
      <w:tblPr>
        <w:tblLayout w:type="fixed"/>
        <w:tblInd w:w="880" w:type="dxa"/>
        <w:tblCellMar>
          <w:top w:w="0" w:type="dxa"/>
          <w:left w:w="0" w:type="dxa"/>
          <w:bottom w:w="0" w:type="dxa"/>
          <w:right w:w="0" w:type="dxa"/>
        </w:tblCellMar>
      </w:tblPr>
      <w:tr>
        <w:trPr>
          <w:trHeight w:val="200"/>
        </w:trPr>
        <w:tc>
          <w:tcPr>
            <w:tcW w:w="398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9"/>
        </w:trPr>
        <w:tc>
          <w:tcPr>
            <w:tcW w:w="3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Borders>
              <w:top w:val="single" w:sz="8" w:color="auto"/>
            </w:tcBorders>
            <w:gridSpan w:val="3"/>
          </w:tcPr>
          <w:p>
            <w:pPr>
              <w:spacing w:after="0" w:line="159" w:lineRule="exact"/>
              <w:rPr>
                <w:sz w:val="20"/>
                <w:szCs w:val="20"/>
                <w:color w:val="auto"/>
              </w:rPr>
            </w:pPr>
            <w:r>
              <w:rPr>
                <w:rFonts w:ascii="Arial" w:cs="Arial" w:eastAsia="Arial" w:hAnsi="Arial"/>
                <w:sz w:val="16"/>
                <w:szCs w:val="16"/>
                <w:b w:val="1"/>
                <w:bCs w:val="1"/>
                <w:color w:val="auto"/>
              </w:rPr>
              <w:t>In millions  %</w:t>
            </w: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gridSpan w:val="2"/>
          </w:tcPr>
          <w:p>
            <w:pPr>
              <w:spacing w:after="0" w:line="159" w:lineRule="exact"/>
              <w:rPr>
                <w:sz w:val="20"/>
                <w:szCs w:val="20"/>
                <w:color w:val="auto"/>
              </w:rPr>
            </w:pPr>
            <w:r>
              <w:rPr>
                <w:rFonts w:ascii="Arial" w:cs="Arial" w:eastAsia="Arial" w:hAnsi="Arial"/>
                <w:sz w:val="16"/>
                <w:szCs w:val="16"/>
                <w:b w:val="1"/>
                <w:bCs w:val="1"/>
                <w:color w:val="auto"/>
              </w:rPr>
              <w:t>In millions</w:t>
            </w:r>
          </w:p>
        </w:tc>
        <w:tc>
          <w:tcPr>
            <w:tcW w:w="740" w:type="dxa"/>
            <w:vAlign w:val="bottom"/>
            <w:tcBorders>
              <w:top w:val="single" w:sz="8" w:color="auto"/>
            </w:tcBorders>
            <w:gridSpan w:val="2"/>
          </w:tcPr>
          <w:p>
            <w:pPr>
              <w:jc w:val="right"/>
              <w:ind w:right="459"/>
              <w:spacing w:after="0" w:line="159"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960" w:type="dxa"/>
            <w:vAlign w:val="bottom"/>
            <w:tcBorders>
              <w:top w:val="single" w:sz="8" w:color="auto"/>
            </w:tcBorders>
            <w:gridSpan w:val="2"/>
          </w:tcPr>
          <w:p>
            <w:pPr>
              <w:spacing w:after="0" w:line="159" w:lineRule="exact"/>
              <w:rPr>
                <w:sz w:val="20"/>
                <w:szCs w:val="20"/>
                <w:color w:val="auto"/>
              </w:rPr>
            </w:pPr>
            <w:r>
              <w:rPr>
                <w:rFonts w:ascii="Arial" w:cs="Arial" w:eastAsia="Arial" w:hAnsi="Arial"/>
                <w:sz w:val="16"/>
                <w:szCs w:val="16"/>
                <w:b w:val="1"/>
                <w:bCs w:val="1"/>
                <w:color w:val="auto"/>
              </w:rPr>
              <w:t>In millions</w:t>
            </w:r>
          </w:p>
        </w:tc>
        <w:tc>
          <w:tcPr>
            <w:tcW w:w="980" w:type="dxa"/>
            <w:vAlign w:val="bottom"/>
            <w:tcBorders>
              <w:top w:val="single" w:sz="8" w:color="auto"/>
            </w:tcBorders>
            <w:gridSpan w:val="2"/>
          </w:tcPr>
          <w:p>
            <w:pPr>
              <w:jc w:val="right"/>
              <w:ind w:right="699"/>
              <w:spacing w:after="0" w:line="159"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3"/>
                <w:szCs w:val="13"/>
                <w:color w:val="auto"/>
              </w:rPr>
            </w:pPr>
          </w:p>
        </w:tc>
      </w:tr>
      <w:tr>
        <w:trPr>
          <w:trHeight w:val="183"/>
        </w:trPr>
        <w:tc>
          <w:tcPr>
            <w:tcW w:w="3980" w:type="dxa"/>
            <w:vAlign w:val="bottom"/>
          </w:tcPr>
          <w:p>
            <w:pPr>
              <w:spacing w:after="0"/>
              <w:rPr>
                <w:sz w:val="20"/>
                <w:szCs w:val="20"/>
                <w:color w:val="auto"/>
              </w:rPr>
            </w:pPr>
            <w:r>
              <w:rPr>
                <w:rFonts w:ascii="Arial" w:cs="Arial" w:eastAsia="Arial" w:hAnsi="Arial"/>
                <w:sz w:val="16"/>
                <w:szCs w:val="16"/>
                <w:color w:val="auto"/>
              </w:rPr>
              <w:t>Theoretical tax and income tax rate in Perú</w:t>
            </w:r>
          </w:p>
        </w:tc>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(2,040.9)</w:t>
            </w:r>
          </w:p>
        </w:tc>
        <w:tc>
          <w:tcPr>
            <w:tcW w:w="2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(29.50)</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(2,022.5)</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(29.50)</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(1,573.2)</w:t>
            </w: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rPr>
              <w:t>(29.50)</w:t>
            </w:r>
          </w:p>
        </w:tc>
      </w:tr>
      <w:tr>
        <w:trPr>
          <w:trHeight w:val="183"/>
        </w:trPr>
        <w:tc>
          <w:tcPr>
            <w:tcW w:w="3980" w:type="dxa"/>
            <w:vAlign w:val="bottom"/>
          </w:tcPr>
          <w:p>
            <w:pPr>
              <w:spacing w:after="0"/>
              <w:rPr>
                <w:sz w:val="20"/>
                <w:szCs w:val="20"/>
                <w:color w:val="auto"/>
              </w:rPr>
            </w:pPr>
            <w:r>
              <w:rPr>
                <w:rFonts w:ascii="Arial" w:cs="Arial" w:eastAsia="Arial" w:hAnsi="Arial"/>
                <w:sz w:val="16"/>
                <w:szCs w:val="16"/>
                <w:b w:val="1"/>
                <w:bCs w:val="1"/>
                <w:color w:val="auto"/>
              </w:rPr>
              <w:t>Decrease (Increase) in the statutory tax rate due</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980" w:type="dxa"/>
            <w:vAlign w:val="bottom"/>
          </w:tcPr>
          <w:p>
            <w:pPr>
              <w:ind w:left="140"/>
              <w:spacing w:after="0"/>
              <w:rPr>
                <w:sz w:val="20"/>
                <w:szCs w:val="20"/>
                <w:color w:val="auto"/>
              </w:rPr>
            </w:pPr>
            <w:r>
              <w:rPr>
                <w:rFonts w:ascii="Arial" w:cs="Arial" w:eastAsia="Arial" w:hAnsi="Arial"/>
                <w:sz w:val="16"/>
                <w:szCs w:val="16"/>
                <w:b w:val="1"/>
                <w:bCs w:val="1"/>
                <w:color w:val="auto"/>
              </w:rPr>
              <w:t>to:</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980" w:type="dxa"/>
            <w:vAlign w:val="bottom"/>
          </w:tcPr>
          <w:p>
            <w:pPr>
              <w:spacing w:after="0"/>
              <w:rPr>
                <w:sz w:val="20"/>
                <w:szCs w:val="20"/>
                <w:color w:val="auto"/>
              </w:rPr>
            </w:pPr>
            <w:r>
              <w:rPr>
                <w:rFonts w:ascii="Arial" w:cs="Arial" w:eastAsia="Arial" w:hAnsi="Arial"/>
                <w:sz w:val="16"/>
                <w:szCs w:val="16"/>
                <w:color w:val="auto"/>
              </w:rPr>
              <w:t>(i) Decrease (Increase) due to the profit of subsidiaries</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980" w:type="dxa"/>
            <w:vAlign w:val="bottom"/>
          </w:tcPr>
          <w:p>
            <w:pPr>
              <w:spacing w:after="0"/>
              <w:rPr>
                <w:sz w:val="20"/>
                <w:szCs w:val="20"/>
                <w:color w:val="auto"/>
              </w:rPr>
            </w:pPr>
            <w:r>
              <w:rPr>
                <w:rFonts w:ascii="Arial" w:cs="Arial" w:eastAsia="Arial" w:hAnsi="Arial"/>
                <w:sz w:val="16"/>
                <w:szCs w:val="16"/>
                <w:color w:val="auto"/>
              </w:rPr>
              <w:t>not domiciled in Perú</w:t>
            </w:r>
          </w:p>
        </w:tc>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52.8</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0.77</w:t>
            </w:r>
          </w:p>
        </w:tc>
        <w:tc>
          <w:tcPr>
            <w:tcW w:w="10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(75.8)</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(1.11)</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(12.8)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(0.24)</w:t>
            </w:r>
          </w:p>
        </w:tc>
        <w:tc>
          <w:tcPr>
            <w:tcW w:w="20" w:type="dxa"/>
            <w:vAlign w:val="bottom"/>
          </w:tcPr>
          <w:p>
            <w:pPr>
              <w:spacing w:after="0"/>
              <w:rPr>
                <w:sz w:val="15"/>
                <w:szCs w:val="15"/>
                <w:color w:val="auto"/>
              </w:rPr>
            </w:pPr>
          </w:p>
        </w:tc>
      </w:tr>
      <w:tr>
        <w:trPr>
          <w:trHeight w:val="183"/>
        </w:trPr>
        <w:tc>
          <w:tcPr>
            <w:tcW w:w="3980" w:type="dxa"/>
            <w:vAlign w:val="bottom"/>
          </w:tcPr>
          <w:p>
            <w:pPr>
              <w:spacing w:after="0"/>
              <w:rPr>
                <w:sz w:val="20"/>
                <w:szCs w:val="20"/>
                <w:color w:val="auto"/>
              </w:rPr>
            </w:pPr>
            <w:r>
              <w:rPr>
                <w:rFonts w:ascii="Arial" w:cs="Arial" w:eastAsia="Arial" w:hAnsi="Arial"/>
                <w:sz w:val="16"/>
                <w:szCs w:val="16"/>
                <w:color w:val="auto"/>
              </w:rPr>
              <w:t>(ii) Provision tax on dividends</w:t>
            </w:r>
          </w:p>
        </w:tc>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(235.7)</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(168.4)</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(78.6)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5"/>
                <w:szCs w:val="15"/>
                <w:color w:val="auto"/>
              </w:rPr>
            </w:pPr>
          </w:p>
        </w:tc>
      </w:tr>
      <w:tr>
        <w:trPr>
          <w:trHeight w:val="200"/>
        </w:trPr>
        <w:tc>
          <w:tcPr>
            <w:tcW w:w="3980" w:type="dxa"/>
            <w:vAlign w:val="bottom"/>
          </w:tcPr>
          <w:p>
            <w:pPr>
              <w:spacing w:after="0"/>
              <w:rPr>
                <w:sz w:val="20"/>
                <w:szCs w:val="20"/>
                <w:color w:val="auto"/>
              </w:rPr>
            </w:pPr>
            <w:r>
              <w:rPr>
                <w:rFonts w:ascii="Arial" w:cs="Arial" w:eastAsia="Arial" w:hAnsi="Arial"/>
                <w:sz w:val="16"/>
                <w:szCs w:val="16"/>
                <w:color w:val="auto"/>
              </w:rPr>
              <w:t>(iii) Non-taxable income, net</w:t>
            </w:r>
          </w:p>
        </w:tc>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335.3</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156.2</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0.06</w:t>
            </w:r>
          </w:p>
        </w:tc>
        <w:tc>
          <w:tcPr>
            <w:tcW w:w="20" w:type="dxa"/>
            <w:vAlign w:val="bottom"/>
          </w:tcPr>
          <w:p>
            <w:pPr>
              <w:spacing w:after="0"/>
              <w:rPr>
                <w:sz w:val="17"/>
                <w:szCs w:val="17"/>
                <w:color w:val="auto"/>
              </w:rPr>
            </w:pPr>
          </w:p>
        </w:tc>
      </w:tr>
      <w:tr>
        <w:trPr>
          <w:trHeight w:val="180"/>
        </w:trPr>
        <w:tc>
          <w:tcPr>
            <w:tcW w:w="3980" w:type="dxa"/>
            <w:vAlign w:val="bottom"/>
          </w:tcPr>
          <w:p>
            <w:pPr>
              <w:spacing w:after="0" w:line="175" w:lineRule="exact"/>
              <w:rPr>
                <w:sz w:val="20"/>
                <w:szCs w:val="20"/>
                <w:color w:val="auto"/>
              </w:rPr>
            </w:pPr>
            <w:r>
              <w:rPr>
                <w:rFonts w:ascii="Arial" w:cs="Arial" w:eastAsia="Arial" w:hAnsi="Arial"/>
                <w:sz w:val="16"/>
                <w:szCs w:val="16"/>
                <w:b w:val="1"/>
                <w:bCs w:val="1"/>
                <w:color w:val="auto"/>
              </w:rPr>
              <w:t>Income tax and effective income tax rate</w:t>
            </w:r>
          </w:p>
        </w:tc>
        <w:tc>
          <w:tcPr>
            <w:tcW w:w="6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(1,888.5)</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(27.58)</w:t>
            </w: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(2,110.5)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(30.78)</w:t>
            </w: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(1,661.1)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(31.15)</w:t>
            </w:r>
          </w:p>
        </w:tc>
        <w:tc>
          <w:tcPr>
            <w:tcW w:w="20" w:type="dxa"/>
            <w:vAlign w:val="bottom"/>
            <w:tcBorders>
              <w:bottom w:val="single" w:sz="8" w:color="auto"/>
            </w:tcBorders>
          </w:tcPr>
          <w:p>
            <w:pPr>
              <w:spacing w:after="0"/>
              <w:rPr>
                <w:sz w:val="15"/>
                <w:szCs w:val="15"/>
                <w:color w:val="auto"/>
              </w:rPr>
            </w:pPr>
          </w:p>
        </w:tc>
      </w:tr>
    </w:tbl>
    <w:p>
      <w:pPr>
        <w:spacing w:after="0" w:line="166" w:lineRule="exact"/>
        <w:rPr>
          <w:sz w:val="20"/>
          <w:szCs w:val="20"/>
          <w:color w:val="auto"/>
        </w:rPr>
      </w:pPr>
    </w:p>
    <w:p>
      <w:pPr>
        <w:ind w:left="580"/>
        <w:spacing w:after="0"/>
        <w:tabs>
          <w:tab w:leader="none" w:pos="860" w:val="left"/>
        </w:tabs>
        <w:rPr>
          <w:sz w:val="20"/>
          <w:szCs w:val="20"/>
          <w:color w:val="auto"/>
        </w:rPr>
      </w:pPr>
      <w:r>
        <w:rPr>
          <w:rFonts w:ascii="Arial" w:cs="Arial" w:eastAsia="Arial" w:hAnsi="Arial"/>
          <w:sz w:val="16"/>
          <w:szCs w:val="16"/>
          <w:color w:val="auto"/>
        </w:rPr>
        <w:t>b)</w:t>
        <w:tab/>
        <w:t>Income tax expense for the years ended December 31, 2023, 2022 and 2021 comprises: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40" w:type="dxa"/>
            <w:vAlign w:val="bottom"/>
          </w:tcPr>
          <w:p>
            <w:pPr>
              <w:spacing w:after="0"/>
              <w:rPr>
                <w:sz w:val="17"/>
                <w:szCs w:val="17"/>
                <w:color w:val="auto"/>
              </w:rPr>
            </w:pPr>
          </w:p>
        </w:tc>
        <w:tc>
          <w:tcPr>
            <w:tcW w:w="206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7"/>
                <w:szCs w:val="17"/>
                <w:color w:val="auto"/>
              </w:rPr>
            </w:pPr>
          </w:p>
        </w:tc>
        <w:tc>
          <w:tcPr>
            <w:tcW w:w="122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vMerge w:val="restart"/>
          </w:tcPr>
          <w:p>
            <w:pPr>
              <w:ind w:left="880"/>
              <w:spacing w:after="0"/>
              <w:rPr>
                <w:sz w:val="20"/>
                <w:szCs w:val="20"/>
                <w:color w:val="auto"/>
              </w:rPr>
            </w:pPr>
            <w:r>
              <w:rPr>
                <w:rFonts w:ascii="Arial" w:cs="Arial" w:eastAsia="Arial" w:hAnsi="Arial"/>
                <w:sz w:val="16"/>
                <w:szCs w:val="16"/>
                <w:b w:val="1"/>
                <w:bCs w:val="1"/>
                <w:color w:val="auto"/>
              </w:rPr>
              <w:t>Current -</w:t>
            </w:r>
          </w:p>
        </w:tc>
        <w:tc>
          <w:tcPr>
            <w:tcW w:w="900" w:type="dxa"/>
            <w:vAlign w:val="bottom"/>
          </w:tcPr>
          <w:p>
            <w:pPr>
              <w:spacing w:after="0"/>
              <w:rPr>
                <w:sz w:val="18"/>
                <w:szCs w:val="18"/>
                <w:color w:val="auto"/>
              </w:rPr>
            </w:pPr>
          </w:p>
        </w:tc>
        <w:tc>
          <w:tcPr>
            <w:tcW w:w="11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95"/>
              </w:rPr>
              <w:t>S/(000)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95"/>
              </w:rPr>
              <w:t>S/(000)</w:t>
            </w:r>
          </w:p>
        </w:tc>
        <w:tc>
          <w:tcPr>
            <w:tcW w:w="80" w:type="dxa"/>
            <w:vAlign w:val="bottom"/>
          </w:tcPr>
          <w:p>
            <w:pPr>
              <w:spacing w:after="0"/>
              <w:rPr>
                <w:sz w:val="18"/>
                <w:szCs w:val="18"/>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3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04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880"/>
              <w:spacing w:after="0"/>
              <w:rPr>
                <w:sz w:val="20"/>
                <w:szCs w:val="20"/>
                <w:color w:val="auto"/>
              </w:rPr>
            </w:pPr>
            <w:r>
              <w:rPr>
                <w:rFonts w:ascii="Arial" w:cs="Arial" w:eastAsia="Arial" w:hAnsi="Arial"/>
                <w:sz w:val="16"/>
                <w:szCs w:val="16"/>
                <w:color w:val="auto"/>
              </w:rPr>
              <w:t>In Perú</w:t>
            </w:r>
          </w:p>
        </w:tc>
        <w:tc>
          <w:tcPr>
            <w:tcW w:w="2100" w:type="dxa"/>
            <w:vAlign w:val="bottom"/>
            <w:gridSpan w:val="3"/>
          </w:tcPr>
          <w:p>
            <w:pPr>
              <w:jc w:val="right"/>
              <w:ind w:right="40"/>
              <w:spacing w:after="0"/>
              <w:rPr>
                <w:sz w:val="20"/>
                <w:szCs w:val="20"/>
                <w:color w:val="auto"/>
              </w:rPr>
            </w:pPr>
            <w:r>
              <w:rPr>
                <w:rFonts w:ascii="Arial" w:cs="Arial" w:eastAsia="Arial" w:hAnsi="Arial"/>
                <w:sz w:val="16"/>
                <w:szCs w:val="16"/>
                <w:color w:val="auto"/>
              </w:rPr>
              <w:t>1,669,370</w:t>
            </w:r>
          </w:p>
        </w:tc>
        <w:tc>
          <w:tcPr>
            <w:tcW w:w="1300" w:type="dxa"/>
            <w:vAlign w:val="bottom"/>
            <w:gridSpan w:val="3"/>
          </w:tcPr>
          <w:p>
            <w:pPr>
              <w:jc w:val="right"/>
              <w:ind w:right="80"/>
              <w:spacing w:after="0"/>
              <w:rPr>
                <w:sz w:val="20"/>
                <w:szCs w:val="20"/>
                <w:color w:val="auto"/>
              </w:rPr>
            </w:pPr>
            <w:r>
              <w:rPr>
                <w:rFonts w:ascii="Arial" w:cs="Arial" w:eastAsia="Arial" w:hAnsi="Arial"/>
                <w:sz w:val="16"/>
                <w:szCs w:val="16"/>
                <w:color w:val="auto"/>
              </w:rPr>
              <w:t>1,799,467</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945,937</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040" w:type="dxa"/>
            <w:vAlign w:val="bottom"/>
          </w:tcPr>
          <w:p>
            <w:pPr>
              <w:ind w:left="880"/>
              <w:spacing w:after="0"/>
              <w:rPr>
                <w:sz w:val="20"/>
                <w:szCs w:val="20"/>
                <w:color w:val="auto"/>
              </w:rPr>
            </w:pPr>
            <w:r>
              <w:rPr>
                <w:rFonts w:ascii="Arial" w:cs="Arial" w:eastAsia="Arial" w:hAnsi="Arial"/>
                <w:sz w:val="16"/>
                <w:szCs w:val="16"/>
                <w:color w:val="auto"/>
              </w:rPr>
              <w:t>In other countries</w:t>
            </w:r>
          </w:p>
        </w:tc>
        <w:tc>
          <w:tcPr>
            <w:tcW w:w="2100" w:type="dxa"/>
            <w:vAlign w:val="bottom"/>
            <w:gridSpan w:val="3"/>
          </w:tcPr>
          <w:p>
            <w:pPr>
              <w:jc w:val="right"/>
              <w:ind w:right="40"/>
              <w:spacing w:after="0"/>
              <w:rPr>
                <w:sz w:val="20"/>
                <w:szCs w:val="20"/>
                <w:color w:val="auto"/>
              </w:rPr>
            </w:pPr>
            <w:r>
              <w:rPr>
                <w:rFonts w:ascii="Arial" w:cs="Arial" w:eastAsia="Arial" w:hAnsi="Arial"/>
                <w:sz w:val="16"/>
                <w:szCs w:val="16"/>
                <w:color w:val="auto"/>
              </w:rPr>
              <w:t>295,169</w:t>
            </w:r>
          </w:p>
        </w:tc>
        <w:tc>
          <w:tcPr>
            <w:tcW w:w="1300" w:type="dxa"/>
            <w:vAlign w:val="bottom"/>
            <w:gridSpan w:val="3"/>
          </w:tcPr>
          <w:p>
            <w:pPr>
              <w:jc w:val="right"/>
              <w:ind w:right="80"/>
              <w:spacing w:after="0"/>
              <w:rPr>
                <w:sz w:val="20"/>
                <w:szCs w:val="20"/>
                <w:color w:val="auto"/>
              </w:rPr>
            </w:pPr>
            <w:r>
              <w:rPr>
                <w:rFonts w:ascii="Arial" w:cs="Arial" w:eastAsia="Arial" w:hAnsi="Arial"/>
                <w:sz w:val="16"/>
                <w:szCs w:val="16"/>
                <w:color w:val="auto"/>
              </w:rPr>
              <w:t>197,971</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167,657</w:t>
            </w: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1,964,539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1,997,438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top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1,113,594</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3040" w:type="dxa"/>
            <w:vAlign w:val="bottom"/>
          </w:tcPr>
          <w:p>
            <w:pPr>
              <w:ind w:left="880"/>
              <w:spacing w:after="0"/>
              <w:rPr>
                <w:sz w:val="20"/>
                <w:szCs w:val="20"/>
                <w:color w:val="auto"/>
              </w:rPr>
            </w:pPr>
            <w:r>
              <w:rPr>
                <w:rFonts w:ascii="Arial" w:cs="Arial" w:eastAsia="Arial" w:hAnsi="Arial"/>
                <w:sz w:val="16"/>
                <w:szCs w:val="16"/>
                <w:b w:val="1"/>
                <w:bCs w:val="1"/>
                <w:color w:val="auto"/>
              </w:rPr>
              <w:t>Deferred -</w:t>
            </w:r>
          </w:p>
        </w:tc>
        <w:tc>
          <w:tcPr>
            <w:tcW w:w="9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880"/>
              <w:spacing w:after="0"/>
              <w:rPr>
                <w:sz w:val="20"/>
                <w:szCs w:val="20"/>
                <w:color w:val="auto"/>
              </w:rPr>
            </w:pPr>
            <w:r>
              <w:rPr>
                <w:rFonts w:ascii="Arial" w:cs="Arial" w:eastAsia="Arial" w:hAnsi="Arial"/>
                <w:sz w:val="16"/>
                <w:szCs w:val="16"/>
                <w:color w:val="auto"/>
              </w:rPr>
              <w:t>In Perú</w:t>
            </w:r>
          </w:p>
        </w:tc>
        <w:tc>
          <w:tcPr>
            <w:tcW w:w="2100" w:type="dxa"/>
            <w:vAlign w:val="bottom"/>
            <w:gridSpan w:val="3"/>
          </w:tcPr>
          <w:p>
            <w:pPr>
              <w:jc w:val="right"/>
              <w:ind w:right="40"/>
              <w:spacing w:after="0"/>
              <w:rPr>
                <w:sz w:val="20"/>
                <w:szCs w:val="20"/>
                <w:color w:val="auto"/>
              </w:rPr>
            </w:pPr>
            <w:r>
              <w:rPr>
                <w:rFonts w:ascii="Arial" w:cs="Arial" w:eastAsia="Arial" w:hAnsi="Arial"/>
                <w:sz w:val="16"/>
                <w:szCs w:val="16"/>
                <w:color w:val="auto"/>
              </w:rPr>
              <w:t>(28,734)</w:t>
            </w:r>
          </w:p>
        </w:tc>
        <w:tc>
          <w:tcPr>
            <w:tcW w:w="1300" w:type="dxa"/>
            <w:vAlign w:val="bottom"/>
            <w:gridSpan w:val="3"/>
          </w:tcPr>
          <w:p>
            <w:pPr>
              <w:jc w:val="right"/>
              <w:ind w:right="80"/>
              <w:spacing w:after="0"/>
              <w:rPr>
                <w:sz w:val="20"/>
                <w:szCs w:val="20"/>
                <w:color w:val="auto"/>
              </w:rPr>
            </w:pPr>
            <w:r>
              <w:rPr>
                <w:rFonts w:ascii="Arial" w:cs="Arial" w:eastAsia="Arial" w:hAnsi="Arial"/>
                <w:sz w:val="16"/>
                <w:szCs w:val="16"/>
                <w:color w:val="auto"/>
              </w:rPr>
              <w:t>37,447</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548,920</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040" w:type="dxa"/>
            <w:vAlign w:val="bottom"/>
          </w:tcPr>
          <w:p>
            <w:pPr>
              <w:ind w:left="880"/>
              <w:spacing w:after="0"/>
              <w:rPr>
                <w:sz w:val="20"/>
                <w:szCs w:val="20"/>
                <w:color w:val="auto"/>
              </w:rPr>
            </w:pPr>
            <w:r>
              <w:rPr>
                <w:rFonts w:ascii="Arial" w:cs="Arial" w:eastAsia="Arial" w:hAnsi="Arial"/>
                <w:sz w:val="16"/>
                <w:szCs w:val="16"/>
                <w:color w:val="auto"/>
              </w:rPr>
              <w:t>In other countries</w:t>
            </w:r>
          </w:p>
        </w:tc>
        <w:tc>
          <w:tcPr>
            <w:tcW w:w="2100" w:type="dxa"/>
            <w:vAlign w:val="bottom"/>
            <w:gridSpan w:val="3"/>
          </w:tcPr>
          <w:p>
            <w:pPr>
              <w:jc w:val="right"/>
              <w:ind w:right="40"/>
              <w:spacing w:after="0"/>
              <w:rPr>
                <w:sz w:val="20"/>
                <w:szCs w:val="20"/>
                <w:color w:val="auto"/>
              </w:rPr>
            </w:pPr>
            <w:r>
              <w:rPr>
                <w:rFonts w:ascii="Arial" w:cs="Arial" w:eastAsia="Arial" w:hAnsi="Arial"/>
                <w:sz w:val="16"/>
                <w:szCs w:val="16"/>
                <w:color w:val="auto"/>
              </w:rPr>
              <w:t>(47,354)</w:t>
            </w:r>
          </w:p>
        </w:tc>
        <w:tc>
          <w:tcPr>
            <w:tcW w:w="1300" w:type="dxa"/>
            <w:vAlign w:val="bottom"/>
            <w:gridSpan w:val="3"/>
          </w:tcPr>
          <w:p>
            <w:pPr>
              <w:jc w:val="right"/>
              <w:ind w:right="80"/>
              <w:spacing w:after="0"/>
              <w:rPr>
                <w:sz w:val="20"/>
                <w:szCs w:val="20"/>
                <w:color w:val="auto"/>
              </w:rPr>
            </w:pPr>
            <w:r>
              <w:rPr>
                <w:rFonts w:ascii="Arial" w:cs="Arial" w:eastAsia="Arial" w:hAnsi="Arial"/>
                <w:sz w:val="16"/>
                <w:szCs w:val="16"/>
                <w:color w:val="auto"/>
              </w:rPr>
              <w:t>75,616</w:t>
            </w:r>
          </w:p>
        </w:tc>
        <w:tc>
          <w:tcPr>
            <w:tcW w:w="4820" w:type="dxa"/>
            <w:vAlign w:val="bottom"/>
            <w:gridSpan w:val="4"/>
          </w:tcPr>
          <w:p>
            <w:pPr>
              <w:jc w:val="right"/>
              <w:ind w:right="3640"/>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880"/>
              <w:spacing w:after="0"/>
              <w:rPr>
                <w:sz w:val="20"/>
                <w:szCs w:val="20"/>
                <w:color w:val="auto"/>
              </w:rPr>
            </w:pPr>
            <w:r>
              <w:rPr>
                <w:rFonts w:ascii="Arial" w:cs="Arial" w:eastAsia="Arial" w:hAnsi="Arial"/>
                <w:sz w:val="16"/>
                <w:szCs w:val="16"/>
                <w:b w:val="1"/>
                <w:bCs w:val="1"/>
                <w:color w:val="auto"/>
              </w:rPr>
              <w:t>Total</w:t>
            </w:r>
          </w:p>
        </w:tc>
        <w:tc>
          <w:tcPr>
            <w:tcW w:w="90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(76,088)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113,063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top w:val="single" w:sz="8" w:color="auto"/>
              <w:bottom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547,393</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1,888,451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2,110,501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1,660,987</w:t>
            </w:r>
          </w:p>
        </w:tc>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1"/>
        </w:trPr>
        <w:tc>
          <w:tcPr>
            <w:tcW w:w="3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right"/>
              <w:ind w:right="539"/>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0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6" w:right="31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00" w:type="dxa"/>
            <w:vAlign w:val="bottom"/>
          </w:tcPr>
          <w:p>
            <w:pPr>
              <w:ind w:left="580"/>
              <w:spacing w:after="0"/>
              <w:rPr>
                <w:sz w:val="20"/>
                <w:szCs w:val="20"/>
                <w:color w:val="auto"/>
              </w:rPr>
            </w:pPr>
            <w:r>
              <w:rPr>
                <w:rFonts w:ascii="Arial" w:cs="Arial" w:eastAsia="Arial" w:hAnsi="Arial"/>
                <w:sz w:val="16"/>
                <w:szCs w:val="16"/>
                <w:color w:val="auto"/>
              </w:rPr>
              <w:t>c)  The following table presents a summary of the Group’s deferred income tax:</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30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00" w:type="dxa"/>
            <w:vAlign w:val="bottom"/>
            <w:vMerge w:val="restart"/>
          </w:tcPr>
          <w:p>
            <w:pPr>
              <w:ind w:left="880"/>
              <w:spacing w:after="0"/>
              <w:rPr>
                <w:sz w:val="20"/>
                <w:szCs w:val="20"/>
                <w:color w:val="auto"/>
              </w:rPr>
            </w:pPr>
            <w:r>
              <w:rPr>
                <w:rFonts w:ascii="Arial" w:cs="Arial" w:eastAsia="Arial" w:hAnsi="Arial"/>
                <w:sz w:val="16"/>
                <w:szCs w:val="16"/>
                <w:b w:val="1"/>
                <w:bCs w:val="1"/>
                <w:color w:val="auto"/>
              </w:rPr>
              <w:t>Deferred income tax asset, net</w:t>
            </w:r>
          </w:p>
        </w:tc>
        <w:tc>
          <w:tcPr>
            <w:tcW w:w="112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83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b w:val="1"/>
                <w:bCs w:val="1"/>
                <w:color w:val="auto"/>
              </w:rPr>
              <w:t>Deferred asset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Allowance for loan losses for loan portfolio</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1,023,000</w:t>
            </w: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1,108,687</w:t>
            </w: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Provision for profit sharing</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70,908</w:t>
            </w: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73,402</w:t>
            </w: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Provision for sundry expenses and risks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59,984</w:t>
            </w: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35,393</w:t>
            </w: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Carry forward tax losses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63,668</w:t>
            </w: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50,675</w:t>
            </w: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Provision for pending vacations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32,370</w:t>
            </w: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31,724</w:t>
            </w: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Depreciation of improvements for leased premises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20,436</w:t>
            </w: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23,762</w:t>
            </w: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Unrealized losses due to valuation of investments at fair value through other comprehensive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5,837</w:t>
            </w:r>
          </w:p>
        </w:tc>
        <w:tc>
          <w:tcPr>
            <w:tcW w:w="100" w:type="dxa"/>
            <w:vAlign w:val="bottom"/>
          </w:tcPr>
          <w:p>
            <w:pPr>
              <w:spacing w:after="0"/>
              <w:rPr>
                <w:sz w:val="15"/>
                <w:szCs w:val="15"/>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5,160</w:t>
            </w: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Provision of Stock awards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13,821</w:t>
            </w: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45,510</w:t>
            </w: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Unrealized losses due to valuation of investments at fair value through other comprehensive income</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39,364</w:t>
            </w: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71,214</w:t>
            </w: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Unrealized gain from valuation of fair value hedging derivatives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8,246</w:t>
            </w:r>
          </w:p>
        </w:tc>
        <w:tc>
          <w:tcPr>
            <w:tcW w:w="0" w:type="dxa"/>
            <w:vAlign w:val="bottom"/>
          </w:tcPr>
          <w:p>
            <w:pPr>
              <w:spacing w:after="0"/>
              <w:rPr>
                <w:sz w:val="1"/>
                <w:szCs w:val="1"/>
                <w:color w:val="auto"/>
              </w:rPr>
            </w:pPr>
          </w:p>
        </w:tc>
      </w:tr>
      <w:tr>
        <w:trPr>
          <w:trHeight w:val="215"/>
        </w:trPr>
        <w:tc>
          <w:tcPr>
            <w:tcW w:w="8300" w:type="dxa"/>
            <w:vAlign w:val="bottom"/>
          </w:tcPr>
          <w:p>
            <w:pPr>
              <w:ind w:left="880"/>
              <w:spacing w:after="0"/>
              <w:rPr>
                <w:sz w:val="20"/>
                <w:szCs w:val="20"/>
                <w:color w:val="auto"/>
              </w:rPr>
            </w:pPr>
            <w:r>
              <w:rPr>
                <w:rFonts w:ascii="Arial" w:cs="Arial" w:eastAsia="Arial" w:hAnsi="Arial"/>
                <w:sz w:val="16"/>
                <w:szCs w:val="16"/>
                <w:color w:val="auto"/>
              </w:rPr>
              <w:t>Others</w:t>
            </w:r>
          </w:p>
        </w:tc>
        <w:tc>
          <w:tcPr>
            <w:tcW w:w="1120" w:type="dxa"/>
            <w:vAlign w:val="bottom"/>
          </w:tcPr>
          <w:p>
            <w:pPr>
              <w:jc w:val="right"/>
              <w:spacing w:after="0"/>
              <w:rPr>
                <w:sz w:val="20"/>
                <w:szCs w:val="20"/>
                <w:color w:val="auto"/>
              </w:rPr>
            </w:pPr>
            <w:r>
              <w:rPr>
                <w:rFonts w:ascii="Arial" w:cs="Arial" w:eastAsia="Arial" w:hAnsi="Arial"/>
                <w:sz w:val="16"/>
                <w:szCs w:val="16"/>
                <w:color w:val="auto"/>
              </w:rPr>
              <w:t>209,491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120,239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8300" w:type="dxa"/>
            <w:vAlign w:val="bottom"/>
          </w:tcPr>
          <w:p>
            <w:pPr>
              <w:ind w:left="880"/>
              <w:spacing w:after="0"/>
              <w:rPr>
                <w:sz w:val="20"/>
                <w:szCs w:val="20"/>
                <w:color w:val="auto"/>
              </w:rPr>
            </w:pPr>
            <w:r>
              <w:rPr>
                <w:rFonts w:ascii="Arial" w:cs="Arial" w:eastAsia="Arial" w:hAnsi="Arial"/>
                <w:sz w:val="16"/>
                <w:szCs w:val="16"/>
                <w:b w:val="1"/>
                <w:bCs w:val="1"/>
                <w:color w:val="auto"/>
              </w:rPr>
              <w:t>Deferred liability</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Intangibles, net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(176,271)</w:t>
            </w: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(253,696)</w:t>
            </w: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Adjustment for difference in exchange of Superintendencia Nacional de Aduanas y de Administración</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00" w:type="dxa"/>
            <w:vAlign w:val="bottom"/>
          </w:tcPr>
          <w:p>
            <w:pPr>
              <w:ind w:left="1020"/>
              <w:spacing w:after="0"/>
              <w:rPr>
                <w:sz w:val="20"/>
                <w:szCs w:val="20"/>
                <w:color w:val="auto"/>
              </w:rPr>
            </w:pPr>
            <w:r>
              <w:rPr>
                <w:rFonts w:ascii="Arial" w:cs="Arial" w:eastAsia="Arial" w:hAnsi="Arial"/>
                <w:sz w:val="16"/>
                <w:szCs w:val="16"/>
                <w:color w:val="auto"/>
              </w:rPr>
              <w:t>Tributaria (SUNAT) and SBS</w:t>
            </w:r>
          </w:p>
        </w:tc>
        <w:tc>
          <w:tcPr>
            <w:tcW w:w="1120" w:type="dxa"/>
            <w:vAlign w:val="bottom"/>
          </w:tcPr>
          <w:p>
            <w:pPr>
              <w:jc w:val="right"/>
              <w:spacing w:after="0"/>
              <w:rPr>
                <w:sz w:val="20"/>
                <w:szCs w:val="20"/>
                <w:color w:val="auto"/>
              </w:rPr>
            </w:pPr>
            <w:r>
              <w:rPr>
                <w:rFonts w:ascii="Arial" w:cs="Arial" w:eastAsia="Arial" w:hAnsi="Arial"/>
                <w:sz w:val="16"/>
                <w:szCs w:val="16"/>
                <w:color w:val="auto"/>
              </w:rPr>
              <w:t>(45,016)</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(61,858)</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Buildings depreciation</w:t>
            </w:r>
          </w:p>
        </w:tc>
        <w:tc>
          <w:tcPr>
            <w:tcW w:w="1120" w:type="dxa"/>
            <w:vAlign w:val="bottom"/>
          </w:tcPr>
          <w:p>
            <w:pPr>
              <w:jc w:val="right"/>
              <w:spacing w:after="0"/>
              <w:rPr>
                <w:sz w:val="20"/>
                <w:szCs w:val="20"/>
                <w:color w:val="auto"/>
              </w:rPr>
            </w:pPr>
            <w:r>
              <w:rPr>
                <w:rFonts w:ascii="Arial" w:cs="Arial" w:eastAsia="Arial" w:hAnsi="Arial"/>
                <w:sz w:val="16"/>
                <w:szCs w:val="16"/>
                <w:color w:val="auto"/>
              </w:rPr>
              <w:t>(63,839)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(64,462)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Deferred acquisitions costs</w:t>
            </w:r>
          </w:p>
        </w:tc>
        <w:tc>
          <w:tcPr>
            <w:tcW w:w="1120" w:type="dxa"/>
            <w:vAlign w:val="bottom"/>
          </w:tcPr>
          <w:p>
            <w:pPr>
              <w:jc w:val="right"/>
              <w:spacing w:after="0"/>
              <w:rPr>
                <w:sz w:val="20"/>
                <w:szCs w:val="20"/>
                <w:color w:val="auto"/>
              </w:rPr>
            </w:pPr>
            <w:r>
              <w:rPr>
                <w:rFonts w:ascii="Arial" w:cs="Arial" w:eastAsia="Arial" w:hAnsi="Arial"/>
                <w:sz w:val="16"/>
                <w:szCs w:val="16"/>
                <w:color w:val="auto"/>
              </w:rPr>
              <w:t>(16,070)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(16,537)</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Unrealized gain due to valuation of investments at fair value through other comprehensive income</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(3,743)</w:t>
            </w: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Buildings revaluation</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(2,552)</w:t>
            </w:r>
          </w:p>
        </w:tc>
        <w:tc>
          <w:tcPr>
            <w:tcW w:w="1140" w:type="dxa"/>
            <w:vAlign w:val="bottom"/>
          </w:tcPr>
          <w:p>
            <w:pPr>
              <w:jc w:val="right"/>
              <w:spacing w:after="0"/>
              <w:rPr>
                <w:sz w:val="20"/>
                <w:szCs w:val="20"/>
                <w:color w:val="auto"/>
              </w:rPr>
            </w:pPr>
            <w:r>
              <w:rPr>
                <w:rFonts w:ascii="Arial" w:cs="Arial" w:eastAsia="Arial" w:hAnsi="Arial"/>
                <w:sz w:val="16"/>
                <w:szCs w:val="16"/>
                <w:color w:val="auto"/>
              </w:rPr>
              <w:t>(3,113)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00" w:type="dxa"/>
            <w:vAlign w:val="bottom"/>
          </w:tcPr>
          <w:p>
            <w:pPr>
              <w:ind w:left="880"/>
              <w:spacing w:after="0"/>
              <w:rPr>
                <w:sz w:val="20"/>
                <w:szCs w:val="20"/>
                <w:color w:val="auto"/>
              </w:rPr>
            </w:pPr>
            <w:r>
              <w:rPr>
                <w:rFonts w:ascii="Arial" w:cs="Arial" w:eastAsia="Arial" w:hAnsi="Arial"/>
                <w:sz w:val="16"/>
                <w:szCs w:val="16"/>
                <w:color w:val="auto"/>
              </w:rPr>
              <w:t>Unrealized gain in valuation on cash flow hedge derivatives</w:t>
            </w:r>
          </w:p>
        </w:tc>
        <w:tc>
          <w:tcPr>
            <w:tcW w:w="1120" w:type="dxa"/>
            <w:vAlign w:val="bottom"/>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5"/>
                <w:szCs w:val="15"/>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(5,262)</w:t>
            </w:r>
          </w:p>
        </w:tc>
        <w:tc>
          <w:tcPr>
            <w:tcW w:w="0" w:type="dxa"/>
            <w:vAlign w:val="bottom"/>
          </w:tcPr>
          <w:p>
            <w:pPr>
              <w:spacing w:after="0"/>
              <w:rPr>
                <w:sz w:val="1"/>
                <w:szCs w:val="1"/>
                <w:color w:val="auto"/>
              </w:rPr>
            </w:pPr>
          </w:p>
        </w:tc>
      </w:tr>
      <w:tr>
        <w:trPr>
          <w:trHeight w:val="200"/>
        </w:trPr>
        <w:tc>
          <w:tcPr>
            <w:tcW w:w="8300" w:type="dxa"/>
            <w:vAlign w:val="bottom"/>
          </w:tcPr>
          <w:p>
            <w:pPr>
              <w:ind w:left="880"/>
              <w:spacing w:after="0"/>
              <w:rPr>
                <w:sz w:val="20"/>
                <w:szCs w:val="20"/>
                <w:color w:val="auto"/>
              </w:rPr>
            </w:pPr>
            <w:r>
              <w:rPr>
                <w:rFonts w:ascii="Arial" w:cs="Arial" w:eastAsia="Arial" w:hAnsi="Arial"/>
                <w:sz w:val="16"/>
                <w:szCs w:val="16"/>
                <w:color w:val="auto"/>
              </w:rPr>
              <w:t>Others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(48,389)</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(33,238)</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Total</w:t>
            </w: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1,182,195</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1,134,747</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1"/>
        </w:trPr>
        <w:tc>
          <w:tcPr>
            <w:tcW w:w="8300" w:type="dxa"/>
            <w:vAlign w:val="bottom"/>
          </w:tcPr>
          <w:p>
            <w:pPr>
              <w:ind w:left="5480"/>
              <w:spacing w:after="0"/>
              <w:rPr>
                <w:sz w:val="20"/>
                <w:szCs w:val="20"/>
                <w:color w:val="auto"/>
              </w:rPr>
            </w:pPr>
            <w:r>
              <w:rPr>
                <w:rFonts w:ascii="Arial" w:cs="Arial" w:eastAsia="Arial" w:hAnsi="Arial"/>
                <w:sz w:val="16"/>
                <w:szCs w:val="16"/>
                <w:color w:val="auto"/>
              </w:rPr>
              <w:t>116</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8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6" w:right="319" w:bottom="1440" w:gutter="0" w:footer="0" w:header="0"/>
        </w:sectPr>
      </w:pPr>
    </w:p>
    <w:bookmarkStart w:id="119" w:name="page120"/>
    <w:bookmarkEnd w:id="119"/>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200"/>
        </w:trPr>
        <w:tc>
          <w:tcPr>
            <w:tcW w:w="7420" w:type="dxa"/>
            <w:vAlign w:val="bottom"/>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Deferred income tax liability, net</w:t>
            </w:r>
          </w:p>
        </w:tc>
        <w:tc>
          <w:tcPr>
            <w:tcW w:w="112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4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b w:val="1"/>
                <w:bCs w:val="1"/>
                <w:color w:val="auto"/>
              </w:rPr>
              <w:t>Deferred asset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color w:val="auto"/>
              </w:rPr>
              <w:t>Provision for sundry expenses and risks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12,395</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21,192</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color w:val="auto"/>
              </w:rPr>
              <w:t>Carry forward tax losses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19,757</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19,757</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color w:val="auto"/>
              </w:rPr>
              <w:t>Unrealized losses due to valuation of investments at fair value through other comprehensive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8,731</w:t>
            </w: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41,146</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color w:val="auto"/>
              </w:rPr>
              <w:t>Provision for workers profit sharing</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17,897</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12,911</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color w:val="auto"/>
              </w:rPr>
              <w:t>Deferred income from commissions on remuneration</w:t>
            </w:r>
          </w:p>
        </w:tc>
        <w:tc>
          <w:tcPr>
            <w:tcW w:w="1120" w:type="dxa"/>
            <w:vAlign w:val="bottom"/>
          </w:tcPr>
          <w:p>
            <w:pPr>
              <w:jc w:val="right"/>
              <w:spacing w:after="0"/>
              <w:rPr>
                <w:sz w:val="20"/>
                <w:szCs w:val="20"/>
                <w:color w:val="auto"/>
              </w:rPr>
            </w:pPr>
            <w:r>
              <w:rPr>
                <w:rFonts w:ascii="Arial" w:cs="Arial" w:eastAsia="Arial" w:hAnsi="Arial"/>
                <w:sz w:val="16"/>
                <w:szCs w:val="16"/>
                <w:color w:val="auto"/>
              </w:rPr>
              <w:t>5,274</w:t>
            </w: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4,992</w:t>
            </w:r>
          </w:p>
        </w:tc>
        <w:tc>
          <w:tcPr>
            <w:tcW w:w="0" w:type="dxa"/>
            <w:vAlign w:val="bottom"/>
          </w:tcPr>
          <w:p>
            <w:pPr>
              <w:spacing w:after="0"/>
              <w:rPr>
                <w:sz w:val="1"/>
                <w:szCs w:val="1"/>
                <w:color w:val="auto"/>
              </w:rPr>
            </w:pPr>
          </w:p>
        </w:tc>
      </w:tr>
      <w:tr>
        <w:trPr>
          <w:trHeight w:val="215"/>
        </w:trPr>
        <w:tc>
          <w:tcPr>
            <w:tcW w:w="7420" w:type="dxa"/>
            <w:vAlign w:val="bottom"/>
          </w:tcPr>
          <w:p>
            <w:pPr>
              <w:spacing w:after="0"/>
              <w:rPr>
                <w:sz w:val="20"/>
                <w:szCs w:val="20"/>
                <w:color w:val="auto"/>
              </w:rPr>
            </w:pPr>
            <w:r>
              <w:rPr>
                <w:rFonts w:ascii="Arial" w:cs="Arial" w:eastAsia="Arial" w:hAnsi="Arial"/>
                <w:sz w:val="16"/>
                <w:szCs w:val="16"/>
                <w:color w:val="auto"/>
              </w:rPr>
              <w:t>Others</w:t>
            </w:r>
          </w:p>
        </w:tc>
        <w:tc>
          <w:tcPr>
            <w:tcW w:w="1120" w:type="dxa"/>
            <w:vAlign w:val="bottom"/>
          </w:tcPr>
          <w:p>
            <w:pPr>
              <w:jc w:val="right"/>
              <w:spacing w:after="0"/>
              <w:rPr>
                <w:sz w:val="20"/>
                <w:szCs w:val="20"/>
                <w:color w:val="auto"/>
              </w:rPr>
            </w:pPr>
            <w:r>
              <w:rPr>
                <w:rFonts w:ascii="Arial" w:cs="Arial" w:eastAsia="Arial" w:hAnsi="Arial"/>
                <w:sz w:val="16"/>
                <w:szCs w:val="16"/>
                <w:color w:val="auto"/>
              </w:rPr>
              <w:t>(16,564)</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10,270</w:t>
            </w:r>
          </w:p>
        </w:tc>
        <w:tc>
          <w:tcPr>
            <w:tcW w:w="0" w:type="dxa"/>
            <w:vAlign w:val="bottom"/>
          </w:tcPr>
          <w:p>
            <w:pPr>
              <w:spacing w:after="0"/>
              <w:rPr>
                <w:sz w:val="1"/>
                <w:szCs w:val="1"/>
                <w:color w:val="auto"/>
              </w:rPr>
            </w:pPr>
          </w:p>
        </w:tc>
      </w:tr>
      <w:tr>
        <w:trPr>
          <w:trHeight w:val="334"/>
        </w:trPr>
        <w:tc>
          <w:tcPr>
            <w:tcW w:w="7420" w:type="dxa"/>
            <w:vAlign w:val="bottom"/>
          </w:tcPr>
          <w:p>
            <w:pPr>
              <w:spacing w:after="0"/>
              <w:rPr>
                <w:sz w:val="20"/>
                <w:szCs w:val="20"/>
                <w:color w:val="auto"/>
              </w:rPr>
            </w:pPr>
            <w:r>
              <w:rPr>
                <w:rFonts w:ascii="Arial" w:cs="Arial" w:eastAsia="Arial" w:hAnsi="Arial"/>
                <w:sz w:val="16"/>
                <w:szCs w:val="16"/>
                <w:b w:val="1"/>
                <w:bCs w:val="1"/>
                <w:color w:val="auto"/>
              </w:rPr>
              <w:t>Deferred liability</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color w:val="auto"/>
              </w:rPr>
              <w:t>Intangibles, net</w:t>
            </w:r>
          </w:p>
        </w:tc>
        <w:tc>
          <w:tcPr>
            <w:tcW w:w="1120" w:type="dxa"/>
            <w:vAlign w:val="bottom"/>
          </w:tcPr>
          <w:p>
            <w:pPr>
              <w:jc w:val="right"/>
              <w:spacing w:after="0"/>
              <w:rPr>
                <w:sz w:val="20"/>
                <w:szCs w:val="20"/>
                <w:color w:val="auto"/>
              </w:rPr>
            </w:pPr>
            <w:r>
              <w:rPr>
                <w:rFonts w:ascii="Arial" w:cs="Arial" w:eastAsia="Arial" w:hAnsi="Arial"/>
                <w:sz w:val="16"/>
                <w:szCs w:val="16"/>
                <w:color w:val="auto"/>
              </w:rPr>
              <w:t>(36,569)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(37,315)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color w:val="auto"/>
              </w:rPr>
              <w:t>Gain generated in the reorganization of Pacífico EPS</w:t>
            </w:r>
          </w:p>
        </w:tc>
        <w:tc>
          <w:tcPr>
            <w:tcW w:w="1120" w:type="dxa"/>
            <w:vAlign w:val="bottom"/>
          </w:tcPr>
          <w:p>
            <w:pPr>
              <w:jc w:val="right"/>
              <w:spacing w:after="0"/>
              <w:rPr>
                <w:sz w:val="20"/>
                <w:szCs w:val="20"/>
                <w:color w:val="auto"/>
              </w:rPr>
            </w:pPr>
            <w:r>
              <w:rPr>
                <w:rFonts w:ascii="Arial" w:cs="Arial" w:eastAsia="Arial" w:hAnsi="Arial"/>
                <w:sz w:val="16"/>
                <w:szCs w:val="16"/>
                <w:color w:val="auto"/>
              </w:rPr>
              <w:t>(39,515)</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(39,515)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color w:val="auto"/>
              </w:rPr>
              <w:t>Deferred acquisitions costs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(8,186)</w:t>
            </w:r>
          </w:p>
        </w:tc>
        <w:tc>
          <w:tcPr>
            <w:tcW w:w="1140" w:type="dxa"/>
            <w:vAlign w:val="bottom"/>
          </w:tcPr>
          <w:p>
            <w:pPr>
              <w:jc w:val="right"/>
              <w:spacing w:after="0"/>
              <w:rPr>
                <w:sz w:val="20"/>
                <w:szCs w:val="20"/>
                <w:color w:val="auto"/>
              </w:rPr>
            </w:pPr>
            <w:r>
              <w:rPr>
                <w:rFonts w:ascii="Arial" w:cs="Arial" w:eastAsia="Arial" w:hAnsi="Arial"/>
                <w:sz w:val="16"/>
                <w:szCs w:val="16"/>
                <w:color w:val="auto"/>
              </w:rPr>
              <w:t>(22,991)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color w:val="auto"/>
              </w:rPr>
              <w:t>Unrealized gain due to valuation of investments at fair value through other comprehensive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(13,846)</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color w:val="auto"/>
              </w:rPr>
              <w:t>Reserve for reinstatement premium costs and deductibles</w:t>
            </w:r>
          </w:p>
        </w:tc>
        <w:tc>
          <w:tcPr>
            <w:tcW w:w="1120" w:type="dxa"/>
            <w:vAlign w:val="bottom"/>
          </w:tcPr>
          <w:p>
            <w:pPr>
              <w:jc w:val="right"/>
              <w:spacing w:after="0"/>
              <w:rPr>
                <w:sz w:val="20"/>
                <w:szCs w:val="20"/>
                <w:color w:val="auto"/>
              </w:rPr>
            </w:pPr>
            <w:r>
              <w:rPr>
                <w:rFonts w:ascii="Arial" w:cs="Arial" w:eastAsia="Arial" w:hAnsi="Arial"/>
                <w:sz w:val="16"/>
                <w:szCs w:val="16"/>
                <w:color w:val="auto"/>
              </w:rPr>
              <w:t>(10,942)</w:t>
            </w: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(11,251)</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color w:val="auto"/>
              </w:rPr>
              <w:t>Leasing operations related to loans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(3,038)</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(3,224)</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Arial" w:cs="Arial" w:eastAsia="Arial" w:hAnsi="Arial"/>
                <w:sz w:val="16"/>
                <w:szCs w:val="16"/>
                <w:color w:val="auto"/>
              </w:rPr>
              <w:t>Buildings revaluation</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(3,296)</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(3,296)</w:t>
            </w:r>
          </w:p>
        </w:tc>
        <w:tc>
          <w:tcPr>
            <w:tcW w:w="0" w:type="dxa"/>
            <w:vAlign w:val="bottom"/>
          </w:tcPr>
          <w:p>
            <w:pPr>
              <w:spacing w:after="0"/>
              <w:rPr>
                <w:sz w:val="1"/>
                <w:szCs w:val="1"/>
                <w:color w:val="auto"/>
              </w:rPr>
            </w:pPr>
          </w:p>
        </w:tc>
      </w:tr>
      <w:tr>
        <w:trPr>
          <w:trHeight w:val="200"/>
        </w:trPr>
        <w:tc>
          <w:tcPr>
            <w:tcW w:w="7420" w:type="dxa"/>
            <w:vAlign w:val="bottom"/>
          </w:tcPr>
          <w:p>
            <w:pPr>
              <w:spacing w:after="0"/>
              <w:rPr>
                <w:sz w:val="20"/>
                <w:szCs w:val="20"/>
                <w:color w:val="auto"/>
              </w:rPr>
            </w:pPr>
            <w:r>
              <w:rPr>
                <w:rFonts w:ascii="Arial" w:cs="Arial" w:eastAsia="Arial" w:hAnsi="Arial"/>
                <w:sz w:val="16"/>
                <w:szCs w:val="16"/>
                <w:color w:val="auto"/>
              </w:rPr>
              <w:t>Others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(39,615)</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42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(107,517)</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(75,005)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880" w:right="60"/>
        <w:spacing w:after="0" w:line="252" w:lineRule="auto"/>
        <w:rPr>
          <w:sz w:val="20"/>
          <w:szCs w:val="20"/>
          <w:color w:val="auto"/>
        </w:rPr>
      </w:pPr>
      <w:r>
        <w:rPr>
          <w:rFonts w:ascii="Arial" w:cs="Arial" w:eastAsia="Arial" w:hAnsi="Arial"/>
          <w:sz w:val="16"/>
          <w:szCs w:val="16"/>
          <w:color w:val="auto"/>
        </w:rPr>
        <w:t>As of December 31, 2023, the Group has a deferred income tax asset of S/36.3 million corresponding to unrealized gains and losses generated by investments at fair value with changes in other comprehensive income and cash flow hedges. As of December 31, 2022, the Group has a deferred income tax asset of S/114.0 million corresponding to unrealized gains and losses generated by investments at fair value with changes in other comprehensive income and cash flow hedges.</w:t>
      </w:r>
    </w:p>
    <w:p>
      <w:pPr>
        <w:spacing w:after="0" w:line="144" w:lineRule="exact"/>
        <w:rPr>
          <w:sz w:val="20"/>
          <w:szCs w:val="20"/>
          <w:color w:val="auto"/>
        </w:rPr>
      </w:pPr>
    </w:p>
    <w:p>
      <w:pPr>
        <w:ind w:left="880" w:right="180" w:hanging="296"/>
        <w:spacing w:after="0" w:line="280" w:lineRule="auto"/>
        <w:tabs>
          <w:tab w:leader="none" w:pos="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Peruvian Tax Authority has the right to review and, if necessary, amend the annual income tax returns filed by Peruvian subsidiaries up to four years after their filing date. Income tax returns of the major subsidiaries open for examination by the tax authorities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ind w:left="880"/>
              <w:spacing w:after="0"/>
              <w:rPr>
                <w:sz w:val="20"/>
                <w:szCs w:val="20"/>
                <w:color w:val="auto"/>
              </w:rPr>
            </w:pPr>
            <w:r>
              <w:rPr>
                <w:rFonts w:ascii="Arial" w:cs="Arial" w:eastAsia="Arial" w:hAnsi="Arial"/>
                <w:sz w:val="16"/>
                <w:szCs w:val="16"/>
                <w:color w:val="auto"/>
              </w:rPr>
              <w:t>Banco de Crédito del Perú S.A.</w:t>
            </w:r>
          </w:p>
        </w:tc>
        <w:tc>
          <w:tcPr>
            <w:tcW w:w="3560" w:type="dxa"/>
            <w:vAlign w:val="bottom"/>
          </w:tcPr>
          <w:p>
            <w:pPr>
              <w:jc w:val="right"/>
              <w:ind w:right="519"/>
              <w:spacing w:after="0"/>
              <w:rPr>
                <w:sz w:val="20"/>
                <w:szCs w:val="20"/>
                <w:color w:val="auto"/>
              </w:rPr>
            </w:pPr>
            <w:r>
              <w:rPr>
                <w:rFonts w:ascii="Arial" w:cs="Arial" w:eastAsia="Arial" w:hAnsi="Arial"/>
                <w:sz w:val="16"/>
                <w:szCs w:val="16"/>
                <w:color w:val="auto"/>
              </w:rPr>
              <w:t>2016, 2017, 2020 to 2023</w:t>
            </w:r>
          </w:p>
        </w:tc>
      </w:tr>
      <w:tr>
        <w:trPr>
          <w:trHeight w:val="183"/>
        </w:trPr>
        <w:tc>
          <w:tcPr>
            <w:tcW w:w="7700" w:type="dxa"/>
            <w:vAlign w:val="bottom"/>
          </w:tcPr>
          <w:p>
            <w:pPr>
              <w:ind w:left="880"/>
              <w:spacing w:after="0"/>
              <w:rPr>
                <w:sz w:val="20"/>
                <w:szCs w:val="20"/>
                <w:color w:val="auto"/>
              </w:rPr>
            </w:pPr>
            <w:r>
              <w:rPr>
                <w:rFonts w:ascii="Arial" w:cs="Arial" w:eastAsia="Arial" w:hAnsi="Arial"/>
                <w:sz w:val="16"/>
                <w:szCs w:val="16"/>
                <w:color w:val="auto"/>
              </w:rPr>
              <w:t>Mibanco</w:t>
            </w:r>
          </w:p>
        </w:tc>
        <w:tc>
          <w:tcPr>
            <w:tcW w:w="3560" w:type="dxa"/>
            <w:vAlign w:val="bottom"/>
          </w:tcPr>
          <w:p>
            <w:pPr>
              <w:jc w:val="right"/>
              <w:ind w:right="519"/>
              <w:spacing w:after="0"/>
              <w:rPr>
                <w:sz w:val="20"/>
                <w:szCs w:val="20"/>
                <w:color w:val="auto"/>
              </w:rPr>
            </w:pPr>
            <w:r>
              <w:rPr>
                <w:rFonts w:ascii="Arial" w:cs="Arial" w:eastAsia="Arial" w:hAnsi="Arial"/>
                <w:sz w:val="16"/>
                <w:szCs w:val="16"/>
                <w:color w:val="auto"/>
              </w:rPr>
              <w:t>2018, 2021 to 2023</w:t>
            </w:r>
          </w:p>
        </w:tc>
      </w:tr>
      <w:tr>
        <w:trPr>
          <w:trHeight w:val="183"/>
        </w:trPr>
        <w:tc>
          <w:tcPr>
            <w:tcW w:w="7700" w:type="dxa"/>
            <w:vAlign w:val="bottom"/>
          </w:tcPr>
          <w:p>
            <w:pPr>
              <w:ind w:left="880"/>
              <w:spacing w:after="0"/>
              <w:rPr>
                <w:sz w:val="20"/>
                <w:szCs w:val="20"/>
                <w:color w:val="auto"/>
              </w:rPr>
            </w:pPr>
            <w:r>
              <w:rPr>
                <w:rFonts w:ascii="Arial" w:cs="Arial" w:eastAsia="Arial" w:hAnsi="Arial"/>
                <w:sz w:val="16"/>
                <w:szCs w:val="16"/>
                <w:color w:val="auto"/>
              </w:rPr>
              <w:t>Pacífico Compañía de Seguros y Reaseguros</w:t>
            </w:r>
          </w:p>
        </w:tc>
        <w:tc>
          <w:tcPr>
            <w:tcW w:w="3560" w:type="dxa"/>
            <w:vAlign w:val="bottom"/>
          </w:tcPr>
          <w:p>
            <w:pPr>
              <w:jc w:val="right"/>
              <w:ind w:right="519"/>
              <w:spacing w:after="0"/>
              <w:rPr>
                <w:sz w:val="20"/>
                <w:szCs w:val="20"/>
                <w:color w:val="auto"/>
              </w:rPr>
            </w:pPr>
            <w:r>
              <w:rPr>
                <w:rFonts w:ascii="Arial" w:cs="Arial" w:eastAsia="Arial" w:hAnsi="Arial"/>
                <w:sz w:val="16"/>
                <w:szCs w:val="16"/>
                <w:color w:val="auto"/>
              </w:rPr>
              <w:t>2018 to 2023</w:t>
            </w:r>
          </w:p>
        </w:tc>
      </w:tr>
      <w:tr>
        <w:trPr>
          <w:trHeight w:val="183"/>
        </w:trPr>
        <w:tc>
          <w:tcPr>
            <w:tcW w:w="7700" w:type="dxa"/>
            <w:vAlign w:val="bottom"/>
          </w:tcPr>
          <w:p>
            <w:pPr>
              <w:ind w:left="880"/>
              <w:spacing w:after="0"/>
              <w:rPr>
                <w:sz w:val="20"/>
                <w:szCs w:val="20"/>
                <w:color w:val="auto"/>
              </w:rPr>
            </w:pPr>
            <w:r>
              <w:rPr>
                <w:rFonts w:ascii="Arial" w:cs="Arial" w:eastAsia="Arial" w:hAnsi="Arial"/>
                <w:sz w:val="16"/>
                <w:szCs w:val="16"/>
                <w:color w:val="auto"/>
              </w:rPr>
              <w:t>Credicorp Capital Servicios Financieros</w:t>
            </w:r>
          </w:p>
        </w:tc>
        <w:tc>
          <w:tcPr>
            <w:tcW w:w="3560" w:type="dxa"/>
            <w:vAlign w:val="bottom"/>
          </w:tcPr>
          <w:p>
            <w:pPr>
              <w:jc w:val="right"/>
              <w:ind w:right="519"/>
              <w:spacing w:after="0"/>
              <w:rPr>
                <w:sz w:val="20"/>
                <w:szCs w:val="20"/>
                <w:color w:val="auto"/>
              </w:rPr>
            </w:pPr>
            <w:r>
              <w:rPr>
                <w:rFonts w:ascii="Arial" w:cs="Arial" w:eastAsia="Arial" w:hAnsi="Arial"/>
                <w:sz w:val="16"/>
                <w:szCs w:val="16"/>
                <w:color w:val="auto"/>
              </w:rPr>
              <w:t>2018 to 2023</w:t>
            </w:r>
          </w:p>
        </w:tc>
      </w:tr>
      <w:tr>
        <w:trPr>
          <w:trHeight w:val="183"/>
        </w:trPr>
        <w:tc>
          <w:tcPr>
            <w:tcW w:w="7700" w:type="dxa"/>
            <w:vAlign w:val="bottom"/>
          </w:tcPr>
          <w:p>
            <w:pPr>
              <w:ind w:left="880"/>
              <w:spacing w:after="0"/>
              <w:rPr>
                <w:sz w:val="20"/>
                <w:szCs w:val="20"/>
                <w:color w:val="auto"/>
              </w:rPr>
            </w:pPr>
            <w:r>
              <w:rPr>
                <w:rFonts w:ascii="Arial" w:cs="Arial" w:eastAsia="Arial" w:hAnsi="Arial"/>
                <w:sz w:val="16"/>
                <w:szCs w:val="16"/>
                <w:color w:val="auto"/>
              </w:rPr>
              <w:t>Credicorp Capital Perú</w:t>
            </w:r>
          </w:p>
        </w:tc>
        <w:tc>
          <w:tcPr>
            <w:tcW w:w="3560" w:type="dxa"/>
            <w:vAlign w:val="bottom"/>
          </w:tcPr>
          <w:p>
            <w:pPr>
              <w:jc w:val="right"/>
              <w:ind w:right="519"/>
              <w:spacing w:after="0"/>
              <w:rPr>
                <w:sz w:val="20"/>
                <w:szCs w:val="20"/>
                <w:color w:val="auto"/>
              </w:rPr>
            </w:pPr>
            <w:r>
              <w:rPr>
                <w:rFonts w:ascii="Arial" w:cs="Arial" w:eastAsia="Arial" w:hAnsi="Arial"/>
                <w:sz w:val="16"/>
                <w:szCs w:val="16"/>
                <w:color w:val="auto"/>
              </w:rPr>
              <w:t>2018 to 2023</w:t>
            </w:r>
          </w:p>
        </w:tc>
      </w:tr>
      <w:tr>
        <w:trPr>
          <w:trHeight w:val="183"/>
        </w:trPr>
        <w:tc>
          <w:tcPr>
            <w:tcW w:w="7700" w:type="dxa"/>
            <w:vAlign w:val="bottom"/>
          </w:tcPr>
          <w:p>
            <w:pPr>
              <w:ind w:left="880"/>
              <w:spacing w:after="0"/>
              <w:rPr>
                <w:sz w:val="20"/>
                <w:szCs w:val="20"/>
                <w:color w:val="auto"/>
              </w:rPr>
            </w:pPr>
            <w:r>
              <w:rPr>
                <w:rFonts w:ascii="Arial" w:cs="Arial" w:eastAsia="Arial" w:hAnsi="Arial"/>
                <w:sz w:val="16"/>
                <w:szCs w:val="16"/>
                <w:color w:val="auto"/>
              </w:rPr>
              <w:t>Credicorp Capital Holding Perú S.A.A.</w:t>
            </w:r>
          </w:p>
        </w:tc>
        <w:tc>
          <w:tcPr>
            <w:tcW w:w="3560" w:type="dxa"/>
            <w:vAlign w:val="bottom"/>
          </w:tcPr>
          <w:p>
            <w:pPr>
              <w:jc w:val="right"/>
              <w:ind w:right="519"/>
              <w:spacing w:after="0"/>
              <w:rPr>
                <w:sz w:val="20"/>
                <w:szCs w:val="20"/>
                <w:color w:val="auto"/>
              </w:rPr>
            </w:pPr>
            <w:r>
              <w:rPr>
                <w:rFonts w:ascii="Arial" w:cs="Arial" w:eastAsia="Arial" w:hAnsi="Arial"/>
                <w:sz w:val="16"/>
                <w:szCs w:val="16"/>
                <w:color w:val="auto"/>
              </w:rPr>
              <w:t>2018 to 2023</w:t>
            </w:r>
          </w:p>
        </w:tc>
      </w:tr>
      <w:tr>
        <w:trPr>
          <w:trHeight w:val="215"/>
        </w:trPr>
        <w:tc>
          <w:tcPr>
            <w:tcW w:w="7700" w:type="dxa"/>
            <w:vAlign w:val="bottom"/>
          </w:tcPr>
          <w:p>
            <w:pPr>
              <w:ind w:left="880"/>
              <w:spacing w:after="0"/>
              <w:rPr>
                <w:sz w:val="20"/>
                <w:szCs w:val="20"/>
                <w:color w:val="auto"/>
              </w:rPr>
            </w:pPr>
            <w:r>
              <w:rPr>
                <w:rFonts w:ascii="Arial" w:cs="Arial" w:eastAsia="Arial" w:hAnsi="Arial"/>
                <w:sz w:val="16"/>
                <w:szCs w:val="16"/>
                <w:color w:val="auto"/>
              </w:rPr>
              <w:t>Grupo Credito</w:t>
            </w:r>
          </w:p>
        </w:tc>
        <w:tc>
          <w:tcPr>
            <w:tcW w:w="3560" w:type="dxa"/>
            <w:vAlign w:val="bottom"/>
          </w:tcPr>
          <w:p>
            <w:pPr>
              <w:jc w:val="right"/>
              <w:ind w:right="519"/>
              <w:spacing w:after="0"/>
              <w:rPr>
                <w:sz w:val="20"/>
                <w:szCs w:val="20"/>
                <w:color w:val="auto"/>
              </w:rPr>
            </w:pPr>
            <w:r>
              <w:rPr>
                <w:rFonts w:ascii="Arial" w:cs="Arial" w:eastAsia="Arial" w:hAnsi="Arial"/>
                <w:sz w:val="16"/>
                <w:szCs w:val="16"/>
                <w:color w:val="auto"/>
              </w:rPr>
              <w:t>2018 to 2023</w:t>
            </w:r>
          </w:p>
        </w:tc>
      </w:tr>
      <w:tr>
        <w:trPr>
          <w:trHeight w:val="334"/>
        </w:trPr>
        <w:tc>
          <w:tcPr>
            <w:tcW w:w="7700" w:type="dxa"/>
            <w:vAlign w:val="bottom"/>
          </w:tcPr>
          <w:p>
            <w:pPr>
              <w:ind w:left="880"/>
              <w:spacing w:after="0"/>
              <w:rPr>
                <w:sz w:val="20"/>
                <w:szCs w:val="20"/>
                <w:color w:val="auto"/>
              </w:rPr>
            </w:pPr>
            <w:r>
              <w:rPr>
                <w:rFonts w:ascii="Arial" w:cs="Arial" w:eastAsia="Arial" w:hAnsi="Arial"/>
                <w:sz w:val="16"/>
                <w:szCs w:val="16"/>
                <w:color w:val="auto"/>
              </w:rPr>
              <w:t>It is worth mentioning that the Tax Authority is auditing the sworn declaration of:</w:t>
            </w:r>
          </w:p>
        </w:tc>
        <w:tc>
          <w:tcPr>
            <w:tcW w:w="3560" w:type="dxa"/>
            <w:vAlign w:val="bottom"/>
          </w:tcPr>
          <w:p>
            <w:pPr>
              <w:spacing w:after="0"/>
              <w:rPr>
                <w:sz w:val="24"/>
                <w:szCs w:val="24"/>
                <w:color w:val="auto"/>
              </w:rPr>
            </w:pPr>
          </w:p>
        </w:tc>
      </w:tr>
      <w:tr>
        <w:trPr>
          <w:trHeight w:val="183"/>
        </w:trPr>
        <w:tc>
          <w:tcPr>
            <w:tcW w:w="7700" w:type="dxa"/>
            <w:vAlign w:val="bottom"/>
          </w:tcPr>
          <w:p>
            <w:pPr>
              <w:ind w:left="880"/>
              <w:spacing w:after="0"/>
              <w:rPr>
                <w:sz w:val="20"/>
                <w:szCs w:val="20"/>
                <w:color w:val="auto"/>
              </w:rPr>
            </w:pPr>
            <w:r>
              <w:rPr>
                <w:rFonts w:ascii="Arial" w:cs="Arial" w:eastAsia="Arial" w:hAnsi="Arial"/>
                <w:sz w:val="16"/>
                <w:szCs w:val="16"/>
                <w:color w:val="auto"/>
              </w:rPr>
              <w:t>Banco de Crédito del Perú</w:t>
            </w:r>
          </w:p>
        </w:tc>
        <w:tc>
          <w:tcPr>
            <w:tcW w:w="3560" w:type="dxa"/>
            <w:vAlign w:val="bottom"/>
          </w:tcPr>
          <w:p>
            <w:pPr>
              <w:jc w:val="right"/>
              <w:ind w:right="519"/>
              <w:spacing w:after="0"/>
              <w:rPr>
                <w:sz w:val="20"/>
                <w:szCs w:val="20"/>
                <w:color w:val="auto"/>
              </w:rPr>
            </w:pPr>
            <w:r>
              <w:rPr>
                <w:rFonts w:ascii="Arial" w:cs="Arial" w:eastAsia="Arial" w:hAnsi="Arial"/>
                <w:sz w:val="16"/>
                <w:szCs w:val="16"/>
                <w:color w:val="auto"/>
              </w:rPr>
              <w:t>2019</w:t>
            </w:r>
          </w:p>
        </w:tc>
      </w:tr>
      <w:tr>
        <w:trPr>
          <w:trHeight w:val="183"/>
        </w:trPr>
        <w:tc>
          <w:tcPr>
            <w:tcW w:w="7700" w:type="dxa"/>
            <w:vAlign w:val="bottom"/>
          </w:tcPr>
          <w:p>
            <w:pPr>
              <w:ind w:left="880"/>
              <w:spacing w:after="0"/>
              <w:rPr>
                <w:sz w:val="20"/>
                <w:szCs w:val="20"/>
                <w:color w:val="auto"/>
              </w:rPr>
            </w:pPr>
            <w:r>
              <w:rPr>
                <w:rFonts w:ascii="Arial" w:cs="Arial" w:eastAsia="Arial" w:hAnsi="Arial"/>
                <w:sz w:val="16"/>
                <w:szCs w:val="16"/>
                <w:color w:val="auto"/>
              </w:rPr>
              <w:t>Mibanco</w:t>
            </w:r>
          </w:p>
        </w:tc>
        <w:tc>
          <w:tcPr>
            <w:tcW w:w="3560" w:type="dxa"/>
            <w:vAlign w:val="bottom"/>
          </w:tcPr>
          <w:p>
            <w:pPr>
              <w:jc w:val="right"/>
              <w:ind w:right="519"/>
              <w:spacing w:after="0"/>
              <w:rPr>
                <w:sz w:val="20"/>
                <w:szCs w:val="20"/>
                <w:color w:val="auto"/>
              </w:rPr>
            </w:pPr>
            <w:r>
              <w:rPr>
                <w:rFonts w:ascii="Arial" w:cs="Arial" w:eastAsia="Arial" w:hAnsi="Arial"/>
                <w:sz w:val="16"/>
                <w:szCs w:val="16"/>
                <w:color w:val="auto"/>
              </w:rPr>
              <w:t>2021</w:t>
            </w:r>
          </w:p>
        </w:tc>
      </w:tr>
      <w:tr>
        <w:trPr>
          <w:trHeight w:val="215"/>
        </w:trPr>
        <w:tc>
          <w:tcPr>
            <w:tcW w:w="7700" w:type="dxa"/>
            <w:vAlign w:val="bottom"/>
          </w:tcPr>
          <w:p>
            <w:pPr>
              <w:ind w:left="880"/>
              <w:spacing w:after="0"/>
              <w:rPr>
                <w:sz w:val="20"/>
                <w:szCs w:val="20"/>
                <w:color w:val="auto"/>
              </w:rPr>
            </w:pPr>
            <w:r>
              <w:rPr>
                <w:rFonts w:ascii="Arial" w:cs="Arial" w:eastAsia="Arial" w:hAnsi="Arial"/>
                <w:sz w:val="16"/>
                <w:szCs w:val="16"/>
                <w:color w:val="auto"/>
              </w:rPr>
              <w:t>Grupo Crédito</w:t>
            </w:r>
          </w:p>
        </w:tc>
        <w:tc>
          <w:tcPr>
            <w:tcW w:w="3560" w:type="dxa"/>
            <w:vAlign w:val="bottom"/>
          </w:tcPr>
          <w:p>
            <w:pPr>
              <w:jc w:val="right"/>
              <w:ind w:right="519"/>
              <w:spacing w:after="0"/>
              <w:rPr>
                <w:sz w:val="20"/>
                <w:szCs w:val="20"/>
                <w:color w:val="auto"/>
              </w:rPr>
            </w:pPr>
            <w:r>
              <w:rPr>
                <w:rFonts w:ascii="Arial" w:cs="Arial" w:eastAsia="Arial" w:hAnsi="Arial"/>
                <w:sz w:val="16"/>
                <w:szCs w:val="16"/>
                <w:color w:val="auto"/>
              </w:rPr>
              <w:t>2017</w:t>
            </w:r>
          </w:p>
        </w:tc>
      </w:tr>
      <w:tr>
        <w:trPr>
          <w:trHeight w:val="709"/>
        </w:trPr>
        <w:tc>
          <w:tcPr>
            <w:tcW w:w="7700" w:type="dxa"/>
            <w:vAlign w:val="bottom"/>
          </w:tcPr>
          <w:p>
            <w:pPr>
              <w:ind w:left="5480"/>
              <w:spacing w:after="0"/>
              <w:rPr>
                <w:sz w:val="20"/>
                <w:szCs w:val="20"/>
                <w:color w:val="auto"/>
              </w:rPr>
            </w:pPr>
            <w:r>
              <w:rPr>
                <w:rFonts w:ascii="Arial" w:cs="Arial" w:eastAsia="Arial" w:hAnsi="Arial"/>
                <w:sz w:val="16"/>
                <w:szCs w:val="16"/>
                <w:color w:val="auto"/>
              </w:rPr>
              <w:t>117</w:t>
            </w:r>
          </w:p>
        </w:tc>
        <w:tc>
          <w:tcPr>
            <w:tcW w:w="3560" w:type="dxa"/>
            <w:vAlign w:val="bottom"/>
          </w:tcPr>
          <w:p>
            <w:pPr>
              <w:spacing w:after="0"/>
              <w:rPr>
                <w:sz w:val="24"/>
                <w:szCs w:val="24"/>
                <w:color w:val="auto"/>
              </w:rPr>
            </w:pPr>
          </w:p>
        </w:tc>
      </w:tr>
      <w:tr>
        <w:trPr>
          <w:trHeight w:val="38"/>
        </w:trPr>
        <w:tc>
          <w:tcPr>
            <w:tcW w:w="770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120" w:name="page121"/>
    <w:bookmarkEnd w:id="120"/>
    <w:p>
      <w:pPr>
        <w:ind w:left="296"/>
        <w:spacing w:after="0" w:line="252" w:lineRule="auto"/>
        <w:rPr>
          <w:sz w:val="20"/>
          <w:szCs w:val="20"/>
          <w:color w:val="auto"/>
        </w:rPr>
      </w:pPr>
      <w:r>
        <w:rPr>
          <w:rFonts w:ascii="Arial" w:cs="Arial" w:eastAsia="Arial" w:hAnsi="Arial"/>
          <w:sz w:val="16"/>
          <w:szCs w:val="16"/>
          <w:color w:val="auto"/>
        </w:rPr>
        <w:t>The Bolivian, Chilean and Colombian Tax Authorities have the power to review and, if applicable, make a new determination for the income tax the subsidiaries to Credicorp located in said countries, upon presentation of their Income Tax declarations. Additionally, in the case of Colombia, a period of 6 years was established for the taxpayers obliged to apply Transfer Prices or taxpayers who report tax losses. The annual income tax declarations pending examination by the overseas tax authorities are the following:</w:t>
      </w:r>
    </w:p>
    <w:p>
      <w:pPr>
        <w:spacing w:after="0" w:line="143" w:lineRule="exact"/>
        <w:rPr>
          <w:sz w:val="20"/>
          <w:szCs w:val="20"/>
          <w:color w:val="auto"/>
        </w:rPr>
      </w:pPr>
    </w:p>
    <w:tbl>
      <w:tblPr>
        <w:tblLayout w:type="fixed"/>
        <w:tblInd w:w="296" w:type="dxa"/>
        <w:tblCellMar>
          <w:top w:w="0" w:type="dxa"/>
          <w:left w:w="0" w:type="dxa"/>
          <w:bottom w:w="0" w:type="dxa"/>
          <w:right w:w="0" w:type="dxa"/>
        </w:tblCellMar>
      </w:tblPr>
      <w:tr>
        <w:trPr>
          <w:trHeight w:val="184"/>
        </w:trPr>
        <w:tc>
          <w:tcPr>
            <w:tcW w:w="5420" w:type="dxa"/>
            <w:vAlign w:val="bottom"/>
          </w:tcPr>
          <w:p>
            <w:pPr>
              <w:spacing w:after="0"/>
              <w:rPr>
                <w:sz w:val="20"/>
                <w:szCs w:val="20"/>
                <w:color w:val="auto"/>
              </w:rPr>
            </w:pPr>
            <w:r>
              <w:rPr>
                <w:rFonts w:ascii="Arial" w:cs="Arial" w:eastAsia="Arial" w:hAnsi="Arial"/>
                <w:sz w:val="16"/>
                <w:szCs w:val="16"/>
                <w:color w:val="auto"/>
              </w:rPr>
              <w:t>Banco de Crédito de Bolivia</w:t>
            </w:r>
          </w:p>
        </w:tc>
        <w:tc>
          <w:tcPr>
            <w:tcW w:w="4360" w:type="dxa"/>
            <w:vAlign w:val="bottom"/>
          </w:tcPr>
          <w:p>
            <w:pPr>
              <w:ind w:left="3420"/>
              <w:spacing w:after="0"/>
              <w:rPr>
                <w:sz w:val="20"/>
                <w:szCs w:val="20"/>
                <w:color w:val="auto"/>
              </w:rPr>
            </w:pPr>
            <w:r>
              <w:rPr>
                <w:rFonts w:ascii="Arial" w:cs="Arial" w:eastAsia="Arial" w:hAnsi="Arial"/>
                <w:sz w:val="16"/>
                <w:szCs w:val="16"/>
                <w:color w:val="auto"/>
                <w:w w:val="98"/>
              </w:rPr>
              <w:t>2015 to 2023</w:t>
            </w:r>
          </w:p>
        </w:tc>
      </w:tr>
      <w:tr>
        <w:trPr>
          <w:trHeight w:val="183"/>
        </w:trPr>
        <w:tc>
          <w:tcPr>
            <w:tcW w:w="5420" w:type="dxa"/>
            <w:vAlign w:val="bottom"/>
          </w:tcPr>
          <w:p>
            <w:pPr>
              <w:spacing w:after="0"/>
              <w:rPr>
                <w:sz w:val="20"/>
                <w:szCs w:val="20"/>
                <w:color w:val="auto"/>
              </w:rPr>
            </w:pPr>
            <w:r>
              <w:rPr>
                <w:rFonts w:ascii="Arial" w:cs="Arial" w:eastAsia="Arial" w:hAnsi="Arial"/>
                <w:sz w:val="16"/>
                <w:szCs w:val="16"/>
                <w:color w:val="auto"/>
              </w:rPr>
              <w:t>Credicorp Capital Colombia</w:t>
            </w:r>
          </w:p>
        </w:tc>
        <w:tc>
          <w:tcPr>
            <w:tcW w:w="4360" w:type="dxa"/>
            <w:vAlign w:val="bottom"/>
          </w:tcPr>
          <w:p>
            <w:pPr>
              <w:ind w:left="3420"/>
              <w:spacing w:after="0"/>
              <w:rPr>
                <w:sz w:val="20"/>
                <w:szCs w:val="20"/>
                <w:color w:val="auto"/>
              </w:rPr>
            </w:pPr>
            <w:r>
              <w:rPr>
                <w:rFonts w:ascii="Arial" w:cs="Arial" w:eastAsia="Arial" w:hAnsi="Arial"/>
                <w:sz w:val="16"/>
                <w:szCs w:val="16"/>
                <w:color w:val="auto"/>
                <w:w w:val="98"/>
              </w:rPr>
              <w:t>2017 to 2023</w:t>
            </w:r>
          </w:p>
        </w:tc>
      </w:tr>
      <w:tr>
        <w:trPr>
          <w:trHeight w:val="215"/>
        </w:trPr>
        <w:tc>
          <w:tcPr>
            <w:tcW w:w="5420" w:type="dxa"/>
            <w:vAlign w:val="bottom"/>
          </w:tcPr>
          <w:p>
            <w:pPr>
              <w:spacing w:after="0"/>
              <w:rPr>
                <w:sz w:val="20"/>
                <w:szCs w:val="20"/>
                <w:color w:val="auto"/>
              </w:rPr>
            </w:pPr>
            <w:r>
              <w:rPr>
                <w:rFonts w:ascii="Arial" w:cs="Arial" w:eastAsia="Arial" w:hAnsi="Arial"/>
                <w:sz w:val="16"/>
                <w:szCs w:val="16"/>
                <w:color w:val="auto"/>
              </w:rPr>
              <w:t>Mibanco Colombia</w:t>
            </w:r>
          </w:p>
        </w:tc>
        <w:tc>
          <w:tcPr>
            <w:tcW w:w="4360" w:type="dxa"/>
            <w:vAlign w:val="bottom"/>
          </w:tcPr>
          <w:p>
            <w:pPr>
              <w:ind w:left="3420"/>
              <w:spacing w:after="0"/>
              <w:rPr>
                <w:sz w:val="20"/>
                <w:szCs w:val="20"/>
                <w:color w:val="auto"/>
              </w:rPr>
            </w:pPr>
            <w:r>
              <w:rPr>
                <w:rFonts w:ascii="Arial" w:cs="Arial" w:eastAsia="Arial" w:hAnsi="Arial"/>
                <w:sz w:val="16"/>
                <w:szCs w:val="16"/>
                <w:color w:val="auto"/>
                <w:w w:val="98"/>
              </w:rPr>
              <w:t>2019 to 2023</w:t>
            </w:r>
          </w:p>
        </w:tc>
      </w:tr>
    </w:tbl>
    <w:p>
      <w:pPr>
        <w:spacing w:after="0" w:line="151" w:lineRule="exact"/>
        <w:rPr>
          <w:sz w:val="20"/>
          <w:szCs w:val="20"/>
          <w:color w:val="auto"/>
        </w:rPr>
      </w:pPr>
    </w:p>
    <w:p>
      <w:pPr>
        <w:ind w:left="296" w:right="40"/>
        <w:spacing w:after="0" w:line="249" w:lineRule="auto"/>
        <w:rPr>
          <w:sz w:val="20"/>
          <w:szCs w:val="20"/>
          <w:color w:val="auto"/>
        </w:rPr>
      </w:pPr>
      <w:r>
        <w:rPr>
          <w:rFonts w:ascii="Arial" w:cs="Arial" w:eastAsia="Arial" w:hAnsi="Arial"/>
          <w:sz w:val="16"/>
          <w:szCs w:val="16"/>
          <w:color w:val="auto"/>
        </w:rPr>
        <w:t>Since tax regulations are subject to interpretation by the different Tax Authorities where Credicorp’s subsidiaries are located, it is not possible to determine at the present date whether any significant additional liabilities may arise from any eventual tax examinations of the Credicorp’s subsidiaries. Any resulting unpaid taxes, tax penalties or interest that may arise will be recognized as expenses in the year in which they are determined. However, Management of Credicorp and its Subsidiaries and their legal counsel consider that any additional tax assessments would not have a significant impact on the consolidated financial statements as of December 31, 2023 and 2022.</w:t>
      </w:r>
    </w:p>
    <w:p>
      <w:pPr>
        <w:spacing w:after="0" w:line="145" w:lineRule="exact"/>
        <w:rPr>
          <w:sz w:val="20"/>
          <w:szCs w:val="20"/>
          <w:color w:val="auto"/>
        </w:rPr>
      </w:pPr>
    </w:p>
    <w:p>
      <w:pPr>
        <w:ind w:left="296" w:hanging="296"/>
        <w:spacing w:after="0"/>
        <w:tabs>
          <w:tab w:leader="none" w:pos="29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International Tax Reform—Pillar Two Model Rules – Amendments to IAS 12</w:t>
      </w:r>
    </w:p>
    <w:p>
      <w:pPr>
        <w:spacing w:after="0" w:line="182" w:lineRule="exact"/>
        <w:rPr>
          <w:rFonts w:ascii="Arial" w:cs="Arial" w:eastAsia="Arial" w:hAnsi="Arial"/>
          <w:sz w:val="16"/>
          <w:szCs w:val="16"/>
          <w:color w:val="auto"/>
        </w:rPr>
      </w:pPr>
    </w:p>
    <w:p>
      <w:pPr>
        <w:ind w:left="296"/>
        <w:spacing w:after="0"/>
        <w:rPr>
          <w:rFonts w:ascii="Arial" w:cs="Arial" w:eastAsia="Arial" w:hAnsi="Arial"/>
          <w:sz w:val="16"/>
          <w:szCs w:val="16"/>
          <w:color w:val="auto"/>
        </w:rPr>
      </w:pPr>
      <w:r>
        <w:rPr>
          <w:rFonts w:ascii="Arial" w:cs="Arial" w:eastAsia="Arial" w:hAnsi="Arial"/>
          <w:sz w:val="16"/>
          <w:szCs w:val="16"/>
          <w:color w:val="auto"/>
        </w:rPr>
        <w:t>The amendments to IAS 12 have been introduced in response to the OECD’s BEPS Pillar Two rules and include:</w:t>
      </w:r>
    </w:p>
    <w:p>
      <w:pPr>
        <w:spacing w:after="0" w:line="182" w:lineRule="exact"/>
        <w:rPr>
          <w:rFonts w:ascii="Arial" w:cs="Arial" w:eastAsia="Arial" w:hAnsi="Arial"/>
          <w:sz w:val="16"/>
          <w:szCs w:val="16"/>
          <w:color w:val="auto"/>
        </w:rPr>
      </w:pPr>
    </w:p>
    <w:p>
      <w:pPr>
        <w:ind w:left="596" w:right="240" w:hanging="303"/>
        <w:spacing w:after="0" w:line="280" w:lineRule="auto"/>
        <w:tabs>
          <w:tab w:leader="none" w:pos="596"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 mandatory temporary exception to the recognition and disclosure of deferred taxes arising from the jurisdictional implementation of the Pillar Two model rules; and</w:t>
      </w:r>
    </w:p>
    <w:p>
      <w:pPr>
        <w:spacing w:after="0" w:line="120" w:lineRule="exact"/>
        <w:rPr>
          <w:rFonts w:ascii="Arial" w:cs="Arial" w:eastAsia="Arial" w:hAnsi="Arial"/>
          <w:sz w:val="16"/>
          <w:szCs w:val="16"/>
          <w:color w:val="auto"/>
        </w:rPr>
      </w:pPr>
    </w:p>
    <w:p>
      <w:pPr>
        <w:ind w:left="596" w:right="220" w:hanging="303"/>
        <w:spacing w:after="0" w:line="280" w:lineRule="auto"/>
        <w:tabs>
          <w:tab w:leader="none" w:pos="596" w:val="left"/>
        </w:tabs>
        <w:numPr>
          <w:ilvl w:val="1"/>
          <w:numId w:val="138"/>
        </w:numPr>
        <w:rPr>
          <w:rFonts w:ascii="Arial" w:cs="Arial" w:eastAsia="Arial" w:hAnsi="Arial"/>
          <w:sz w:val="16"/>
          <w:szCs w:val="16"/>
          <w:color w:val="auto"/>
        </w:rPr>
      </w:pPr>
      <w:r>
        <w:rPr>
          <w:rFonts w:ascii="Arial" w:cs="Arial" w:eastAsia="Arial" w:hAnsi="Arial"/>
          <w:sz w:val="16"/>
          <w:szCs w:val="16"/>
          <w:color w:val="auto"/>
        </w:rPr>
        <w:t>Disclosure requirements for affected entities to help users of the financial statements better understand an entity’s exposure to Pillar Two income taxes arising from that legislation, particularly before its effective date.</w:t>
      </w:r>
    </w:p>
    <w:p>
      <w:pPr>
        <w:spacing w:after="0" w:line="120" w:lineRule="exact"/>
        <w:rPr>
          <w:sz w:val="20"/>
          <w:szCs w:val="20"/>
          <w:color w:val="auto"/>
        </w:rPr>
      </w:pPr>
    </w:p>
    <w:p>
      <w:pPr>
        <w:ind w:left="296" w:right="760"/>
        <w:spacing w:after="0" w:line="280" w:lineRule="auto"/>
        <w:rPr>
          <w:sz w:val="20"/>
          <w:szCs w:val="20"/>
          <w:color w:val="auto"/>
        </w:rPr>
      </w:pPr>
      <w:r>
        <w:rPr>
          <w:rFonts w:ascii="Arial" w:cs="Arial" w:eastAsia="Arial" w:hAnsi="Arial"/>
          <w:sz w:val="16"/>
          <w:szCs w:val="16"/>
          <w:color w:val="auto"/>
        </w:rPr>
        <w:t>These modifications to IAS 12 came into force on January 1, 2023, and have not had an impact on the Group’s consolidated financial statements, to the extent that Pillar Two legislation is not in force at the date of presentation of these annual accounts.</w:t>
      </w:r>
    </w:p>
    <w:p>
      <w:pPr>
        <w:spacing w:after="0" w:line="120" w:lineRule="exact"/>
        <w:rPr>
          <w:sz w:val="20"/>
          <w:szCs w:val="20"/>
          <w:color w:val="auto"/>
        </w:rPr>
      </w:pPr>
    </w:p>
    <w:p>
      <w:pPr>
        <w:ind w:left="296" w:right="120"/>
        <w:spacing w:after="0" w:line="280" w:lineRule="auto"/>
        <w:rPr>
          <w:sz w:val="20"/>
          <w:szCs w:val="20"/>
          <w:color w:val="auto"/>
        </w:rPr>
      </w:pPr>
      <w:r>
        <w:rPr>
          <w:rFonts w:ascii="Arial" w:cs="Arial" w:eastAsia="Arial" w:hAnsi="Arial"/>
          <w:sz w:val="16"/>
          <w:szCs w:val="16"/>
          <w:color w:val="auto"/>
        </w:rPr>
        <w:t>The Group has applied the mandatory exception to recognising and disclosing information about deferred tax assets and liabilities arising from Pillar Two income taxes.</w:t>
      </w:r>
    </w:p>
    <w:p>
      <w:pPr>
        <w:spacing w:after="0" w:line="120" w:lineRule="exact"/>
        <w:rPr>
          <w:sz w:val="20"/>
          <w:szCs w:val="20"/>
          <w:color w:val="auto"/>
        </w:rPr>
      </w:pPr>
    </w:p>
    <w:p>
      <w:pPr>
        <w:ind w:left="296" w:right="540"/>
        <w:spacing w:after="0" w:line="280" w:lineRule="auto"/>
        <w:rPr>
          <w:sz w:val="20"/>
          <w:szCs w:val="20"/>
          <w:color w:val="auto"/>
        </w:rPr>
      </w:pPr>
      <w:r>
        <w:rPr>
          <w:rFonts w:ascii="Arial" w:cs="Arial" w:eastAsia="Arial" w:hAnsi="Arial"/>
          <w:sz w:val="16"/>
          <w:szCs w:val="16"/>
          <w:color w:val="auto"/>
        </w:rPr>
        <w:t>At the date of this report, the corresponding legislation is still pending and there is no certainty, to date or whether such legislation will be enacted and, if applicable, what the effective date of the resulting legislation will be.</w:t>
      </w:r>
    </w:p>
    <w:p>
      <w:pPr>
        <w:spacing w:after="0" w:line="120" w:lineRule="exact"/>
        <w:rPr>
          <w:sz w:val="20"/>
          <w:szCs w:val="20"/>
          <w:color w:val="auto"/>
        </w:rPr>
      </w:pPr>
    </w:p>
    <w:p>
      <w:pPr>
        <w:ind w:left="296"/>
        <w:spacing w:after="0"/>
        <w:rPr>
          <w:sz w:val="20"/>
          <w:szCs w:val="20"/>
          <w:color w:val="auto"/>
        </w:rPr>
      </w:pPr>
      <w:r>
        <w:rPr>
          <w:rFonts w:ascii="Arial" w:cs="Arial" w:eastAsia="Arial" w:hAnsi="Arial"/>
          <w:sz w:val="16"/>
          <w:szCs w:val="16"/>
          <w:color w:val="auto"/>
        </w:rPr>
        <w:t>In 2023, the Group is in the process of evaluating its exposure to the Pillar Two legislation.</w:t>
      </w:r>
    </w:p>
    <w:p>
      <w:pPr>
        <w:spacing w:after="0" w:line="183" w:lineRule="exact"/>
        <w:rPr>
          <w:sz w:val="20"/>
          <w:szCs w:val="20"/>
          <w:color w:val="auto"/>
        </w:rPr>
      </w:pPr>
    </w:p>
    <w:p>
      <w:pPr>
        <w:ind w:left="296" w:right="520"/>
        <w:spacing w:after="0" w:line="280" w:lineRule="auto"/>
        <w:rPr>
          <w:sz w:val="20"/>
          <w:szCs w:val="20"/>
          <w:color w:val="auto"/>
        </w:rPr>
      </w:pPr>
      <w:r>
        <w:rPr>
          <w:rFonts w:ascii="Arial" w:cs="Arial" w:eastAsia="Arial" w:hAnsi="Arial"/>
          <w:sz w:val="16"/>
          <w:szCs w:val="16"/>
          <w:color w:val="auto"/>
        </w:rPr>
        <w:t>Furthermore, the Group based on the analysis carried out, at the end of the 2023 financial year the Group does not anticipate substantial economic impacts resulting from the Additional Tax that would arise as a consequence of the application of Pillar Two.</w:t>
      </w:r>
    </w:p>
    <w:p>
      <w:pPr>
        <w:spacing w:after="0" w:line="279" w:lineRule="exact"/>
        <w:rPr>
          <w:sz w:val="20"/>
          <w:szCs w:val="20"/>
          <w:color w:val="auto"/>
        </w:rPr>
      </w:pPr>
    </w:p>
    <w:p>
      <w:pPr>
        <w:ind w:left="4896"/>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36"/>
          </w:cols>
          <w:pgMar w:left="904" w:top="306" w:right="3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23"/>
        </w:trPr>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18</w:t>
            </w:r>
          </w:p>
        </w:tc>
        <w:tc>
          <w:tcPr>
            <w:tcW w:w="5880" w:type="dxa"/>
            <w:vAlign w:val="bottom"/>
          </w:tcPr>
          <w:p>
            <w:pPr>
              <w:ind w:left="200"/>
              <w:spacing w:after="0"/>
              <w:rPr>
                <w:sz w:val="20"/>
                <w:szCs w:val="20"/>
                <w:color w:val="auto"/>
              </w:rPr>
            </w:pPr>
            <w:r>
              <w:rPr>
                <w:rFonts w:ascii="Arial" w:cs="Arial" w:eastAsia="Arial" w:hAnsi="Arial"/>
                <w:sz w:val="16"/>
                <w:szCs w:val="16"/>
                <w:b w:val="1"/>
                <w:bCs w:val="1"/>
                <w:color w:val="auto"/>
              </w:rPr>
              <w:t>CONTINGENT RISKS AND COMMITMENTS</w:t>
            </w:r>
          </w:p>
        </w:tc>
        <w:tc>
          <w:tcPr>
            <w:tcW w:w="1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9"/>
        </w:trPr>
        <w:tc>
          <w:tcPr>
            <w:tcW w:w="380" w:type="dxa"/>
            <w:vAlign w:val="bottom"/>
          </w:tcPr>
          <w:p>
            <w:pPr>
              <w:spacing w:after="0"/>
              <w:rPr>
                <w:sz w:val="24"/>
                <w:szCs w:val="24"/>
                <w:color w:val="auto"/>
              </w:rPr>
            </w:pPr>
          </w:p>
        </w:tc>
        <w:tc>
          <w:tcPr>
            <w:tcW w:w="5880" w:type="dxa"/>
            <w:vAlign w:val="bottom"/>
          </w:tcPr>
          <w:p>
            <w:pPr>
              <w:ind w:left="200"/>
              <w:spacing w:after="0"/>
              <w:rPr>
                <w:sz w:val="20"/>
                <w:szCs w:val="20"/>
                <w:color w:val="auto"/>
              </w:rPr>
            </w:pPr>
            <w:r>
              <w:rPr>
                <w:rFonts w:ascii="Arial" w:cs="Arial" w:eastAsia="Arial" w:hAnsi="Arial"/>
                <w:sz w:val="16"/>
                <w:szCs w:val="16"/>
                <w:color w:val="auto"/>
              </w:rPr>
              <w:t>a)  This item consists of the following:</w:t>
            </w:r>
          </w:p>
        </w:tc>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3040" w:type="dxa"/>
            <w:vAlign w:val="bottom"/>
            <w:gridSpan w:val="2"/>
          </w:tcPr>
          <w:p>
            <w:pPr>
              <w:ind w:left="19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10"/>
        </w:trPr>
        <w:tc>
          <w:tcPr>
            <w:tcW w:w="380" w:type="dxa"/>
            <w:vAlign w:val="bottom"/>
          </w:tcPr>
          <w:p>
            <w:pPr>
              <w:spacing w:after="0"/>
              <w:rPr>
                <w:sz w:val="24"/>
                <w:szCs w:val="24"/>
                <w:color w:val="auto"/>
              </w:rPr>
            </w:pPr>
          </w:p>
        </w:tc>
        <w:tc>
          <w:tcPr>
            <w:tcW w:w="5880" w:type="dxa"/>
            <w:vAlign w:val="bottom"/>
          </w:tcPr>
          <w:p>
            <w:pPr>
              <w:ind w:left="500"/>
              <w:spacing w:after="0"/>
              <w:rPr>
                <w:sz w:val="20"/>
                <w:szCs w:val="20"/>
                <w:color w:val="auto"/>
              </w:rPr>
            </w:pPr>
            <w:r>
              <w:rPr>
                <w:rFonts w:ascii="Arial" w:cs="Arial" w:eastAsia="Arial" w:hAnsi="Arial"/>
                <w:sz w:val="16"/>
                <w:szCs w:val="16"/>
                <w:b w:val="1"/>
                <w:bCs w:val="1"/>
                <w:color w:val="auto"/>
              </w:rPr>
              <w:t>Contingent credits – indirect loans (b)</w:t>
            </w:r>
          </w:p>
        </w:tc>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380" w:type="dxa"/>
            <w:vAlign w:val="bottom"/>
          </w:tcPr>
          <w:p>
            <w:pPr>
              <w:spacing w:after="0"/>
              <w:rPr>
                <w:sz w:val="15"/>
                <w:szCs w:val="15"/>
                <w:color w:val="auto"/>
              </w:rPr>
            </w:pPr>
          </w:p>
        </w:tc>
        <w:tc>
          <w:tcPr>
            <w:tcW w:w="5880" w:type="dxa"/>
            <w:vAlign w:val="bottom"/>
          </w:tcPr>
          <w:p>
            <w:pPr>
              <w:ind w:left="660"/>
              <w:spacing w:after="0"/>
              <w:rPr>
                <w:sz w:val="20"/>
                <w:szCs w:val="20"/>
                <w:color w:val="auto"/>
              </w:rPr>
            </w:pPr>
            <w:r>
              <w:rPr>
                <w:rFonts w:ascii="Arial" w:cs="Arial" w:eastAsia="Arial" w:hAnsi="Arial"/>
                <w:sz w:val="16"/>
                <w:szCs w:val="16"/>
                <w:color w:val="auto"/>
              </w:rPr>
              <w:t>Endorsements and standby letters</w:t>
            </w:r>
          </w:p>
        </w:tc>
        <w:tc>
          <w:tcPr>
            <w:tcW w:w="3040" w:type="dxa"/>
            <w:vAlign w:val="bottom"/>
            <w:gridSpan w:val="2"/>
          </w:tcPr>
          <w:p>
            <w:pPr>
              <w:jc w:val="right"/>
              <w:spacing w:after="0"/>
              <w:rPr>
                <w:sz w:val="20"/>
                <w:szCs w:val="20"/>
                <w:color w:val="auto"/>
              </w:rPr>
            </w:pPr>
            <w:r>
              <w:rPr>
                <w:rFonts w:ascii="Arial" w:cs="Arial" w:eastAsia="Arial" w:hAnsi="Arial"/>
                <w:sz w:val="16"/>
                <w:szCs w:val="16"/>
                <w:color w:val="auto"/>
              </w:rPr>
              <w:t>17,737,645</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18,244,865</w:t>
            </w:r>
          </w:p>
        </w:tc>
        <w:tc>
          <w:tcPr>
            <w:tcW w:w="20" w:type="dxa"/>
            <w:vAlign w:val="bottom"/>
          </w:tcPr>
          <w:p>
            <w:pPr>
              <w:spacing w:after="0"/>
              <w:rPr>
                <w:sz w:val="15"/>
                <w:szCs w:val="15"/>
                <w:color w:val="auto"/>
              </w:rPr>
            </w:pPr>
          </w:p>
        </w:tc>
      </w:tr>
      <w:tr>
        <w:trPr>
          <w:trHeight w:val="200"/>
        </w:trPr>
        <w:tc>
          <w:tcPr>
            <w:tcW w:w="380" w:type="dxa"/>
            <w:vAlign w:val="bottom"/>
          </w:tcPr>
          <w:p>
            <w:pPr>
              <w:spacing w:after="0"/>
              <w:rPr>
                <w:sz w:val="17"/>
                <w:szCs w:val="17"/>
                <w:color w:val="auto"/>
              </w:rPr>
            </w:pPr>
          </w:p>
        </w:tc>
        <w:tc>
          <w:tcPr>
            <w:tcW w:w="5880" w:type="dxa"/>
            <w:vAlign w:val="bottom"/>
          </w:tcPr>
          <w:p>
            <w:pPr>
              <w:ind w:left="660"/>
              <w:spacing w:after="0"/>
              <w:rPr>
                <w:sz w:val="20"/>
                <w:szCs w:val="20"/>
                <w:color w:val="auto"/>
              </w:rPr>
            </w:pPr>
            <w:r>
              <w:rPr>
                <w:rFonts w:ascii="Arial" w:cs="Arial" w:eastAsia="Arial" w:hAnsi="Arial"/>
                <w:sz w:val="16"/>
                <w:szCs w:val="16"/>
                <w:color w:val="auto"/>
              </w:rPr>
              <w:t>Import and export letters of credit</w:t>
            </w:r>
          </w:p>
        </w:tc>
        <w:tc>
          <w:tcPr>
            <w:tcW w:w="3160" w:type="dxa"/>
            <w:vAlign w:val="bottom"/>
            <w:gridSpan w:val="3"/>
          </w:tcPr>
          <w:p>
            <w:pPr>
              <w:jc w:val="right"/>
              <w:ind w:right="120"/>
              <w:spacing w:after="0"/>
              <w:rPr>
                <w:sz w:val="20"/>
                <w:szCs w:val="20"/>
                <w:color w:val="auto"/>
              </w:rPr>
            </w:pPr>
            <w:r>
              <w:rPr>
                <w:rFonts w:ascii="Arial" w:cs="Arial" w:eastAsia="Arial" w:hAnsi="Arial"/>
                <w:sz w:val="16"/>
                <w:szCs w:val="16"/>
                <w:color w:val="auto"/>
              </w:rPr>
              <w:t>2,313,970</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2,683,190</w:t>
            </w:r>
          </w:p>
        </w:tc>
      </w:tr>
      <w:tr>
        <w:trPr>
          <w:trHeight w:val="208"/>
        </w:trPr>
        <w:tc>
          <w:tcPr>
            <w:tcW w:w="380" w:type="dxa"/>
            <w:vAlign w:val="bottom"/>
          </w:tcPr>
          <w:p>
            <w:pPr>
              <w:spacing w:after="0"/>
              <w:rPr>
                <w:sz w:val="18"/>
                <w:szCs w:val="18"/>
                <w:color w:val="auto"/>
              </w:rPr>
            </w:pPr>
          </w:p>
        </w:tc>
        <w:tc>
          <w:tcPr>
            <w:tcW w:w="5880" w:type="dxa"/>
            <w:vAlign w:val="bottom"/>
          </w:tcPr>
          <w:p>
            <w:pPr>
              <w:ind w:left="500"/>
              <w:spacing w:after="0"/>
              <w:rPr>
                <w:sz w:val="20"/>
                <w:szCs w:val="20"/>
                <w:color w:val="auto"/>
              </w:rPr>
            </w:pPr>
            <w:r>
              <w:rPr>
                <w:rFonts w:ascii="Arial" w:cs="Arial" w:eastAsia="Arial" w:hAnsi="Arial"/>
                <w:sz w:val="16"/>
                <w:szCs w:val="16"/>
                <w:color w:val="auto"/>
              </w:rPr>
              <w:t>Sub-total, Note 7(b)</w:t>
            </w:r>
          </w:p>
        </w:tc>
        <w:tc>
          <w:tcPr>
            <w:tcW w:w="19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20,051,615</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20,928,055</w:t>
            </w:r>
          </w:p>
        </w:tc>
        <w:tc>
          <w:tcPr>
            <w:tcW w:w="20" w:type="dxa"/>
            <w:vAlign w:val="bottom"/>
          </w:tcPr>
          <w:p>
            <w:pPr>
              <w:spacing w:after="0"/>
              <w:rPr>
                <w:sz w:val="18"/>
                <w:szCs w:val="18"/>
                <w:color w:val="auto"/>
              </w:rPr>
            </w:pPr>
          </w:p>
        </w:tc>
      </w:tr>
      <w:tr>
        <w:trPr>
          <w:trHeight w:val="334"/>
        </w:trPr>
        <w:tc>
          <w:tcPr>
            <w:tcW w:w="380" w:type="dxa"/>
            <w:vAlign w:val="bottom"/>
          </w:tcPr>
          <w:p>
            <w:pPr>
              <w:spacing w:after="0"/>
              <w:rPr>
                <w:sz w:val="24"/>
                <w:szCs w:val="24"/>
                <w:color w:val="auto"/>
              </w:rPr>
            </w:pPr>
          </w:p>
        </w:tc>
        <w:tc>
          <w:tcPr>
            <w:tcW w:w="5880" w:type="dxa"/>
            <w:vAlign w:val="bottom"/>
          </w:tcPr>
          <w:p>
            <w:pPr>
              <w:ind w:left="500"/>
              <w:spacing w:after="0"/>
              <w:rPr>
                <w:sz w:val="20"/>
                <w:szCs w:val="20"/>
                <w:color w:val="auto"/>
              </w:rPr>
            </w:pPr>
            <w:r>
              <w:rPr>
                <w:rFonts w:ascii="Arial" w:cs="Arial" w:eastAsia="Arial" w:hAnsi="Arial"/>
                <w:sz w:val="16"/>
                <w:szCs w:val="16"/>
                <w:color w:val="auto"/>
              </w:rPr>
              <w:t>Responsibilities under credit line agreements (c)</w:t>
            </w:r>
          </w:p>
        </w:tc>
        <w:tc>
          <w:tcPr>
            <w:tcW w:w="3040" w:type="dxa"/>
            <w:vAlign w:val="bottom"/>
            <w:gridSpan w:val="2"/>
          </w:tcPr>
          <w:p>
            <w:pPr>
              <w:jc w:val="right"/>
              <w:spacing w:after="0"/>
              <w:rPr>
                <w:sz w:val="20"/>
                <w:szCs w:val="20"/>
                <w:color w:val="auto"/>
              </w:rPr>
            </w:pPr>
            <w:r>
              <w:rPr>
                <w:rFonts w:ascii="Arial" w:cs="Arial" w:eastAsia="Arial" w:hAnsi="Arial"/>
                <w:sz w:val="16"/>
                <w:szCs w:val="16"/>
                <w:color w:val="auto"/>
              </w:rPr>
              <w:t>87,091,701</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86,597,041</w:t>
            </w:r>
          </w:p>
        </w:tc>
        <w:tc>
          <w:tcPr>
            <w:tcW w:w="20" w:type="dxa"/>
            <w:vAlign w:val="bottom"/>
          </w:tcPr>
          <w:p>
            <w:pPr>
              <w:spacing w:after="0"/>
              <w:rPr>
                <w:sz w:val="24"/>
                <w:szCs w:val="24"/>
                <w:color w:val="auto"/>
              </w:rPr>
            </w:pPr>
          </w:p>
        </w:tc>
      </w:tr>
      <w:tr>
        <w:trPr>
          <w:trHeight w:val="180"/>
        </w:trPr>
        <w:tc>
          <w:tcPr>
            <w:tcW w:w="380" w:type="dxa"/>
            <w:vAlign w:val="bottom"/>
          </w:tcPr>
          <w:p>
            <w:pPr>
              <w:spacing w:after="0"/>
              <w:rPr>
                <w:sz w:val="15"/>
                <w:szCs w:val="15"/>
                <w:color w:val="auto"/>
              </w:rPr>
            </w:pPr>
          </w:p>
        </w:tc>
        <w:tc>
          <w:tcPr>
            <w:tcW w:w="5880" w:type="dxa"/>
            <w:vAlign w:val="bottom"/>
          </w:tcPr>
          <w:p>
            <w:pPr>
              <w:ind w:left="500"/>
              <w:spacing w:after="0" w:line="175" w:lineRule="exact"/>
              <w:rPr>
                <w:sz w:val="20"/>
                <w:szCs w:val="20"/>
                <w:color w:val="auto"/>
              </w:rPr>
            </w:pPr>
            <w:r>
              <w:rPr>
                <w:rFonts w:ascii="Arial" w:cs="Arial" w:eastAsia="Arial" w:hAnsi="Arial"/>
                <w:sz w:val="16"/>
                <w:szCs w:val="16"/>
                <w:b w:val="1"/>
                <w:bCs w:val="1"/>
                <w:color w:val="auto"/>
              </w:rPr>
              <w:t>Total</w:t>
            </w:r>
          </w:p>
        </w:tc>
        <w:tc>
          <w:tcPr>
            <w:tcW w:w="19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107,143,316</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107,525,096</w:t>
            </w:r>
          </w:p>
        </w:tc>
        <w:tc>
          <w:tcPr>
            <w:tcW w:w="20" w:type="dxa"/>
            <w:vAlign w:val="bottom"/>
            <w:tcBorders>
              <w:bottom w:val="single" w:sz="8" w:color="auto"/>
            </w:tcBorders>
          </w:tcPr>
          <w:p>
            <w:pPr>
              <w:spacing w:after="0"/>
              <w:rPr>
                <w:sz w:val="15"/>
                <w:szCs w:val="15"/>
                <w:color w:val="auto"/>
              </w:rPr>
            </w:pPr>
          </w:p>
        </w:tc>
      </w:tr>
    </w:tbl>
    <w:p>
      <w:pPr>
        <w:spacing w:after="0" w:line="166" w:lineRule="exact"/>
        <w:rPr>
          <w:sz w:val="20"/>
          <w:szCs w:val="20"/>
          <w:color w:val="auto"/>
        </w:rPr>
      </w:pPr>
    </w:p>
    <w:p>
      <w:pPr>
        <w:ind w:left="880" w:right="80"/>
        <w:spacing w:after="0" w:line="280" w:lineRule="auto"/>
        <w:rPr>
          <w:sz w:val="20"/>
          <w:szCs w:val="20"/>
          <w:color w:val="auto"/>
        </w:rPr>
      </w:pPr>
      <w:r>
        <w:rPr>
          <w:rFonts w:ascii="Arial" w:cs="Arial" w:eastAsia="Arial" w:hAnsi="Arial"/>
          <w:sz w:val="16"/>
          <w:szCs w:val="16"/>
          <w:color w:val="auto"/>
        </w:rPr>
        <w:t>The reference values of transactions with derivative financial instruments are recorded in accounts outside the statement of financial position in the committed currency, as presented in note 12(c).</w:t>
      </w:r>
    </w:p>
    <w:p>
      <w:pPr>
        <w:spacing w:after="0" w:line="120" w:lineRule="exact"/>
        <w:rPr>
          <w:sz w:val="20"/>
          <w:szCs w:val="20"/>
          <w:color w:val="auto"/>
        </w:rPr>
      </w:pPr>
    </w:p>
    <w:p>
      <w:pPr>
        <w:ind w:left="880" w:right="940" w:hanging="296"/>
        <w:spacing w:after="0" w:line="280" w:lineRule="auto"/>
        <w:tabs>
          <w:tab w:leader="none" w:pos="8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 the normal course of their business, the Group’s banking subsidiaries are party to transactions with off-balance sheet risk. These transactions expose them to credit risk in addition to the amounts recognized in the consolidated statement of financial position.</w:t>
      </w:r>
    </w:p>
    <w:p>
      <w:pPr>
        <w:spacing w:after="0" w:line="120" w:lineRule="exact"/>
        <w:rPr>
          <w:rFonts w:ascii="Arial" w:cs="Arial" w:eastAsia="Arial" w:hAnsi="Arial"/>
          <w:sz w:val="16"/>
          <w:szCs w:val="16"/>
          <w:color w:val="auto"/>
        </w:rPr>
      </w:pPr>
    </w:p>
    <w:p>
      <w:pPr>
        <w:ind w:left="880" w:right="80"/>
        <w:spacing w:after="0" w:line="252" w:lineRule="auto"/>
        <w:rPr>
          <w:rFonts w:ascii="Arial" w:cs="Arial" w:eastAsia="Arial" w:hAnsi="Arial"/>
          <w:sz w:val="16"/>
          <w:szCs w:val="16"/>
          <w:color w:val="auto"/>
        </w:rPr>
      </w:pPr>
      <w:r>
        <w:rPr>
          <w:rFonts w:ascii="Arial" w:cs="Arial" w:eastAsia="Arial" w:hAnsi="Arial"/>
          <w:sz w:val="16"/>
          <w:szCs w:val="16"/>
          <w:color w:val="auto"/>
        </w:rPr>
        <w:t>Credit risk for contingent credits is defined as the possibility of sustaining a loss because one of the parties to a financial instrument fails to comply with the terms of the contract. The risk of credit losses is represented by the contractual amounts specified in the related contracts. The Group applies the same credit policies in making contingent commitments and other obligations as it does for on-balance sheet instruments (Note 7(a)), including the requirement to obtain collateral when it is deemed necessary.</w:t>
      </w:r>
    </w:p>
    <w:p>
      <w:pPr>
        <w:spacing w:after="0" w:line="143" w:lineRule="exact"/>
        <w:rPr>
          <w:rFonts w:ascii="Arial" w:cs="Arial" w:eastAsia="Arial" w:hAnsi="Arial"/>
          <w:sz w:val="16"/>
          <w:szCs w:val="16"/>
          <w:color w:val="auto"/>
        </w:rPr>
      </w:pPr>
    </w:p>
    <w:p>
      <w:pPr>
        <w:ind w:left="880"/>
        <w:spacing w:after="0" w:line="280" w:lineRule="auto"/>
        <w:rPr>
          <w:rFonts w:ascii="Arial" w:cs="Arial" w:eastAsia="Arial" w:hAnsi="Arial"/>
          <w:sz w:val="16"/>
          <w:szCs w:val="16"/>
          <w:color w:val="auto"/>
        </w:rPr>
      </w:pPr>
      <w:r>
        <w:rPr>
          <w:rFonts w:ascii="Arial" w:cs="Arial" w:eastAsia="Arial" w:hAnsi="Arial"/>
          <w:sz w:val="16"/>
          <w:szCs w:val="16"/>
          <w:color w:val="auto"/>
        </w:rPr>
        <w:t>Collateral held varies, but may include deposits in financial institutions, securities or other assets. Many of the contingent transactions reach maturity without any performance being required; therefore, the total committed amounts do not necessarily represent future cash requirements.</w:t>
      </w:r>
    </w:p>
    <w:p>
      <w:pPr>
        <w:spacing w:after="0" w:line="120" w:lineRule="exact"/>
        <w:rPr>
          <w:rFonts w:ascii="Arial" w:cs="Arial" w:eastAsia="Arial" w:hAnsi="Arial"/>
          <w:sz w:val="16"/>
          <w:szCs w:val="16"/>
          <w:color w:val="auto"/>
        </w:rPr>
      </w:pPr>
    </w:p>
    <w:p>
      <w:pPr>
        <w:ind w:left="880" w:right="340" w:hanging="296"/>
        <w:spacing w:after="0" w:line="280" w:lineRule="auto"/>
        <w:tabs>
          <w:tab w:leader="none" w:pos="8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Lines of credit include consumer loans and other consumer loan facilities (credit card receivables) granted to customers and are cancelable upon related notice to the customer.</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3"/>
        </w:trPr>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19</w:t>
            </w:r>
          </w:p>
        </w:tc>
        <w:tc>
          <w:tcPr>
            <w:tcW w:w="7860" w:type="dxa"/>
            <w:vAlign w:val="bottom"/>
            <w:gridSpan w:val="2"/>
          </w:tcPr>
          <w:p>
            <w:pPr>
              <w:ind w:left="200"/>
              <w:spacing w:after="0"/>
              <w:rPr>
                <w:sz w:val="20"/>
                <w:szCs w:val="20"/>
                <w:color w:val="auto"/>
              </w:rPr>
            </w:pPr>
            <w:r>
              <w:rPr>
                <w:rFonts w:ascii="Arial" w:cs="Arial" w:eastAsia="Arial" w:hAnsi="Arial"/>
                <w:sz w:val="16"/>
                <w:szCs w:val="16"/>
                <w:b w:val="1"/>
                <w:bCs w:val="1"/>
                <w:color w:val="auto"/>
              </w:rPr>
              <w:t>INTEREST, SIMILAR INCOME AND SIMILAR EXPENSES</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59"/>
        </w:trPr>
        <w:tc>
          <w:tcPr>
            <w:tcW w:w="380" w:type="dxa"/>
            <w:vAlign w:val="bottom"/>
          </w:tcPr>
          <w:p>
            <w:pPr>
              <w:spacing w:after="0"/>
              <w:rPr>
                <w:sz w:val="24"/>
                <w:szCs w:val="24"/>
                <w:color w:val="auto"/>
              </w:rPr>
            </w:pPr>
          </w:p>
        </w:tc>
        <w:tc>
          <w:tcPr>
            <w:tcW w:w="7860" w:type="dxa"/>
            <w:vAlign w:val="bottom"/>
            <w:gridSpan w:val="2"/>
          </w:tcPr>
          <w:p>
            <w:pPr>
              <w:ind w:left="200"/>
              <w:spacing w:after="0"/>
              <w:rPr>
                <w:sz w:val="20"/>
                <w:szCs w:val="20"/>
                <w:color w:val="auto"/>
              </w:rPr>
            </w:pPr>
            <w:r>
              <w:rPr>
                <w:rFonts w:ascii="Arial" w:cs="Arial" w:eastAsia="Arial" w:hAnsi="Arial"/>
                <w:sz w:val="16"/>
                <w:szCs w:val="16"/>
                <w:color w:val="auto"/>
              </w:rPr>
              <w:t>This item consists of the following:</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4"/>
        </w:trPr>
        <w:tc>
          <w:tcPr>
            <w:tcW w:w="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0"/>
        </w:trPr>
        <w:tc>
          <w:tcPr>
            <w:tcW w:w="380" w:type="dxa"/>
            <w:vAlign w:val="bottom"/>
          </w:tcPr>
          <w:p>
            <w:pPr>
              <w:spacing w:after="0"/>
              <w:rPr>
                <w:sz w:val="17"/>
                <w:szCs w:val="17"/>
                <w:color w:val="auto"/>
              </w:rPr>
            </w:pPr>
          </w:p>
        </w:tc>
        <w:tc>
          <w:tcPr>
            <w:tcW w:w="7860" w:type="dxa"/>
            <w:vAlign w:val="bottom"/>
            <w:gridSpan w:val="2"/>
          </w:tcPr>
          <w:p>
            <w:pPr>
              <w:ind w:left="6720"/>
              <w:spacing w:after="0"/>
              <w:rPr>
                <w:sz w:val="20"/>
                <w:szCs w:val="20"/>
                <w:color w:val="auto"/>
              </w:rPr>
            </w:pPr>
            <w:r>
              <w:rPr>
                <w:rFonts w:ascii="Arial" w:cs="Arial" w:eastAsia="Arial" w:hAnsi="Arial"/>
                <w:sz w:val="16"/>
                <w:szCs w:val="16"/>
                <w:b w:val="1"/>
                <w:bCs w:val="1"/>
                <w:color w:val="auto"/>
              </w:rPr>
              <w:t>2023</w:t>
            </w:r>
          </w:p>
        </w:tc>
        <w:tc>
          <w:tcPr>
            <w:tcW w:w="1340" w:type="dxa"/>
            <w:vAlign w:val="bottom"/>
            <w:gridSpan w:val="3"/>
          </w:tcPr>
          <w:p>
            <w:pPr>
              <w:ind w:left="100"/>
              <w:spacing w:after="0"/>
              <w:rPr>
                <w:sz w:val="20"/>
                <w:szCs w:val="20"/>
                <w:color w:val="auto"/>
              </w:rPr>
            </w:pPr>
            <w:r>
              <w:rPr>
                <w:rFonts w:ascii="Arial" w:cs="Arial" w:eastAsia="Arial" w:hAnsi="Arial"/>
                <w:sz w:val="16"/>
                <w:szCs w:val="16"/>
                <w:b w:val="1"/>
                <w:bCs w:val="1"/>
                <w:color w:val="auto"/>
              </w:rPr>
              <w:t>(Restated)</w:t>
            </w:r>
          </w:p>
        </w:tc>
        <w:tc>
          <w:tcPr>
            <w:tcW w:w="1120" w:type="dxa"/>
            <w:vAlign w:val="bottom"/>
          </w:tcPr>
          <w:p>
            <w:pPr>
              <w:spacing w:after="0"/>
              <w:rPr>
                <w:sz w:val="20"/>
                <w:szCs w:val="20"/>
                <w:color w:val="auto"/>
              </w:rPr>
            </w:pPr>
            <w:r>
              <w:rPr>
                <w:rFonts w:ascii="Arial" w:cs="Arial" w:eastAsia="Arial" w:hAnsi="Arial"/>
                <w:sz w:val="16"/>
                <w:szCs w:val="16"/>
                <w:b w:val="1"/>
                <w:bCs w:val="1"/>
                <w:color w:val="auto"/>
              </w:rPr>
              <w:t>2021</w:t>
            </w:r>
          </w:p>
        </w:tc>
      </w:tr>
      <w:tr>
        <w:trPr>
          <w:trHeight w:val="175"/>
        </w:trPr>
        <w:tc>
          <w:tcPr>
            <w:tcW w:w="3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1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S/(000)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00" w:type="dxa"/>
            <w:vAlign w:val="bottom"/>
          </w:tcPr>
          <w:p>
            <w:pPr>
              <w:ind w:left="580"/>
              <w:spacing w:after="0" w:line="168" w:lineRule="exact"/>
              <w:rPr>
                <w:sz w:val="20"/>
                <w:szCs w:val="20"/>
                <w:color w:val="auto"/>
              </w:rPr>
            </w:pPr>
            <w:r>
              <w:rPr>
                <w:rFonts w:ascii="Arial" w:cs="Arial" w:eastAsia="Arial" w:hAnsi="Arial"/>
                <w:sz w:val="16"/>
                <w:szCs w:val="16"/>
                <w:b w:val="1"/>
                <w:bCs w:val="1"/>
                <w:color w:val="auto"/>
              </w:rPr>
              <w:t>Interest and similar income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3"/>
        </w:trPr>
        <w:tc>
          <w:tcPr>
            <w:tcW w:w="7100" w:type="dxa"/>
            <w:vAlign w:val="bottom"/>
          </w:tcPr>
          <w:p>
            <w:pPr>
              <w:ind w:left="580"/>
              <w:spacing w:after="0"/>
              <w:rPr>
                <w:sz w:val="20"/>
                <w:szCs w:val="20"/>
                <w:color w:val="auto"/>
              </w:rPr>
            </w:pPr>
            <w:r>
              <w:rPr>
                <w:rFonts w:ascii="Arial" w:cs="Arial" w:eastAsia="Arial" w:hAnsi="Arial"/>
                <w:sz w:val="16"/>
                <w:szCs w:val="16"/>
                <w:color w:val="auto"/>
              </w:rPr>
              <w:t>Interest on loans</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15,044,864</w:t>
            </w:r>
          </w:p>
        </w:tc>
        <w:tc>
          <w:tcPr>
            <w:tcW w:w="1120" w:type="dxa"/>
            <w:vAlign w:val="bottom"/>
          </w:tcPr>
          <w:p>
            <w:pPr>
              <w:jc w:val="right"/>
              <w:spacing w:after="0"/>
              <w:rPr>
                <w:sz w:val="20"/>
                <w:szCs w:val="20"/>
                <w:color w:val="auto"/>
              </w:rPr>
            </w:pPr>
            <w:r>
              <w:rPr>
                <w:rFonts w:ascii="Arial" w:cs="Arial" w:eastAsia="Arial" w:hAnsi="Arial"/>
                <w:sz w:val="16"/>
                <w:szCs w:val="16"/>
                <w:color w:val="auto"/>
              </w:rPr>
              <w:t>12,419,281</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10,170,680</w:t>
            </w:r>
          </w:p>
        </w:tc>
        <w:tc>
          <w:tcPr>
            <w:tcW w:w="560" w:type="dxa"/>
            <w:vAlign w:val="bottom"/>
          </w:tcPr>
          <w:p>
            <w:pPr>
              <w:spacing w:after="0"/>
              <w:rPr>
                <w:sz w:val="15"/>
                <w:szCs w:val="15"/>
                <w:color w:val="auto"/>
              </w:rPr>
            </w:pPr>
          </w:p>
        </w:tc>
      </w:tr>
      <w:tr>
        <w:trPr>
          <w:trHeight w:val="183"/>
        </w:trPr>
        <w:tc>
          <w:tcPr>
            <w:tcW w:w="7100" w:type="dxa"/>
            <w:vAlign w:val="bottom"/>
          </w:tcPr>
          <w:p>
            <w:pPr>
              <w:ind w:left="580"/>
              <w:spacing w:after="0"/>
              <w:rPr>
                <w:sz w:val="20"/>
                <w:szCs w:val="20"/>
                <w:color w:val="auto"/>
              </w:rPr>
            </w:pPr>
            <w:r>
              <w:rPr>
                <w:rFonts w:ascii="Arial" w:cs="Arial" w:eastAsia="Arial" w:hAnsi="Arial"/>
                <w:sz w:val="16"/>
                <w:szCs w:val="16"/>
                <w:color w:val="auto"/>
              </w:rPr>
              <w:t>Interest on investments at fair value through other comprehensive income</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1,984,408</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1,595,570</w:t>
            </w:r>
          </w:p>
        </w:tc>
        <w:tc>
          <w:tcPr>
            <w:tcW w:w="1120" w:type="dxa"/>
            <w:vAlign w:val="bottom"/>
          </w:tcPr>
          <w:p>
            <w:pPr>
              <w:jc w:val="right"/>
              <w:spacing w:after="0"/>
              <w:rPr>
                <w:sz w:val="20"/>
                <w:szCs w:val="20"/>
                <w:color w:val="auto"/>
              </w:rPr>
            </w:pPr>
            <w:r>
              <w:rPr>
                <w:rFonts w:ascii="Arial" w:cs="Arial" w:eastAsia="Arial" w:hAnsi="Arial"/>
                <w:sz w:val="16"/>
                <w:szCs w:val="16"/>
                <w:color w:val="auto"/>
              </w:rPr>
              <w:t>1,152,542</w:t>
            </w:r>
          </w:p>
        </w:tc>
        <w:tc>
          <w:tcPr>
            <w:tcW w:w="560" w:type="dxa"/>
            <w:vAlign w:val="bottom"/>
          </w:tcPr>
          <w:p>
            <w:pPr>
              <w:spacing w:after="0"/>
              <w:rPr>
                <w:sz w:val="15"/>
                <w:szCs w:val="15"/>
                <w:color w:val="auto"/>
              </w:rPr>
            </w:pPr>
          </w:p>
        </w:tc>
      </w:tr>
      <w:tr>
        <w:trPr>
          <w:trHeight w:val="183"/>
        </w:trPr>
        <w:tc>
          <w:tcPr>
            <w:tcW w:w="7100" w:type="dxa"/>
            <w:vAlign w:val="bottom"/>
          </w:tcPr>
          <w:p>
            <w:pPr>
              <w:ind w:left="580"/>
              <w:spacing w:after="0"/>
              <w:rPr>
                <w:sz w:val="20"/>
                <w:szCs w:val="20"/>
                <w:color w:val="auto"/>
              </w:rPr>
            </w:pPr>
            <w:r>
              <w:rPr>
                <w:rFonts w:ascii="Arial" w:cs="Arial" w:eastAsia="Arial" w:hAnsi="Arial"/>
                <w:sz w:val="16"/>
                <w:szCs w:val="16"/>
                <w:color w:val="auto"/>
              </w:rPr>
              <w:t>Interest on due from banks</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1,133,211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467,387</w:t>
            </w:r>
          </w:p>
        </w:tc>
        <w:tc>
          <w:tcPr>
            <w:tcW w:w="1120" w:type="dxa"/>
            <w:vAlign w:val="bottom"/>
          </w:tcPr>
          <w:p>
            <w:pPr>
              <w:jc w:val="right"/>
              <w:spacing w:after="0"/>
              <w:rPr>
                <w:sz w:val="20"/>
                <w:szCs w:val="20"/>
                <w:color w:val="auto"/>
              </w:rPr>
            </w:pPr>
            <w:r>
              <w:rPr>
                <w:rFonts w:ascii="Arial" w:cs="Arial" w:eastAsia="Arial" w:hAnsi="Arial"/>
                <w:sz w:val="16"/>
                <w:szCs w:val="16"/>
                <w:color w:val="auto"/>
              </w:rPr>
              <w:t>49,637</w:t>
            </w:r>
          </w:p>
        </w:tc>
        <w:tc>
          <w:tcPr>
            <w:tcW w:w="560" w:type="dxa"/>
            <w:vAlign w:val="bottom"/>
          </w:tcPr>
          <w:p>
            <w:pPr>
              <w:spacing w:after="0"/>
              <w:rPr>
                <w:sz w:val="15"/>
                <w:szCs w:val="15"/>
                <w:color w:val="auto"/>
              </w:rPr>
            </w:pPr>
          </w:p>
        </w:tc>
      </w:tr>
      <w:tr>
        <w:trPr>
          <w:trHeight w:val="183"/>
        </w:trPr>
        <w:tc>
          <w:tcPr>
            <w:tcW w:w="7100" w:type="dxa"/>
            <w:vAlign w:val="bottom"/>
          </w:tcPr>
          <w:p>
            <w:pPr>
              <w:ind w:left="580"/>
              <w:spacing w:after="0"/>
              <w:rPr>
                <w:sz w:val="20"/>
                <w:szCs w:val="20"/>
                <w:color w:val="auto"/>
              </w:rPr>
            </w:pPr>
            <w:r>
              <w:rPr>
                <w:rFonts w:ascii="Arial" w:cs="Arial" w:eastAsia="Arial" w:hAnsi="Arial"/>
                <w:sz w:val="16"/>
                <w:szCs w:val="16"/>
                <w:color w:val="auto"/>
              </w:rPr>
              <w:t>Interest on investments at amortized cost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456,543</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382,097</w:t>
            </w:r>
          </w:p>
        </w:tc>
        <w:tc>
          <w:tcPr>
            <w:tcW w:w="1120" w:type="dxa"/>
            <w:vAlign w:val="bottom"/>
          </w:tcPr>
          <w:p>
            <w:pPr>
              <w:jc w:val="right"/>
              <w:spacing w:after="0"/>
              <w:rPr>
                <w:sz w:val="20"/>
                <w:szCs w:val="20"/>
                <w:color w:val="auto"/>
              </w:rPr>
            </w:pPr>
            <w:r>
              <w:rPr>
                <w:rFonts w:ascii="Arial" w:cs="Arial" w:eastAsia="Arial" w:hAnsi="Arial"/>
                <w:sz w:val="16"/>
                <w:szCs w:val="16"/>
                <w:color w:val="auto"/>
              </w:rPr>
              <w:t>323,689</w:t>
            </w:r>
          </w:p>
        </w:tc>
        <w:tc>
          <w:tcPr>
            <w:tcW w:w="560" w:type="dxa"/>
            <w:vAlign w:val="bottom"/>
          </w:tcPr>
          <w:p>
            <w:pPr>
              <w:spacing w:after="0"/>
              <w:rPr>
                <w:sz w:val="15"/>
                <w:szCs w:val="15"/>
                <w:color w:val="auto"/>
              </w:rPr>
            </w:pPr>
          </w:p>
        </w:tc>
      </w:tr>
      <w:tr>
        <w:trPr>
          <w:trHeight w:val="183"/>
        </w:trPr>
        <w:tc>
          <w:tcPr>
            <w:tcW w:w="7100" w:type="dxa"/>
            <w:vAlign w:val="bottom"/>
          </w:tcPr>
          <w:p>
            <w:pPr>
              <w:ind w:left="580"/>
              <w:spacing w:after="0"/>
              <w:rPr>
                <w:sz w:val="20"/>
                <w:szCs w:val="20"/>
                <w:color w:val="auto"/>
              </w:rPr>
            </w:pPr>
            <w:r>
              <w:rPr>
                <w:rFonts w:ascii="Arial" w:cs="Arial" w:eastAsia="Arial" w:hAnsi="Arial"/>
                <w:sz w:val="16"/>
                <w:szCs w:val="16"/>
                <w:color w:val="auto"/>
              </w:rPr>
              <w:t>Interest on investments at fair value through profit or loss</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48,376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38,550</w:t>
            </w:r>
          </w:p>
        </w:tc>
        <w:tc>
          <w:tcPr>
            <w:tcW w:w="1120" w:type="dxa"/>
            <w:vAlign w:val="bottom"/>
          </w:tcPr>
          <w:p>
            <w:pPr>
              <w:jc w:val="right"/>
              <w:spacing w:after="0"/>
              <w:rPr>
                <w:sz w:val="20"/>
                <w:szCs w:val="20"/>
                <w:color w:val="auto"/>
              </w:rPr>
            </w:pPr>
            <w:r>
              <w:rPr>
                <w:rFonts w:ascii="Arial" w:cs="Arial" w:eastAsia="Arial" w:hAnsi="Arial"/>
                <w:sz w:val="16"/>
                <w:szCs w:val="16"/>
                <w:color w:val="auto"/>
              </w:rPr>
              <w:t>50,562</w:t>
            </w:r>
          </w:p>
        </w:tc>
        <w:tc>
          <w:tcPr>
            <w:tcW w:w="560" w:type="dxa"/>
            <w:vAlign w:val="bottom"/>
          </w:tcPr>
          <w:p>
            <w:pPr>
              <w:spacing w:after="0"/>
              <w:rPr>
                <w:sz w:val="15"/>
                <w:szCs w:val="15"/>
                <w:color w:val="auto"/>
              </w:rPr>
            </w:pPr>
          </w:p>
        </w:tc>
      </w:tr>
      <w:tr>
        <w:trPr>
          <w:trHeight w:val="183"/>
        </w:trPr>
        <w:tc>
          <w:tcPr>
            <w:tcW w:w="7100" w:type="dxa"/>
            <w:vAlign w:val="bottom"/>
          </w:tcPr>
          <w:p>
            <w:pPr>
              <w:ind w:left="580"/>
              <w:spacing w:after="0"/>
              <w:rPr>
                <w:sz w:val="20"/>
                <w:szCs w:val="20"/>
                <w:color w:val="auto"/>
              </w:rPr>
            </w:pPr>
            <w:r>
              <w:rPr>
                <w:rFonts w:ascii="Arial" w:cs="Arial" w:eastAsia="Arial" w:hAnsi="Arial"/>
                <w:sz w:val="16"/>
                <w:szCs w:val="16"/>
                <w:color w:val="auto"/>
              </w:rPr>
              <w:t>Dividends received</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46,080</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29,226</w:t>
            </w:r>
          </w:p>
        </w:tc>
        <w:tc>
          <w:tcPr>
            <w:tcW w:w="1120" w:type="dxa"/>
            <w:vAlign w:val="bottom"/>
          </w:tcPr>
          <w:p>
            <w:pPr>
              <w:jc w:val="right"/>
              <w:spacing w:after="0"/>
              <w:rPr>
                <w:sz w:val="20"/>
                <w:szCs w:val="20"/>
                <w:color w:val="auto"/>
              </w:rPr>
            </w:pPr>
            <w:r>
              <w:rPr>
                <w:rFonts w:ascii="Arial" w:cs="Arial" w:eastAsia="Arial" w:hAnsi="Arial"/>
                <w:sz w:val="16"/>
                <w:szCs w:val="16"/>
                <w:color w:val="auto"/>
              </w:rPr>
              <w:t>40,637</w:t>
            </w:r>
          </w:p>
        </w:tc>
        <w:tc>
          <w:tcPr>
            <w:tcW w:w="560" w:type="dxa"/>
            <w:vAlign w:val="bottom"/>
          </w:tcPr>
          <w:p>
            <w:pPr>
              <w:spacing w:after="0"/>
              <w:rPr>
                <w:sz w:val="15"/>
                <w:szCs w:val="15"/>
                <w:color w:val="auto"/>
              </w:rPr>
            </w:pPr>
          </w:p>
        </w:tc>
      </w:tr>
      <w:tr>
        <w:trPr>
          <w:trHeight w:val="200"/>
        </w:trPr>
        <w:tc>
          <w:tcPr>
            <w:tcW w:w="7100" w:type="dxa"/>
            <w:vAlign w:val="bottom"/>
          </w:tcPr>
          <w:p>
            <w:pPr>
              <w:ind w:left="580"/>
              <w:spacing w:after="0"/>
              <w:rPr>
                <w:sz w:val="20"/>
                <w:szCs w:val="20"/>
                <w:color w:val="auto"/>
              </w:rPr>
            </w:pPr>
            <w:r>
              <w:rPr>
                <w:rFonts w:ascii="Arial" w:cs="Arial" w:eastAsia="Arial" w:hAnsi="Arial"/>
                <w:sz w:val="16"/>
                <w:szCs w:val="16"/>
                <w:color w:val="auto"/>
              </w:rPr>
              <w:t>Other interest and similar income</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85,013</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79,171</w:t>
            </w:r>
          </w:p>
        </w:tc>
        <w:tc>
          <w:tcPr>
            <w:tcW w:w="1120" w:type="dxa"/>
            <w:vAlign w:val="bottom"/>
          </w:tcPr>
          <w:p>
            <w:pPr>
              <w:jc w:val="right"/>
              <w:spacing w:after="0"/>
              <w:rPr>
                <w:sz w:val="20"/>
                <w:szCs w:val="20"/>
                <w:color w:val="auto"/>
              </w:rPr>
            </w:pPr>
            <w:r>
              <w:rPr>
                <w:rFonts w:ascii="Arial" w:cs="Arial" w:eastAsia="Arial" w:hAnsi="Arial"/>
                <w:sz w:val="16"/>
                <w:szCs w:val="16"/>
                <w:color w:val="auto"/>
              </w:rPr>
              <w:t>62,659</w:t>
            </w:r>
          </w:p>
        </w:tc>
        <w:tc>
          <w:tcPr>
            <w:tcW w:w="560" w:type="dxa"/>
            <w:vAlign w:val="bottom"/>
          </w:tcPr>
          <w:p>
            <w:pPr>
              <w:spacing w:after="0"/>
              <w:rPr>
                <w:sz w:val="17"/>
                <w:szCs w:val="17"/>
                <w:color w:val="auto"/>
              </w:rPr>
            </w:pPr>
          </w:p>
        </w:tc>
      </w:tr>
      <w:tr>
        <w:trPr>
          <w:trHeight w:val="180"/>
        </w:trPr>
        <w:tc>
          <w:tcPr>
            <w:tcW w:w="7100" w:type="dxa"/>
            <w:vAlign w:val="bottom"/>
          </w:tcPr>
          <w:p>
            <w:pPr>
              <w:ind w:left="580"/>
              <w:spacing w:after="0" w:line="175" w:lineRule="exact"/>
              <w:rPr>
                <w:sz w:val="20"/>
                <w:szCs w:val="20"/>
                <w:color w:val="auto"/>
              </w:rPr>
            </w:pPr>
            <w:r>
              <w:rPr>
                <w:rFonts w:ascii="Arial" w:cs="Arial" w:eastAsia="Arial" w:hAnsi="Arial"/>
                <w:sz w:val="16"/>
                <w:szCs w:val="16"/>
                <w:b w:val="1"/>
                <w:bCs w:val="1"/>
                <w:color w:val="auto"/>
              </w:rPr>
              <w:t>Total</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18,798,495</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15,011,282</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11,850,406</w:t>
            </w:r>
          </w:p>
        </w:tc>
        <w:tc>
          <w:tcPr>
            <w:tcW w:w="560" w:type="dxa"/>
            <w:vAlign w:val="bottom"/>
          </w:tcPr>
          <w:p>
            <w:pPr>
              <w:spacing w:after="0"/>
              <w:rPr>
                <w:sz w:val="15"/>
                <w:szCs w:val="15"/>
                <w:color w:val="auto"/>
              </w:rPr>
            </w:pPr>
          </w:p>
        </w:tc>
      </w:tr>
      <w:tr>
        <w:trPr>
          <w:trHeight w:val="350"/>
        </w:trPr>
        <w:tc>
          <w:tcPr>
            <w:tcW w:w="7100" w:type="dxa"/>
            <w:vAlign w:val="bottom"/>
          </w:tcPr>
          <w:p>
            <w:pPr>
              <w:ind w:left="580"/>
              <w:spacing w:after="0"/>
              <w:rPr>
                <w:sz w:val="20"/>
                <w:szCs w:val="20"/>
                <w:color w:val="auto"/>
              </w:rPr>
            </w:pPr>
            <w:r>
              <w:rPr>
                <w:rFonts w:ascii="Arial" w:cs="Arial" w:eastAsia="Arial" w:hAnsi="Arial"/>
                <w:sz w:val="16"/>
                <w:szCs w:val="16"/>
                <w:b w:val="1"/>
                <w:bCs w:val="1"/>
                <w:color w:val="auto"/>
              </w:rPr>
              <w:t>Interest and similar expense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7100" w:type="dxa"/>
            <w:vAlign w:val="bottom"/>
          </w:tcPr>
          <w:p>
            <w:pPr>
              <w:ind w:left="580"/>
              <w:spacing w:after="0"/>
              <w:rPr>
                <w:sz w:val="20"/>
                <w:szCs w:val="20"/>
                <w:color w:val="auto"/>
              </w:rPr>
            </w:pPr>
            <w:r>
              <w:rPr>
                <w:rFonts w:ascii="Arial" w:cs="Arial" w:eastAsia="Arial" w:hAnsi="Arial"/>
                <w:sz w:val="16"/>
                <w:szCs w:val="16"/>
                <w:color w:val="auto"/>
              </w:rPr>
              <w:t>Interest on deposits and obligations</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(3,141,307)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(1,688,245)</w:t>
            </w:r>
          </w:p>
        </w:tc>
        <w:tc>
          <w:tcPr>
            <w:tcW w:w="1120" w:type="dxa"/>
            <w:vAlign w:val="bottom"/>
          </w:tcPr>
          <w:p>
            <w:pPr>
              <w:jc w:val="right"/>
              <w:spacing w:after="0"/>
              <w:rPr>
                <w:sz w:val="20"/>
                <w:szCs w:val="20"/>
                <w:color w:val="auto"/>
              </w:rPr>
            </w:pPr>
            <w:r>
              <w:rPr>
                <w:rFonts w:ascii="Arial" w:cs="Arial" w:eastAsia="Arial" w:hAnsi="Arial"/>
                <w:sz w:val="16"/>
                <w:szCs w:val="16"/>
                <w:color w:val="auto"/>
              </w:rPr>
              <w:t>(865,474)</w:t>
            </w:r>
          </w:p>
        </w:tc>
        <w:tc>
          <w:tcPr>
            <w:tcW w:w="560" w:type="dxa"/>
            <w:vAlign w:val="bottom"/>
          </w:tcPr>
          <w:p>
            <w:pPr>
              <w:spacing w:after="0"/>
              <w:rPr>
                <w:sz w:val="15"/>
                <w:szCs w:val="15"/>
                <w:color w:val="auto"/>
              </w:rPr>
            </w:pPr>
          </w:p>
        </w:tc>
      </w:tr>
      <w:tr>
        <w:trPr>
          <w:trHeight w:val="183"/>
        </w:trPr>
        <w:tc>
          <w:tcPr>
            <w:tcW w:w="7100" w:type="dxa"/>
            <w:vAlign w:val="bottom"/>
          </w:tcPr>
          <w:p>
            <w:pPr>
              <w:ind w:left="580"/>
              <w:spacing w:after="0"/>
              <w:rPr>
                <w:sz w:val="20"/>
                <w:szCs w:val="20"/>
                <w:color w:val="auto"/>
              </w:rPr>
            </w:pPr>
            <w:r>
              <w:rPr>
                <w:rFonts w:ascii="Arial" w:cs="Arial" w:eastAsia="Arial" w:hAnsi="Arial"/>
                <w:sz w:val="16"/>
                <w:szCs w:val="16"/>
                <w:color w:val="auto"/>
              </w:rPr>
              <w:t>Interest on due to banks and correspondents</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(1,158,665)</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(683,078)</w:t>
            </w:r>
          </w:p>
        </w:tc>
        <w:tc>
          <w:tcPr>
            <w:tcW w:w="1120" w:type="dxa"/>
            <w:vAlign w:val="bottom"/>
          </w:tcPr>
          <w:p>
            <w:pPr>
              <w:jc w:val="right"/>
              <w:spacing w:after="0"/>
              <w:rPr>
                <w:sz w:val="20"/>
                <w:szCs w:val="20"/>
                <w:color w:val="auto"/>
              </w:rPr>
            </w:pPr>
            <w:r>
              <w:rPr>
                <w:rFonts w:ascii="Arial" w:cs="Arial" w:eastAsia="Arial" w:hAnsi="Arial"/>
                <w:sz w:val="16"/>
                <w:szCs w:val="16"/>
                <w:color w:val="auto"/>
              </w:rPr>
              <w:t>(435,426)</w:t>
            </w:r>
          </w:p>
        </w:tc>
        <w:tc>
          <w:tcPr>
            <w:tcW w:w="560" w:type="dxa"/>
            <w:vAlign w:val="bottom"/>
          </w:tcPr>
          <w:p>
            <w:pPr>
              <w:spacing w:after="0"/>
              <w:rPr>
                <w:sz w:val="15"/>
                <w:szCs w:val="15"/>
                <w:color w:val="auto"/>
              </w:rPr>
            </w:pPr>
          </w:p>
        </w:tc>
      </w:tr>
      <w:tr>
        <w:trPr>
          <w:trHeight w:val="183"/>
        </w:trPr>
        <w:tc>
          <w:tcPr>
            <w:tcW w:w="7100" w:type="dxa"/>
            <w:vAlign w:val="bottom"/>
          </w:tcPr>
          <w:p>
            <w:pPr>
              <w:ind w:left="580"/>
              <w:spacing w:after="0"/>
              <w:rPr>
                <w:sz w:val="20"/>
                <w:szCs w:val="20"/>
                <w:color w:val="auto"/>
              </w:rPr>
            </w:pPr>
            <w:r>
              <w:rPr>
                <w:rFonts w:ascii="Arial" w:cs="Arial" w:eastAsia="Arial" w:hAnsi="Arial"/>
                <w:sz w:val="16"/>
                <w:szCs w:val="16"/>
                <w:color w:val="auto"/>
              </w:rPr>
              <w:t>Interest on bonds and notes issued</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(634,299)</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(728,218)</w:t>
            </w:r>
          </w:p>
        </w:tc>
        <w:tc>
          <w:tcPr>
            <w:tcW w:w="1120" w:type="dxa"/>
            <w:vAlign w:val="bottom"/>
          </w:tcPr>
          <w:p>
            <w:pPr>
              <w:jc w:val="right"/>
              <w:spacing w:after="0"/>
              <w:rPr>
                <w:sz w:val="20"/>
                <w:szCs w:val="20"/>
                <w:color w:val="auto"/>
              </w:rPr>
            </w:pPr>
            <w:r>
              <w:rPr>
                <w:rFonts w:ascii="Arial" w:cs="Arial" w:eastAsia="Arial" w:hAnsi="Arial"/>
                <w:sz w:val="16"/>
                <w:szCs w:val="16"/>
                <w:color w:val="auto"/>
              </w:rPr>
              <w:t>(836,977)</w:t>
            </w:r>
          </w:p>
        </w:tc>
        <w:tc>
          <w:tcPr>
            <w:tcW w:w="560" w:type="dxa"/>
            <w:vAlign w:val="bottom"/>
          </w:tcPr>
          <w:p>
            <w:pPr>
              <w:spacing w:after="0"/>
              <w:rPr>
                <w:sz w:val="15"/>
                <w:szCs w:val="15"/>
                <w:color w:val="auto"/>
              </w:rPr>
            </w:pPr>
          </w:p>
        </w:tc>
      </w:tr>
      <w:tr>
        <w:trPr>
          <w:trHeight w:val="183"/>
        </w:trPr>
        <w:tc>
          <w:tcPr>
            <w:tcW w:w="7100" w:type="dxa"/>
            <w:vAlign w:val="bottom"/>
          </w:tcPr>
          <w:p>
            <w:pPr>
              <w:ind w:left="580"/>
              <w:spacing w:after="0"/>
              <w:rPr>
                <w:sz w:val="20"/>
                <w:szCs w:val="20"/>
                <w:color w:val="auto"/>
              </w:rPr>
            </w:pPr>
            <w:r>
              <w:rPr>
                <w:rFonts w:ascii="Arial" w:cs="Arial" w:eastAsia="Arial" w:hAnsi="Arial"/>
                <w:sz w:val="16"/>
                <w:szCs w:val="16"/>
                <w:color w:val="auto"/>
              </w:rPr>
              <w:t>Financial expenses of insurance activities</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(466,814)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(426,477)</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r>
      <w:tr>
        <w:trPr>
          <w:trHeight w:val="183"/>
        </w:trPr>
        <w:tc>
          <w:tcPr>
            <w:tcW w:w="7100" w:type="dxa"/>
            <w:vAlign w:val="bottom"/>
          </w:tcPr>
          <w:p>
            <w:pPr>
              <w:ind w:left="580"/>
              <w:spacing w:after="0"/>
              <w:rPr>
                <w:sz w:val="20"/>
                <w:szCs w:val="20"/>
                <w:color w:val="auto"/>
              </w:rPr>
            </w:pPr>
            <w:r>
              <w:rPr>
                <w:rFonts w:ascii="Arial" w:cs="Arial" w:eastAsia="Arial" w:hAnsi="Arial"/>
                <w:sz w:val="16"/>
                <w:szCs w:val="16"/>
                <w:color w:val="auto"/>
              </w:rPr>
              <w:t>Deposit Insurance Fund</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(237,441)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(230,255)</w:t>
            </w:r>
          </w:p>
        </w:tc>
        <w:tc>
          <w:tcPr>
            <w:tcW w:w="1120" w:type="dxa"/>
            <w:vAlign w:val="bottom"/>
          </w:tcPr>
          <w:p>
            <w:pPr>
              <w:jc w:val="right"/>
              <w:spacing w:after="0"/>
              <w:rPr>
                <w:sz w:val="20"/>
                <w:szCs w:val="20"/>
                <w:color w:val="auto"/>
              </w:rPr>
            </w:pPr>
            <w:r>
              <w:rPr>
                <w:rFonts w:ascii="Arial" w:cs="Arial" w:eastAsia="Arial" w:hAnsi="Arial"/>
                <w:sz w:val="16"/>
                <w:szCs w:val="16"/>
                <w:color w:val="auto"/>
              </w:rPr>
              <w:t>(213,741)</w:t>
            </w:r>
          </w:p>
        </w:tc>
        <w:tc>
          <w:tcPr>
            <w:tcW w:w="560" w:type="dxa"/>
            <w:vAlign w:val="bottom"/>
          </w:tcPr>
          <w:p>
            <w:pPr>
              <w:spacing w:after="0"/>
              <w:rPr>
                <w:sz w:val="15"/>
                <w:szCs w:val="15"/>
                <w:color w:val="auto"/>
              </w:rPr>
            </w:pPr>
          </w:p>
        </w:tc>
      </w:tr>
      <w:tr>
        <w:trPr>
          <w:trHeight w:val="183"/>
        </w:trPr>
        <w:tc>
          <w:tcPr>
            <w:tcW w:w="7100" w:type="dxa"/>
            <w:vAlign w:val="bottom"/>
          </w:tcPr>
          <w:p>
            <w:pPr>
              <w:ind w:left="580"/>
              <w:spacing w:after="0"/>
              <w:rPr>
                <w:sz w:val="20"/>
                <w:szCs w:val="20"/>
                <w:color w:val="auto"/>
              </w:rPr>
            </w:pPr>
            <w:r>
              <w:rPr>
                <w:rFonts w:ascii="Arial" w:cs="Arial" w:eastAsia="Arial" w:hAnsi="Arial"/>
                <w:sz w:val="16"/>
                <w:szCs w:val="16"/>
                <w:color w:val="auto"/>
              </w:rPr>
              <w:t>Interest on lease liabilities</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(25,574)</w:t>
            </w:r>
          </w:p>
        </w:tc>
        <w:tc>
          <w:tcPr>
            <w:tcW w:w="1120" w:type="dxa"/>
            <w:vAlign w:val="bottom"/>
          </w:tcPr>
          <w:p>
            <w:pPr>
              <w:jc w:val="right"/>
              <w:spacing w:after="0"/>
              <w:rPr>
                <w:sz w:val="20"/>
                <w:szCs w:val="20"/>
                <w:color w:val="auto"/>
              </w:rPr>
            </w:pPr>
            <w:r>
              <w:rPr>
                <w:rFonts w:ascii="Arial" w:cs="Arial" w:eastAsia="Arial" w:hAnsi="Arial"/>
                <w:sz w:val="16"/>
                <w:szCs w:val="16"/>
                <w:color w:val="auto"/>
              </w:rPr>
              <w:t>(25,054)</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(27,374)</w:t>
            </w:r>
          </w:p>
        </w:tc>
        <w:tc>
          <w:tcPr>
            <w:tcW w:w="560" w:type="dxa"/>
            <w:vAlign w:val="bottom"/>
          </w:tcPr>
          <w:p>
            <w:pPr>
              <w:spacing w:after="0"/>
              <w:rPr>
                <w:sz w:val="15"/>
                <w:szCs w:val="15"/>
                <w:color w:val="auto"/>
              </w:rPr>
            </w:pPr>
          </w:p>
        </w:tc>
      </w:tr>
      <w:tr>
        <w:trPr>
          <w:trHeight w:val="200"/>
        </w:trPr>
        <w:tc>
          <w:tcPr>
            <w:tcW w:w="7100" w:type="dxa"/>
            <w:vAlign w:val="bottom"/>
          </w:tcPr>
          <w:p>
            <w:pPr>
              <w:ind w:left="580"/>
              <w:spacing w:after="0"/>
              <w:rPr>
                <w:sz w:val="20"/>
                <w:szCs w:val="20"/>
                <w:color w:val="auto"/>
              </w:rPr>
            </w:pPr>
            <w:r>
              <w:rPr>
                <w:rFonts w:ascii="Arial" w:cs="Arial" w:eastAsia="Arial" w:hAnsi="Arial"/>
                <w:sz w:val="16"/>
                <w:szCs w:val="16"/>
                <w:color w:val="auto"/>
              </w:rPr>
              <w:t>Other interest and similar expense</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(196,423)</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(138,337)</w:t>
            </w:r>
          </w:p>
        </w:tc>
        <w:tc>
          <w:tcPr>
            <w:tcW w:w="1120" w:type="dxa"/>
            <w:vAlign w:val="bottom"/>
          </w:tcPr>
          <w:p>
            <w:pPr>
              <w:jc w:val="right"/>
              <w:spacing w:after="0"/>
              <w:rPr>
                <w:sz w:val="20"/>
                <w:szCs w:val="20"/>
                <w:color w:val="auto"/>
              </w:rPr>
            </w:pPr>
            <w:r>
              <w:rPr>
                <w:rFonts w:ascii="Arial" w:cs="Arial" w:eastAsia="Arial" w:hAnsi="Arial"/>
                <w:sz w:val="16"/>
                <w:szCs w:val="16"/>
                <w:color w:val="auto"/>
              </w:rPr>
              <w:t>(111,810)</w:t>
            </w:r>
          </w:p>
        </w:tc>
        <w:tc>
          <w:tcPr>
            <w:tcW w:w="560" w:type="dxa"/>
            <w:vAlign w:val="bottom"/>
          </w:tcPr>
          <w:p>
            <w:pPr>
              <w:spacing w:after="0"/>
              <w:rPr>
                <w:sz w:val="17"/>
                <w:szCs w:val="17"/>
                <w:color w:val="auto"/>
              </w:rPr>
            </w:pPr>
          </w:p>
        </w:tc>
      </w:tr>
      <w:tr>
        <w:trPr>
          <w:trHeight w:val="180"/>
        </w:trPr>
        <w:tc>
          <w:tcPr>
            <w:tcW w:w="7100" w:type="dxa"/>
            <w:vAlign w:val="bottom"/>
          </w:tcPr>
          <w:p>
            <w:pPr>
              <w:ind w:left="580"/>
              <w:spacing w:after="0" w:line="175" w:lineRule="exact"/>
              <w:rPr>
                <w:sz w:val="20"/>
                <w:szCs w:val="20"/>
                <w:color w:val="auto"/>
              </w:rPr>
            </w:pPr>
            <w:r>
              <w:rPr>
                <w:rFonts w:ascii="Arial" w:cs="Arial" w:eastAsia="Arial" w:hAnsi="Arial"/>
                <w:sz w:val="16"/>
                <w:szCs w:val="16"/>
                <w:b w:val="1"/>
                <w:bCs w:val="1"/>
                <w:color w:val="auto"/>
              </w:rPr>
              <w:t>Total</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(5,860,523)</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(3,919,664)</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(2,490,802)</w:t>
            </w:r>
          </w:p>
        </w:tc>
        <w:tc>
          <w:tcPr>
            <w:tcW w:w="560" w:type="dxa"/>
            <w:vAlign w:val="bottom"/>
          </w:tcPr>
          <w:p>
            <w:pPr>
              <w:spacing w:after="0"/>
              <w:rPr>
                <w:sz w:val="15"/>
                <w:szCs w:val="15"/>
                <w:color w:val="auto"/>
              </w:rPr>
            </w:pPr>
          </w:p>
        </w:tc>
      </w:tr>
      <w:tr>
        <w:trPr>
          <w:trHeight w:val="541"/>
        </w:trPr>
        <w:tc>
          <w:tcPr>
            <w:tcW w:w="7100" w:type="dxa"/>
            <w:vAlign w:val="bottom"/>
          </w:tcPr>
          <w:p>
            <w:pPr>
              <w:ind w:left="5460"/>
              <w:spacing w:after="0"/>
              <w:rPr>
                <w:sz w:val="20"/>
                <w:szCs w:val="20"/>
                <w:color w:val="auto"/>
              </w:rPr>
            </w:pPr>
            <w:r>
              <w:rPr>
                <w:rFonts w:ascii="Arial" w:cs="Arial" w:eastAsia="Arial" w:hAnsi="Arial"/>
                <w:sz w:val="16"/>
                <w:szCs w:val="16"/>
                <w:color w:val="auto"/>
              </w:rPr>
              <w:t>120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8"/>
        </w:trPr>
        <w:tc>
          <w:tcPr>
            <w:tcW w:w="7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20</w:t>
            </w:r>
          </w:p>
        </w:tc>
        <w:tc>
          <w:tcPr>
            <w:tcW w:w="7880" w:type="dxa"/>
            <w:vAlign w:val="bottom"/>
            <w:gridSpan w:val="3"/>
          </w:tcPr>
          <w:p>
            <w:pPr>
              <w:ind w:left="200"/>
              <w:spacing w:after="0"/>
              <w:rPr>
                <w:sz w:val="20"/>
                <w:szCs w:val="20"/>
                <w:color w:val="auto"/>
              </w:rPr>
            </w:pPr>
            <w:r>
              <w:rPr>
                <w:rFonts w:ascii="Arial" w:cs="Arial" w:eastAsia="Arial" w:hAnsi="Arial"/>
                <w:sz w:val="16"/>
                <w:szCs w:val="16"/>
                <w:b w:val="1"/>
                <w:bCs w:val="1"/>
                <w:color w:val="auto"/>
              </w:rPr>
              <w:t>COMMISSIONS AND FEES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59"/>
        </w:trPr>
        <w:tc>
          <w:tcPr>
            <w:tcW w:w="380" w:type="dxa"/>
            <w:vAlign w:val="bottom"/>
          </w:tcPr>
          <w:p>
            <w:pPr>
              <w:spacing w:after="0"/>
              <w:rPr>
                <w:sz w:val="24"/>
                <w:szCs w:val="24"/>
                <w:color w:val="auto"/>
              </w:rPr>
            </w:pPr>
          </w:p>
        </w:tc>
        <w:tc>
          <w:tcPr>
            <w:tcW w:w="7880" w:type="dxa"/>
            <w:vAlign w:val="bottom"/>
            <w:gridSpan w:val="3"/>
          </w:tcPr>
          <w:p>
            <w:pPr>
              <w:ind w:left="200"/>
              <w:spacing w:after="0"/>
              <w:rPr>
                <w:sz w:val="20"/>
                <w:szCs w:val="20"/>
                <w:color w:val="auto"/>
              </w:rPr>
            </w:pPr>
            <w:r>
              <w:rPr>
                <w:rFonts w:ascii="Arial" w:cs="Arial" w:eastAsia="Arial" w:hAnsi="Arial"/>
                <w:sz w:val="16"/>
                <w:szCs w:val="16"/>
                <w:color w:val="auto"/>
              </w:rPr>
              <w:t>This item consists of the following: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4"/>
        </w:trPr>
        <w:tc>
          <w:tcPr>
            <w:tcW w:w="3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0"/>
        </w:trPr>
        <w:tc>
          <w:tcPr>
            <w:tcW w:w="380" w:type="dxa"/>
            <w:vAlign w:val="bottom"/>
          </w:tcPr>
          <w:p>
            <w:pPr>
              <w:spacing w:after="0"/>
              <w:rPr>
                <w:sz w:val="17"/>
                <w:szCs w:val="17"/>
                <w:color w:val="auto"/>
              </w:rPr>
            </w:pPr>
          </w:p>
        </w:tc>
        <w:tc>
          <w:tcPr>
            <w:tcW w:w="7760" w:type="dxa"/>
            <w:vAlign w:val="bottom"/>
            <w:gridSpan w:val="2"/>
          </w:tcPr>
          <w:p>
            <w:pPr>
              <w:ind w:left="660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(Restated)</w:t>
            </w:r>
          </w:p>
        </w:tc>
        <w:tc>
          <w:tcPr>
            <w:tcW w:w="1180" w:type="dxa"/>
            <w:vAlign w:val="bottom"/>
          </w:tcPr>
          <w:p>
            <w:pPr>
              <w:spacing w:after="0"/>
              <w:rPr>
                <w:sz w:val="20"/>
                <w:szCs w:val="20"/>
                <w:color w:val="auto"/>
              </w:rPr>
            </w:pPr>
            <w:r>
              <w:rPr>
                <w:rFonts w:ascii="Arial" w:cs="Arial" w:eastAsia="Arial" w:hAnsi="Arial"/>
                <w:sz w:val="16"/>
                <w:szCs w:val="16"/>
                <w:b w:val="1"/>
                <w:bCs w:val="1"/>
                <w:color w:val="auto"/>
              </w:rPr>
              <w:t>2021</w:t>
            </w:r>
          </w:p>
        </w:tc>
      </w:tr>
      <w:tr>
        <w:trPr>
          <w:trHeight w:val="216"/>
        </w:trPr>
        <w:tc>
          <w:tcPr>
            <w:tcW w:w="3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ind w:left="580"/>
              <w:spacing w:after="0"/>
              <w:rPr>
                <w:sz w:val="20"/>
                <w:szCs w:val="20"/>
                <w:color w:val="auto"/>
              </w:rPr>
            </w:pPr>
            <w:r>
              <w:rPr>
                <w:rFonts w:ascii="Arial" w:cs="Arial" w:eastAsia="Arial" w:hAnsi="Arial"/>
                <w:sz w:val="16"/>
                <w:szCs w:val="16"/>
                <w:b w:val="1"/>
                <w:bCs w:val="1"/>
                <w:color w:val="auto"/>
              </w:rPr>
              <w:t>Performance obligations at a point in time:</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580"/>
              <w:spacing w:after="0"/>
              <w:rPr>
                <w:sz w:val="20"/>
                <w:szCs w:val="20"/>
                <w:color w:val="auto"/>
              </w:rPr>
            </w:pPr>
            <w:r>
              <w:rPr>
                <w:rFonts w:ascii="Arial" w:cs="Arial" w:eastAsia="Arial" w:hAnsi="Arial"/>
                <w:sz w:val="16"/>
                <w:szCs w:val="16"/>
                <w:color w:val="auto"/>
              </w:rPr>
              <w:t>Maintenance of accounts, transfers and credit and debit card services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1,465,318</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1,595,547</w:t>
            </w:r>
          </w:p>
        </w:tc>
        <w:tc>
          <w:tcPr>
            <w:tcW w:w="1180" w:type="dxa"/>
            <w:vAlign w:val="bottom"/>
          </w:tcPr>
          <w:p>
            <w:pPr>
              <w:jc w:val="right"/>
              <w:spacing w:after="0"/>
              <w:rPr>
                <w:sz w:val="20"/>
                <w:szCs w:val="20"/>
                <w:color w:val="auto"/>
              </w:rPr>
            </w:pPr>
            <w:r>
              <w:rPr>
                <w:rFonts w:ascii="Arial" w:cs="Arial" w:eastAsia="Arial" w:hAnsi="Arial"/>
                <w:sz w:val="16"/>
                <w:szCs w:val="16"/>
                <w:color w:val="auto"/>
              </w:rPr>
              <w:t>1,442,966</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580"/>
              <w:spacing w:after="0"/>
              <w:rPr>
                <w:sz w:val="20"/>
                <w:szCs w:val="20"/>
                <w:color w:val="auto"/>
              </w:rPr>
            </w:pPr>
            <w:r>
              <w:rPr>
                <w:rFonts w:ascii="Arial" w:cs="Arial" w:eastAsia="Arial" w:hAnsi="Arial"/>
                <w:sz w:val="16"/>
                <w:szCs w:val="16"/>
                <w:color w:val="auto"/>
              </w:rPr>
              <w:t>Commissions for banking services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443,040</w:t>
            </w:r>
          </w:p>
        </w:tc>
        <w:tc>
          <w:tcPr>
            <w:tcW w:w="1160" w:type="dxa"/>
            <w:vAlign w:val="bottom"/>
          </w:tcPr>
          <w:p>
            <w:pPr>
              <w:jc w:val="right"/>
              <w:spacing w:after="0"/>
              <w:rPr>
                <w:sz w:val="20"/>
                <w:szCs w:val="20"/>
                <w:color w:val="auto"/>
              </w:rPr>
            </w:pPr>
            <w:r>
              <w:rPr>
                <w:rFonts w:ascii="Arial" w:cs="Arial" w:eastAsia="Arial" w:hAnsi="Arial"/>
                <w:sz w:val="16"/>
                <w:szCs w:val="16"/>
                <w:color w:val="auto"/>
              </w:rPr>
              <w:t>367,946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301,592</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580"/>
              <w:spacing w:after="0"/>
              <w:rPr>
                <w:sz w:val="20"/>
                <w:szCs w:val="20"/>
                <w:color w:val="auto"/>
              </w:rPr>
            </w:pPr>
            <w:r>
              <w:rPr>
                <w:rFonts w:ascii="Arial" w:cs="Arial" w:eastAsia="Arial" w:hAnsi="Arial"/>
                <w:sz w:val="16"/>
                <w:szCs w:val="16"/>
                <w:color w:val="auto"/>
              </w:rPr>
              <w:t>Collection services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119,563</w:t>
            </w:r>
          </w:p>
        </w:tc>
        <w:tc>
          <w:tcPr>
            <w:tcW w:w="1160" w:type="dxa"/>
            <w:vAlign w:val="bottom"/>
          </w:tcPr>
          <w:p>
            <w:pPr>
              <w:jc w:val="right"/>
              <w:spacing w:after="0"/>
              <w:rPr>
                <w:sz w:val="20"/>
                <w:szCs w:val="20"/>
                <w:color w:val="auto"/>
              </w:rPr>
            </w:pPr>
            <w:r>
              <w:rPr>
                <w:rFonts w:ascii="Arial" w:cs="Arial" w:eastAsia="Arial" w:hAnsi="Arial"/>
                <w:sz w:val="16"/>
                <w:szCs w:val="16"/>
                <w:color w:val="auto"/>
              </w:rPr>
              <w:t>119,636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107,442</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580"/>
              <w:spacing w:after="0"/>
              <w:rPr>
                <w:sz w:val="20"/>
                <w:szCs w:val="20"/>
                <w:color w:val="auto"/>
              </w:rPr>
            </w:pPr>
            <w:r>
              <w:rPr>
                <w:rFonts w:ascii="Arial" w:cs="Arial" w:eastAsia="Arial" w:hAnsi="Arial"/>
                <w:sz w:val="16"/>
                <w:szCs w:val="16"/>
                <w:color w:val="auto"/>
              </w:rPr>
              <w:t>Commissions for consulting and technical studies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61,390</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66,291</w:t>
            </w:r>
          </w:p>
        </w:tc>
        <w:tc>
          <w:tcPr>
            <w:tcW w:w="1180" w:type="dxa"/>
            <w:vAlign w:val="bottom"/>
          </w:tcPr>
          <w:p>
            <w:pPr>
              <w:jc w:val="right"/>
              <w:spacing w:after="0"/>
              <w:rPr>
                <w:sz w:val="20"/>
                <w:szCs w:val="20"/>
                <w:color w:val="auto"/>
              </w:rPr>
            </w:pPr>
            <w:r>
              <w:rPr>
                <w:rFonts w:ascii="Arial" w:cs="Arial" w:eastAsia="Arial" w:hAnsi="Arial"/>
                <w:sz w:val="16"/>
                <w:szCs w:val="16"/>
                <w:color w:val="auto"/>
              </w:rPr>
              <w:t>62,384</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580"/>
              <w:spacing w:after="0"/>
              <w:rPr>
                <w:sz w:val="20"/>
                <w:szCs w:val="20"/>
                <w:color w:val="auto"/>
              </w:rPr>
            </w:pPr>
            <w:r>
              <w:rPr>
                <w:rFonts w:ascii="Arial" w:cs="Arial" w:eastAsia="Arial" w:hAnsi="Arial"/>
                <w:sz w:val="16"/>
                <w:szCs w:val="16"/>
                <w:color w:val="auto"/>
              </w:rPr>
              <w:t>Commissions for salary advance and payment of services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59,903</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66,330</w:t>
            </w:r>
          </w:p>
        </w:tc>
        <w:tc>
          <w:tcPr>
            <w:tcW w:w="1180" w:type="dxa"/>
            <w:vAlign w:val="bottom"/>
          </w:tcPr>
          <w:p>
            <w:pPr>
              <w:jc w:val="right"/>
              <w:spacing w:after="0"/>
              <w:rPr>
                <w:sz w:val="20"/>
                <w:szCs w:val="20"/>
                <w:color w:val="auto"/>
              </w:rPr>
            </w:pPr>
            <w:r>
              <w:rPr>
                <w:rFonts w:ascii="Arial" w:cs="Arial" w:eastAsia="Arial" w:hAnsi="Arial"/>
                <w:sz w:val="16"/>
                <w:szCs w:val="16"/>
                <w:color w:val="auto"/>
              </w:rPr>
              <w:t>52,557</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580"/>
              <w:spacing w:after="0"/>
              <w:rPr>
                <w:sz w:val="20"/>
                <w:szCs w:val="20"/>
                <w:color w:val="auto"/>
              </w:rPr>
            </w:pPr>
            <w:r>
              <w:rPr>
                <w:rFonts w:ascii="Arial" w:cs="Arial" w:eastAsia="Arial" w:hAnsi="Arial"/>
                <w:sz w:val="16"/>
                <w:szCs w:val="16"/>
                <w:color w:val="auto"/>
              </w:rPr>
              <w:t>Commissions for brokerages, stockbrokers and stock markets.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43,861</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44,225</w:t>
            </w:r>
          </w:p>
        </w:tc>
        <w:tc>
          <w:tcPr>
            <w:tcW w:w="1180" w:type="dxa"/>
            <w:vAlign w:val="bottom"/>
          </w:tcPr>
          <w:p>
            <w:pPr>
              <w:jc w:val="right"/>
              <w:spacing w:after="0"/>
              <w:rPr>
                <w:sz w:val="20"/>
                <w:szCs w:val="20"/>
                <w:color w:val="auto"/>
              </w:rPr>
            </w:pPr>
            <w:r>
              <w:rPr>
                <w:rFonts w:ascii="Arial" w:cs="Arial" w:eastAsia="Arial" w:hAnsi="Arial"/>
                <w:sz w:val="16"/>
                <w:szCs w:val="16"/>
                <w:color w:val="auto"/>
              </w:rPr>
              <w:t>40,769</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580"/>
              <w:spacing w:after="0"/>
              <w:rPr>
                <w:sz w:val="20"/>
                <w:szCs w:val="20"/>
                <w:color w:val="auto"/>
              </w:rPr>
            </w:pPr>
            <w:r>
              <w:rPr>
                <w:rFonts w:ascii="Arial" w:cs="Arial" w:eastAsia="Arial" w:hAnsi="Arial"/>
                <w:sz w:val="16"/>
                <w:szCs w:val="16"/>
                <w:color w:val="auto"/>
              </w:rPr>
              <w:t>Commissions for intermediation in virtual platforms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41,376</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35,324</w:t>
            </w:r>
          </w:p>
        </w:tc>
        <w:tc>
          <w:tcPr>
            <w:tcW w:w="1180" w:type="dxa"/>
            <w:vAlign w:val="bottom"/>
          </w:tcPr>
          <w:p>
            <w:pPr>
              <w:jc w:val="right"/>
              <w:spacing w:after="0"/>
              <w:rPr>
                <w:sz w:val="20"/>
                <w:szCs w:val="20"/>
                <w:color w:val="auto"/>
              </w:rPr>
            </w:pPr>
            <w:r>
              <w:rPr>
                <w:rFonts w:ascii="Arial" w:cs="Arial" w:eastAsia="Arial" w:hAnsi="Arial"/>
                <w:sz w:val="16"/>
                <w:szCs w:val="16"/>
                <w:color w:val="auto"/>
              </w:rPr>
              <w:t>29,983</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580"/>
              <w:spacing w:after="0"/>
              <w:rPr>
                <w:sz w:val="20"/>
                <w:szCs w:val="20"/>
                <w:color w:val="auto"/>
              </w:rPr>
            </w:pPr>
            <w:r>
              <w:rPr>
                <w:rFonts w:ascii="Arial" w:cs="Arial" w:eastAsia="Arial" w:hAnsi="Arial"/>
                <w:sz w:val="16"/>
                <w:szCs w:val="16"/>
                <w:color w:val="auto"/>
              </w:rPr>
              <w:t>Operational commissions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41,082</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36,213</w:t>
            </w:r>
          </w:p>
        </w:tc>
        <w:tc>
          <w:tcPr>
            <w:tcW w:w="1180" w:type="dxa"/>
            <w:vAlign w:val="bottom"/>
          </w:tcPr>
          <w:p>
            <w:pPr>
              <w:jc w:val="right"/>
              <w:spacing w:after="0"/>
              <w:rPr>
                <w:sz w:val="20"/>
                <w:szCs w:val="20"/>
                <w:color w:val="auto"/>
              </w:rPr>
            </w:pPr>
            <w:r>
              <w:rPr>
                <w:rFonts w:ascii="Arial" w:cs="Arial" w:eastAsia="Arial" w:hAnsi="Arial"/>
                <w:sz w:val="16"/>
                <w:szCs w:val="16"/>
                <w:color w:val="auto"/>
              </w:rPr>
              <w:t>76,626</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580"/>
              <w:spacing w:after="0"/>
              <w:rPr>
                <w:sz w:val="20"/>
                <w:szCs w:val="20"/>
                <w:color w:val="auto"/>
              </w:rPr>
            </w:pPr>
            <w:r>
              <w:rPr>
                <w:rFonts w:ascii="Arial" w:cs="Arial" w:eastAsia="Arial" w:hAnsi="Arial"/>
                <w:sz w:val="16"/>
                <w:szCs w:val="16"/>
                <w:color w:val="auto"/>
              </w:rPr>
              <w:t>Commissions for placements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32,253</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27,686</w:t>
            </w:r>
          </w:p>
        </w:tc>
        <w:tc>
          <w:tcPr>
            <w:tcW w:w="1180" w:type="dxa"/>
            <w:vAlign w:val="bottom"/>
          </w:tcPr>
          <w:p>
            <w:pPr>
              <w:jc w:val="right"/>
              <w:spacing w:after="0"/>
              <w:rPr>
                <w:sz w:val="20"/>
                <w:szCs w:val="20"/>
                <w:color w:val="auto"/>
              </w:rPr>
            </w:pPr>
            <w:r>
              <w:rPr>
                <w:rFonts w:ascii="Arial" w:cs="Arial" w:eastAsia="Arial" w:hAnsi="Arial"/>
                <w:sz w:val="16"/>
                <w:szCs w:val="16"/>
                <w:color w:val="auto"/>
              </w:rPr>
              <w:t>18,451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580"/>
              <w:spacing w:after="0"/>
              <w:rPr>
                <w:sz w:val="20"/>
                <w:szCs w:val="20"/>
                <w:color w:val="auto"/>
              </w:rPr>
            </w:pPr>
            <w:r>
              <w:rPr>
                <w:rFonts w:ascii="Arial" w:cs="Arial" w:eastAsia="Arial" w:hAnsi="Arial"/>
                <w:sz w:val="16"/>
                <w:szCs w:val="16"/>
                <w:color w:val="auto"/>
              </w:rPr>
              <w:t>Penalty commissions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1,635</w:t>
            </w:r>
          </w:p>
        </w:tc>
        <w:tc>
          <w:tcPr>
            <w:tcW w:w="1160" w:type="dxa"/>
            <w:vAlign w:val="bottom"/>
          </w:tcPr>
          <w:p>
            <w:pPr>
              <w:jc w:val="right"/>
              <w:spacing w:after="0"/>
              <w:rPr>
                <w:sz w:val="20"/>
                <w:szCs w:val="20"/>
                <w:color w:val="auto"/>
              </w:rPr>
            </w:pPr>
            <w:r>
              <w:rPr>
                <w:rFonts w:ascii="Arial" w:cs="Arial" w:eastAsia="Arial" w:hAnsi="Arial"/>
                <w:sz w:val="16"/>
                <w:szCs w:val="16"/>
                <w:color w:val="auto"/>
              </w:rPr>
              <w:t>3,104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21,420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980" w:type="dxa"/>
            <w:vAlign w:val="bottom"/>
          </w:tcPr>
          <w:p>
            <w:pPr>
              <w:ind w:left="580"/>
              <w:spacing w:after="0"/>
              <w:rPr>
                <w:sz w:val="20"/>
                <w:szCs w:val="20"/>
                <w:color w:val="auto"/>
              </w:rPr>
            </w:pPr>
            <w:r>
              <w:rPr>
                <w:rFonts w:ascii="Arial" w:cs="Arial" w:eastAsia="Arial" w:hAnsi="Arial"/>
                <w:sz w:val="16"/>
                <w:szCs w:val="16"/>
                <w:color w:val="auto"/>
              </w:rPr>
              <w:t>Others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97,450</w:t>
            </w:r>
          </w:p>
        </w:tc>
        <w:tc>
          <w:tcPr>
            <w:tcW w:w="1160" w:type="dxa"/>
            <w:vAlign w:val="bottom"/>
          </w:tcPr>
          <w:p>
            <w:pPr>
              <w:jc w:val="right"/>
              <w:spacing w:after="0"/>
              <w:rPr>
                <w:sz w:val="20"/>
                <w:szCs w:val="20"/>
                <w:color w:val="auto"/>
              </w:rPr>
            </w:pPr>
            <w:r>
              <w:rPr>
                <w:rFonts w:ascii="Arial" w:cs="Arial" w:eastAsia="Arial" w:hAnsi="Arial"/>
                <w:sz w:val="16"/>
                <w:szCs w:val="16"/>
                <w:color w:val="auto"/>
              </w:rPr>
              <w:t>127,051</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81,947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2,406,871</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2,489,353</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2,236,137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6980" w:type="dxa"/>
            <w:vAlign w:val="bottom"/>
          </w:tcPr>
          <w:p>
            <w:pPr>
              <w:ind w:left="580"/>
              <w:spacing w:after="0"/>
              <w:rPr>
                <w:sz w:val="20"/>
                <w:szCs w:val="20"/>
                <w:color w:val="auto"/>
              </w:rPr>
            </w:pPr>
            <w:r>
              <w:rPr>
                <w:rFonts w:ascii="Arial" w:cs="Arial" w:eastAsia="Arial" w:hAnsi="Arial"/>
                <w:sz w:val="16"/>
                <w:szCs w:val="16"/>
                <w:b w:val="1"/>
                <w:bCs w:val="1"/>
                <w:color w:val="auto"/>
              </w:rPr>
              <w:t>Performance obligations over time:</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580"/>
              <w:spacing w:after="0"/>
              <w:rPr>
                <w:sz w:val="20"/>
                <w:szCs w:val="20"/>
                <w:color w:val="auto"/>
              </w:rPr>
            </w:pPr>
            <w:r>
              <w:rPr>
                <w:rFonts w:ascii="Arial" w:cs="Arial" w:eastAsia="Arial" w:hAnsi="Arial"/>
                <w:sz w:val="16"/>
                <w:szCs w:val="16"/>
                <w:color w:val="auto"/>
              </w:rPr>
              <w:t>Funds and equity management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700,663</w:t>
            </w:r>
          </w:p>
        </w:tc>
        <w:tc>
          <w:tcPr>
            <w:tcW w:w="1160" w:type="dxa"/>
            <w:vAlign w:val="bottom"/>
          </w:tcPr>
          <w:p>
            <w:pPr>
              <w:jc w:val="right"/>
              <w:spacing w:after="0"/>
              <w:rPr>
                <w:sz w:val="20"/>
                <w:szCs w:val="20"/>
                <w:color w:val="auto"/>
              </w:rPr>
            </w:pPr>
            <w:r>
              <w:rPr>
                <w:rFonts w:ascii="Arial" w:cs="Arial" w:eastAsia="Arial" w:hAnsi="Arial"/>
                <w:sz w:val="16"/>
                <w:szCs w:val="16"/>
                <w:color w:val="auto"/>
              </w:rPr>
              <w:t>628,739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717,227</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80" w:type="dxa"/>
            <w:vAlign w:val="bottom"/>
          </w:tcPr>
          <w:p>
            <w:pPr>
              <w:ind w:left="580"/>
              <w:spacing w:after="0"/>
              <w:rPr>
                <w:sz w:val="20"/>
                <w:szCs w:val="20"/>
                <w:color w:val="auto"/>
              </w:rPr>
            </w:pPr>
            <w:r>
              <w:rPr>
                <w:rFonts w:ascii="Arial" w:cs="Arial" w:eastAsia="Arial" w:hAnsi="Arial"/>
                <w:sz w:val="16"/>
                <w:szCs w:val="16"/>
                <w:color w:val="auto"/>
              </w:rPr>
              <w:t>Contingent loans and foreign trade fees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651,392</w:t>
            </w:r>
          </w:p>
        </w:tc>
        <w:tc>
          <w:tcPr>
            <w:tcW w:w="1160" w:type="dxa"/>
            <w:vAlign w:val="bottom"/>
          </w:tcPr>
          <w:p>
            <w:pPr>
              <w:jc w:val="right"/>
              <w:spacing w:after="0"/>
              <w:rPr>
                <w:sz w:val="20"/>
                <w:szCs w:val="20"/>
                <w:color w:val="auto"/>
              </w:rPr>
            </w:pPr>
            <w:r>
              <w:rPr>
                <w:rFonts w:ascii="Arial" w:cs="Arial" w:eastAsia="Arial" w:hAnsi="Arial"/>
                <w:sz w:val="16"/>
                <w:szCs w:val="16"/>
                <w:color w:val="auto"/>
              </w:rPr>
              <w:t>450,874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459,165</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980" w:type="dxa"/>
            <w:vAlign w:val="bottom"/>
          </w:tcPr>
          <w:p>
            <w:pPr>
              <w:ind w:left="580"/>
              <w:spacing w:after="0"/>
              <w:rPr>
                <w:sz w:val="20"/>
                <w:szCs w:val="20"/>
                <w:color w:val="auto"/>
              </w:rPr>
            </w:pPr>
            <w:r>
              <w:rPr>
                <w:rFonts w:ascii="Arial" w:cs="Arial" w:eastAsia="Arial" w:hAnsi="Arial"/>
                <w:sz w:val="16"/>
                <w:szCs w:val="16"/>
                <w:color w:val="auto"/>
              </w:rPr>
              <w:t>Commissions for custody of securities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45,533</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73,891</w:t>
            </w:r>
          </w:p>
        </w:tc>
        <w:tc>
          <w:tcPr>
            <w:tcW w:w="1180" w:type="dxa"/>
            <w:vAlign w:val="bottom"/>
          </w:tcPr>
          <w:p>
            <w:pPr>
              <w:jc w:val="right"/>
              <w:spacing w:after="0"/>
              <w:rPr>
                <w:sz w:val="20"/>
                <w:szCs w:val="20"/>
                <w:color w:val="auto"/>
              </w:rPr>
            </w:pPr>
            <w:r>
              <w:rPr>
                <w:rFonts w:ascii="Arial" w:cs="Arial" w:eastAsia="Arial" w:hAnsi="Arial"/>
                <w:sz w:val="16"/>
                <w:szCs w:val="16"/>
                <w:color w:val="auto"/>
              </w:rPr>
              <w:t>81,205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1,397,588</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1,153,504</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1,257,597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98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bottom w:val="single" w:sz="8" w:color="auto"/>
            </w:tcBorders>
          </w:tcPr>
          <w:p>
            <w:pPr>
              <w:spacing w:after="0"/>
              <w:rPr>
                <w:sz w:val="13"/>
                <w:szCs w:val="13"/>
                <w:color w:val="auto"/>
              </w:rPr>
            </w:pPr>
          </w:p>
        </w:tc>
        <w:tc>
          <w:tcPr>
            <w:tcW w:w="120" w:type="dxa"/>
            <w:vAlign w:val="bottom"/>
            <w:vMerge w:val="restart"/>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vMerge w:val="restart"/>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80" w:type="dxa"/>
            <w:vAlign w:val="bottom"/>
            <w:vMerge w:val="continue"/>
          </w:tcPr>
          <w:p>
            <w:pPr>
              <w:spacing w:after="0"/>
              <w:rPr>
                <w:sz w:val="15"/>
                <w:szCs w:val="15"/>
                <w:color w:val="auto"/>
              </w:rPr>
            </w:pPr>
          </w:p>
        </w:tc>
        <w:tc>
          <w:tcPr>
            <w:tcW w:w="11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3,804,459</w:t>
            </w:r>
          </w:p>
        </w:tc>
        <w:tc>
          <w:tcPr>
            <w:tcW w:w="120" w:type="dxa"/>
            <w:vAlign w:val="bottom"/>
            <w:vMerge w:val="continue"/>
          </w:tcPr>
          <w:p>
            <w:pPr>
              <w:spacing w:after="0"/>
              <w:rPr>
                <w:sz w:val="15"/>
                <w:szCs w:val="15"/>
                <w:color w:val="auto"/>
              </w:rPr>
            </w:pPr>
          </w:p>
        </w:tc>
        <w:tc>
          <w:tcPr>
            <w:tcW w:w="11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3,642,857</w:t>
            </w:r>
          </w:p>
        </w:tc>
        <w:tc>
          <w:tcPr>
            <w:tcW w:w="100" w:type="dxa"/>
            <w:vAlign w:val="bottom"/>
            <w:vMerge w:val="continue"/>
          </w:tcPr>
          <w:p>
            <w:pPr>
              <w:spacing w:after="0"/>
              <w:rPr>
                <w:sz w:val="15"/>
                <w:szCs w:val="15"/>
                <w:color w:val="auto"/>
              </w:rPr>
            </w:pPr>
          </w:p>
        </w:tc>
        <w:tc>
          <w:tcPr>
            <w:tcW w:w="11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3,493,734</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1"/>
        </w:trPr>
        <w:tc>
          <w:tcPr>
            <w:tcW w:w="6980" w:type="dxa"/>
            <w:vAlign w:val="bottom"/>
          </w:tcPr>
          <w:p>
            <w:pPr>
              <w:ind w:left="5460"/>
              <w:spacing w:after="0"/>
              <w:rPr>
                <w:sz w:val="20"/>
                <w:szCs w:val="20"/>
                <w:color w:val="auto"/>
              </w:rPr>
            </w:pPr>
            <w:r>
              <w:rPr>
                <w:rFonts w:ascii="Arial" w:cs="Arial" w:eastAsia="Arial" w:hAnsi="Arial"/>
                <w:sz w:val="16"/>
                <w:szCs w:val="16"/>
                <w:color w:val="auto"/>
              </w:rPr>
              <w:t>121</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69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6" w:right="31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21</w:t>
            </w:r>
          </w:p>
        </w:tc>
        <w:tc>
          <w:tcPr>
            <w:tcW w:w="71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 GAIN ON SECURITIES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59"/>
        </w:trPr>
        <w:tc>
          <w:tcPr>
            <w:tcW w:w="380" w:type="dxa"/>
            <w:vAlign w:val="bottom"/>
          </w:tcPr>
          <w:p>
            <w:pPr>
              <w:spacing w:after="0"/>
              <w:rPr>
                <w:sz w:val="24"/>
                <w:szCs w:val="24"/>
                <w:color w:val="auto"/>
              </w:rPr>
            </w:pPr>
          </w:p>
        </w:tc>
        <w:tc>
          <w:tcPr>
            <w:tcW w:w="7160" w:type="dxa"/>
            <w:vAlign w:val="bottom"/>
            <w:gridSpan w:val="2"/>
          </w:tcPr>
          <w:p>
            <w:pPr>
              <w:ind w:left="200"/>
              <w:spacing w:after="0"/>
              <w:rPr>
                <w:sz w:val="20"/>
                <w:szCs w:val="20"/>
                <w:color w:val="auto"/>
              </w:rPr>
            </w:pPr>
            <w:r>
              <w:rPr>
                <w:rFonts w:ascii="Arial" w:cs="Arial" w:eastAsia="Arial" w:hAnsi="Arial"/>
                <w:sz w:val="16"/>
                <w:szCs w:val="16"/>
                <w:color w:val="auto"/>
              </w:rPr>
              <w:t>This item consists of the following:</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7160" w:type="dxa"/>
            <w:vAlign w:val="bottom"/>
            <w:gridSpan w:val="2"/>
          </w:tcPr>
          <w:p>
            <w:pPr>
              <w:ind w:left="6600"/>
              <w:spacing w:after="0"/>
              <w:rPr>
                <w:sz w:val="20"/>
                <w:szCs w:val="20"/>
                <w:color w:val="auto"/>
              </w:rPr>
            </w:pPr>
            <w:r>
              <w:rPr>
                <w:rFonts w:ascii="Arial" w:cs="Arial" w:eastAsia="Arial" w:hAnsi="Arial"/>
                <w:sz w:val="16"/>
                <w:szCs w:val="16"/>
                <w:b w:val="1"/>
                <w:bCs w:val="1"/>
                <w:color w:val="auto"/>
              </w:rPr>
              <w:t>2023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10"/>
        </w:trPr>
        <w:tc>
          <w:tcPr>
            <w:tcW w:w="380" w:type="dxa"/>
            <w:vAlign w:val="bottom"/>
          </w:tcPr>
          <w:p>
            <w:pPr>
              <w:spacing w:after="0"/>
              <w:rPr>
                <w:sz w:val="24"/>
                <w:szCs w:val="24"/>
                <w:color w:val="auto"/>
              </w:rPr>
            </w:pPr>
          </w:p>
        </w:tc>
        <w:tc>
          <w:tcPr>
            <w:tcW w:w="7160" w:type="dxa"/>
            <w:vAlign w:val="bottom"/>
            <w:gridSpan w:val="2"/>
          </w:tcPr>
          <w:p>
            <w:pPr>
              <w:ind w:left="200"/>
              <w:spacing w:after="0"/>
              <w:rPr>
                <w:sz w:val="20"/>
                <w:szCs w:val="20"/>
                <w:color w:val="auto"/>
              </w:rPr>
            </w:pPr>
            <w:r>
              <w:rPr>
                <w:rFonts w:ascii="Arial" w:cs="Arial" w:eastAsia="Arial" w:hAnsi="Arial"/>
                <w:sz w:val="16"/>
                <w:szCs w:val="16"/>
                <w:color w:val="auto"/>
              </w:rPr>
              <w:t>Net gain (loss) on investments at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3"/>
        </w:trPr>
        <w:tc>
          <w:tcPr>
            <w:tcW w:w="380" w:type="dxa"/>
            <w:vAlign w:val="bottom"/>
          </w:tcPr>
          <w:p>
            <w:pPr>
              <w:spacing w:after="0"/>
              <w:rPr>
                <w:sz w:val="15"/>
                <w:szCs w:val="15"/>
                <w:color w:val="auto"/>
              </w:rPr>
            </w:pPr>
          </w:p>
        </w:tc>
        <w:tc>
          <w:tcPr>
            <w:tcW w:w="7160" w:type="dxa"/>
            <w:vAlign w:val="bottom"/>
            <w:gridSpan w:val="2"/>
          </w:tcPr>
          <w:p>
            <w:pPr>
              <w:ind w:left="200"/>
              <w:spacing w:after="0"/>
              <w:rPr>
                <w:sz w:val="20"/>
                <w:szCs w:val="20"/>
                <w:color w:val="auto"/>
              </w:rPr>
            </w:pPr>
            <w:r>
              <w:rPr>
                <w:rFonts w:ascii="Arial" w:cs="Arial" w:eastAsia="Arial" w:hAnsi="Arial"/>
                <w:sz w:val="16"/>
                <w:szCs w:val="16"/>
                <w:color w:val="auto"/>
              </w:rPr>
              <w:t>fair value through profit or loss</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325,808</w:t>
            </w:r>
          </w:p>
        </w:tc>
        <w:tc>
          <w:tcPr>
            <w:tcW w:w="1160" w:type="dxa"/>
            <w:vAlign w:val="bottom"/>
          </w:tcPr>
          <w:p>
            <w:pPr>
              <w:jc w:val="right"/>
              <w:spacing w:after="0"/>
              <w:rPr>
                <w:sz w:val="20"/>
                <w:szCs w:val="20"/>
                <w:color w:val="auto"/>
              </w:rPr>
            </w:pPr>
            <w:r>
              <w:rPr>
                <w:rFonts w:ascii="Arial" w:cs="Arial" w:eastAsia="Arial" w:hAnsi="Arial"/>
                <w:sz w:val="16"/>
                <w:szCs w:val="16"/>
                <w:color w:val="auto"/>
              </w:rPr>
              <w:t>(114,892)</w:t>
            </w:r>
          </w:p>
        </w:tc>
        <w:tc>
          <w:tcPr>
            <w:tcW w:w="10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(102,761)</w:t>
            </w:r>
          </w:p>
        </w:tc>
        <w:tc>
          <w:tcPr>
            <w:tcW w:w="540" w:type="dxa"/>
            <w:vAlign w:val="bottom"/>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7160" w:type="dxa"/>
            <w:vAlign w:val="bottom"/>
            <w:gridSpan w:val="2"/>
          </w:tcPr>
          <w:p>
            <w:pPr>
              <w:ind w:left="200"/>
              <w:spacing w:after="0"/>
              <w:rPr>
                <w:sz w:val="20"/>
                <w:szCs w:val="20"/>
                <w:color w:val="auto"/>
              </w:rPr>
            </w:pPr>
            <w:r>
              <w:rPr>
                <w:rFonts w:ascii="Arial" w:cs="Arial" w:eastAsia="Arial" w:hAnsi="Arial"/>
                <w:sz w:val="16"/>
                <w:szCs w:val="16"/>
                <w:color w:val="auto"/>
              </w:rPr>
              <w:t>Net gain in associates</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117,089</w:t>
            </w:r>
          </w:p>
        </w:tc>
        <w:tc>
          <w:tcPr>
            <w:tcW w:w="1160" w:type="dxa"/>
            <w:vAlign w:val="bottom"/>
          </w:tcPr>
          <w:p>
            <w:pPr>
              <w:jc w:val="right"/>
              <w:spacing w:after="0"/>
              <w:rPr>
                <w:sz w:val="20"/>
                <w:szCs w:val="20"/>
                <w:color w:val="auto"/>
              </w:rPr>
            </w:pPr>
            <w:r>
              <w:rPr>
                <w:rFonts w:ascii="Arial" w:cs="Arial" w:eastAsia="Arial" w:hAnsi="Arial"/>
                <w:sz w:val="16"/>
                <w:szCs w:val="16"/>
                <w:color w:val="auto"/>
              </w:rPr>
              <w:t>104,461</w:t>
            </w:r>
          </w:p>
        </w:tc>
        <w:tc>
          <w:tcPr>
            <w:tcW w:w="10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74,021</w:t>
            </w:r>
          </w:p>
        </w:tc>
        <w:tc>
          <w:tcPr>
            <w:tcW w:w="540" w:type="dxa"/>
            <w:vAlign w:val="bottom"/>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7160" w:type="dxa"/>
            <w:vAlign w:val="bottom"/>
            <w:gridSpan w:val="2"/>
          </w:tcPr>
          <w:p>
            <w:pPr>
              <w:ind w:left="200"/>
              <w:spacing w:after="0"/>
              <w:rPr>
                <w:sz w:val="20"/>
                <w:szCs w:val="20"/>
                <w:color w:val="auto"/>
              </w:rPr>
            </w:pPr>
            <w:r>
              <w:rPr>
                <w:rFonts w:ascii="Arial" w:cs="Arial" w:eastAsia="Arial" w:hAnsi="Arial"/>
                <w:sz w:val="16"/>
                <w:szCs w:val="16"/>
                <w:color w:val="auto"/>
              </w:rPr>
              <w:t>(Provision) of credit loss for</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7160" w:type="dxa"/>
            <w:vAlign w:val="bottom"/>
            <w:gridSpan w:val="2"/>
          </w:tcPr>
          <w:p>
            <w:pPr>
              <w:ind w:left="200"/>
              <w:spacing w:after="0"/>
              <w:rPr>
                <w:sz w:val="20"/>
                <w:szCs w:val="20"/>
                <w:color w:val="auto"/>
              </w:rPr>
            </w:pPr>
            <w:r>
              <w:rPr>
                <w:rFonts w:ascii="Arial" w:cs="Arial" w:eastAsia="Arial" w:hAnsi="Arial"/>
                <w:sz w:val="16"/>
                <w:szCs w:val="16"/>
                <w:color w:val="auto"/>
              </w:rPr>
              <w:t>investments at fair value with changes in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716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note 6(b)</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(4,321)</w:t>
            </w:r>
          </w:p>
        </w:tc>
        <w:tc>
          <w:tcPr>
            <w:tcW w:w="1160" w:type="dxa"/>
            <w:vAlign w:val="bottom"/>
          </w:tcPr>
          <w:p>
            <w:pPr>
              <w:jc w:val="right"/>
              <w:spacing w:after="0"/>
              <w:rPr>
                <w:sz w:val="20"/>
                <w:szCs w:val="20"/>
                <w:color w:val="auto"/>
              </w:rPr>
            </w:pPr>
            <w:r>
              <w:rPr>
                <w:rFonts w:ascii="Arial" w:cs="Arial" w:eastAsia="Arial" w:hAnsi="Arial"/>
                <w:sz w:val="16"/>
                <w:szCs w:val="16"/>
                <w:color w:val="auto"/>
              </w:rPr>
              <w:t>(58,260)</w:t>
            </w:r>
          </w:p>
        </w:tc>
        <w:tc>
          <w:tcPr>
            <w:tcW w:w="10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(6,816)</w:t>
            </w:r>
          </w:p>
        </w:tc>
        <w:tc>
          <w:tcPr>
            <w:tcW w:w="540" w:type="dxa"/>
            <w:vAlign w:val="bottom"/>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7160" w:type="dxa"/>
            <w:vAlign w:val="bottom"/>
            <w:gridSpan w:val="2"/>
          </w:tcPr>
          <w:p>
            <w:pPr>
              <w:ind w:left="200"/>
              <w:spacing w:after="0"/>
              <w:rPr>
                <w:sz w:val="20"/>
                <w:szCs w:val="20"/>
                <w:color w:val="auto"/>
              </w:rPr>
            </w:pPr>
            <w:r>
              <w:rPr>
                <w:rFonts w:ascii="Arial" w:cs="Arial" w:eastAsia="Arial" w:hAnsi="Arial"/>
                <w:sz w:val="16"/>
                <w:szCs w:val="16"/>
                <w:color w:val="auto"/>
              </w:rPr>
              <w:t>Net (loss) gain on investments at fair value with changes in other comprehensive</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7160" w:type="dxa"/>
            <w:vAlign w:val="bottom"/>
            <w:gridSpan w:val="2"/>
          </w:tcPr>
          <w:p>
            <w:pPr>
              <w:ind w:left="360"/>
              <w:spacing w:after="0"/>
              <w:rPr>
                <w:sz w:val="20"/>
                <w:szCs w:val="20"/>
                <w:color w:val="auto"/>
              </w:rPr>
            </w:pPr>
            <w:r>
              <w:rPr>
                <w:rFonts w:ascii="Arial" w:cs="Arial" w:eastAsia="Arial" w:hAnsi="Arial"/>
                <w:sz w:val="16"/>
                <w:szCs w:val="16"/>
                <w:color w:val="auto"/>
              </w:rPr>
              <w:t>income</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(14,917)</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75,273</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65,976</w:t>
            </w:r>
          </w:p>
        </w:tc>
        <w:tc>
          <w:tcPr>
            <w:tcW w:w="540" w:type="dxa"/>
            <w:vAlign w:val="bottom"/>
          </w:tcPr>
          <w:p>
            <w:pPr>
              <w:spacing w:after="0"/>
              <w:rPr>
                <w:sz w:val="15"/>
                <w:szCs w:val="15"/>
                <w:color w:val="auto"/>
              </w:rPr>
            </w:pPr>
          </w:p>
        </w:tc>
      </w:tr>
      <w:tr>
        <w:trPr>
          <w:trHeight w:val="200"/>
        </w:trPr>
        <w:tc>
          <w:tcPr>
            <w:tcW w:w="380" w:type="dxa"/>
            <w:vAlign w:val="bottom"/>
          </w:tcPr>
          <w:p>
            <w:pPr>
              <w:spacing w:after="0"/>
              <w:rPr>
                <w:sz w:val="17"/>
                <w:szCs w:val="17"/>
                <w:color w:val="auto"/>
              </w:rPr>
            </w:pPr>
          </w:p>
        </w:tc>
        <w:tc>
          <w:tcPr>
            <w:tcW w:w="7160" w:type="dxa"/>
            <w:vAlign w:val="bottom"/>
            <w:gridSpan w:val="2"/>
          </w:tcPr>
          <w:p>
            <w:pPr>
              <w:ind w:left="200"/>
              <w:spacing w:after="0"/>
              <w:rPr>
                <w:sz w:val="20"/>
                <w:szCs w:val="20"/>
                <w:color w:val="auto"/>
              </w:rPr>
            </w:pPr>
            <w:r>
              <w:rPr>
                <w:rFonts w:ascii="Arial" w:cs="Arial" w:eastAsia="Arial" w:hAnsi="Arial"/>
                <w:sz w:val="16"/>
                <w:szCs w:val="16"/>
                <w:color w:val="auto"/>
              </w:rPr>
              <w:t>Others</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1,485</w:t>
            </w:r>
          </w:p>
        </w:tc>
        <w:tc>
          <w:tcPr>
            <w:tcW w:w="1160" w:type="dxa"/>
            <w:vAlign w:val="bottom"/>
          </w:tcPr>
          <w:p>
            <w:pPr>
              <w:jc w:val="right"/>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(1,770)</w:t>
            </w:r>
          </w:p>
        </w:tc>
        <w:tc>
          <w:tcPr>
            <w:tcW w:w="540" w:type="dxa"/>
            <w:vAlign w:val="bottom"/>
          </w:tcPr>
          <w:p>
            <w:pPr>
              <w:spacing w:after="0"/>
              <w:rPr>
                <w:sz w:val="17"/>
                <w:szCs w:val="17"/>
                <w:color w:val="auto"/>
              </w:rPr>
            </w:pPr>
          </w:p>
        </w:tc>
      </w:tr>
      <w:tr>
        <w:trPr>
          <w:trHeight w:val="175"/>
        </w:trPr>
        <w:tc>
          <w:tcPr>
            <w:tcW w:w="380" w:type="dxa"/>
            <w:vAlign w:val="bottom"/>
          </w:tcPr>
          <w:p>
            <w:pPr>
              <w:spacing w:after="0"/>
              <w:rPr>
                <w:sz w:val="15"/>
                <w:szCs w:val="15"/>
                <w:color w:val="auto"/>
              </w:rPr>
            </w:pPr>
          </w:p>
        </w:tc>
        <w:tc>
          <w:tcPr>
            <w:tcW w:w="6600" w:type="dxa"/>
            <w:vAlign w:val="bottom"/>
          </w:tcPr>
          <w:p>
            <w:pPr>
              <w:ind w:left="200"/>
              <w:spacing w:after="0" w:line="175" w:lineRule="exact"/>
              <w:rPr>
                <w:sz w:val="20"/>
                <w:szCs w:val="20"/>
                <w:color w:val="auto"/>
              </w:rPr>
            </w:pPr>
            <w:r>
              <w:rPr>
                <w:rFonts w:ascii="Arial" w:cs="Arial" w:eastAsia="Arial" w:hAnsi="Arial"/>
                <w:sz w:val="16"/>
                <w:szCs w:val="16"/>
                <w:b w:val="1"/>
                <w:bCs w:val="1"/>
                <w:color w:val="auto"/>
              </w:rPr>
              <w:t>Total</w:t>
            </w:r>
          </w:p>
        </w:tc>
        <w:tc>
          <w:tcPr>
            <w:tcW w:w="5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425,144</w:t>
            </w:r>
          </w:p>
        </w:tc>
        <w:tc>
          <w:tcPr>
            <w:tcW w:w="120" w:type="dxa"/>
            <w:vAlign w:val="bottom"/>
          </w:tcPr>
          <w:p>
            <w:pPr>
              <w:spacing w:after="0"/>
              <w:rPr>
                <w:sz w:val="15"/>
                <w:szCs w:val="15"/>
                <w:color w:val="auto"/>
              </w:rPr>
            </w:pPr>
          </w:p>
        </w:tc>
        <w:tc>
          <w:tcPr>
            <w:tcW w:w="11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5,468</w:t>
            </w:r>
          </w:p>
        </w:tc>
        <w:tc>
          <w:tcPr>
            <w:tcW w:w="100" w:type="dxa"/>
            <w:vAlign w:val="bottom"/>
          </w:tcPr>
          <w:p>
            <w:pPr>
              <w:spacing w:after="0"/>
              <w:rPr>
                <w:sz w:val="15"/>
                <w:szCs w:val="15"/>
                <w:color w:val="auto"/>
              </w:rPr>
            </w:pPr>
          </w:p>
        </w:tc>
        <w:tc>
          <w:tcPr>
            <w:tcW w:w="1200" w:type="dxa"/>
            <w:vAlign w:val="bottom"/>
            <w:tcBorders>
              <w:top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28,650</w:t>
            </w:r>
          </w:p>
        </w:tc>
        <w:tc>
          <w:tcPr>
            <w:tcW w:w="540" w:type="dxa"/>
            <w:vAlign w:val="bottom"/>
          </w:tcPr>
          <w:p>
            <w:pPr>
              <w:spacing w:after="0"/>
              <w:rPr>
                <w:sz w:val="15"/>
                <w:szCs w:val="15"/>
                <w:color w:val="auto"/>
              </w:rPr>
            </w:pPr>
          </w:p>
        </w:tc>
      </w:tr>
      <w:tr>
        <w:trPr>
          <w:trHeight w:val="533"/>
        </w:trPr>
        <w:tc>
          <w:tcPr>
            <w:tcW w:w="380" w:type="dxa"/>
            <w:vAlign w:val="bottom"/>
          </w:tcPr>
          <w:p>
            <w:pPr>
              <w:spacing w:after="0"/>
              <w:rPr>
                <w:sz w:val="24"/>
                <w:szCs w:val="24"/>
                <w:color w:val="auto"/>
              </w:rPr>
            </w:pPr>
          </w:p>
        </w:tc>
        <w:tc>
          <w:tcPr>
            <w:tcW w:w="6600" w:type="dxa"/>
            <w:vAlign w:val="bottom"/>
          </w:tcPr>
          <w:p>
            <w:pPr>
              <w:ind w:left="5080"/>
              <w:spacing w:after="0"/>
              <w:rPr>
                <w:sz w:val="20"/>
                <w:szCs w:val="20"/>
                <w:color w:val="auto"/>
              </w:rPr>
            </w:pPr>
            <w:r>
              <w:rPr>
                <w:rFonts w:ascii="Arial" w:cs="Arial" w:eastAsia="Arial" w:hAnsi="Arial"/>
                <w:sz w:val="16"/>
                <w:szCs w:val="16"/>
                <w:color w:val="auto"/>
              </w:rPr>
              <w:t>122</w:t>
            </w: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8"/>
        </w:trPr>
        <w:tc>
          <w:tcPr>
            <w:tcW w:w="380" w:type="dxa"/>
            <w:vAlign w:val="bottom"/>
            <w:tcBorders>
              <w:bottom w:val="single" w:sz="8" w:color="auto"/>
            </w:tcBorders>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22</w:t>
            </w:r>
          </w:p>
        </w:tc>
        <w:tc>
          <w:tcPr>
            <w:tcW w:w="7920" w:type="dxa"/>
            <w:vAlign w:val="bottom"/>
          </w:tcPr>
          <w:p>
            <w:pPr>
              <w:ind w:left="200"/>
              <w:spacing w:after="0"/>
              <w:rPr>
                <w:sz w:val="20"/>
                <w:szCs w:val="20"/>
                <w:color w:val="auto"/>
              </w:rPr>
            </w:pPr>
            <w:r>
              <w:rPr>
                <w:rFonts w:ascii="Arial" w:cs="Arial" w:eastAsia="Arial" w:hAnsi="Arial"/>
                <w:sz w:val="16"/>
                <w:szCs w:val="16"/>
                <w:b w:val="1"/>
                <w:bCs w:val="1"/>
                <w:color w:val="auto"/>
              </w:rPr>
              <w:t>INSURANCE AND UNDERWRITING RESULT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380" w:type="dxa"/>
            <w:vAlign w:val="bottom"/>
          </w:tcPr>
          <w:p>
            <w:pPr>
              <w:spacing w:after="0"/>
              <w:rPr>
                <w:sz w:val="24"/>
                <w:szCs w:val="24"/>
                <w:color w:val="auto"/>
              </w:rPr>
            </w:pPr>
          </w:p>
        </w:tc>
        <w:tc>
          <w:tcPr>
            <w:tcW w:w="7920" w:type="dxa"/>
            <w:vAlign w:val="bottom"/>
          </w:tcPr>
          <w:p>
            <w:pPr>
              <w:ind w:left="200"/>
              <w:spacing w:after="0"/>
              <w:rPr>
                <w:sz w:val="20"/>
                <w:szCs w:val="20"/>
                <w:color w:val="auto"/>
              </w:rPr>
            </w:pPr>
            <w:r>
              <w:rPr>
                <w:rFonts w:ascii="Arial" w:cs="Arial" w:eastAsia="Arial" w:hAnsi="Arial"/>
                <w:sz w:val="16"/>
                <w:szCs w:val="16"/>
                <w:color w:val="auto"/>
              </w:rPr>
              <w:t>a)  The insurance and reinsurance result consists of the following:</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1120" w:type="dxa"/>
            <w:vAlign w:val="bottom"/>
          </w:tcPr>
          <w:p>
            <w:pPr>
              <w:spacing w:after="0" w:line="159"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7920" w:type="dxa"/>
            <w:vAlign w:val="bottom"/>
          </w:tcPr>
          <w:p>
            <w:pPr>
              <w:ind w:left="500"/>
              <w:spacing w:after="0"/>
              <w:rPr>
                <w:sz w:val="20"/>
                <w:szCs w:val="20"/>
                <w:color w:val="auto"/>
              </w:rPr>
            </w:pPr>
            <w:r>
              <w:rPr>
                <w:rFonts w:ascii="Arial" w:cs="Arial" w:eastAsia="Arial" w:hAnsi="Arial"/>
                <w:sz w:val="16"/>
                <w:szCs w:val="16"/>
                <w:color w:val="auto"/>
              </w:rPr>
              <w:t>Contracts measured under BBA and VFA (b)</w:t>
            </w:r>
          </w:p>
        </w:tc>
        <w:tc>
          <w:tcPr>
            <w:tcW w:w="1120" w:type="dxa"/>
            <w:vAlign w:val="bottom"/>
          </w:tcPr>
          <w:p>
            <w:pPr>
              <w:jc w:val="right"/>
              <w:spacing w:after="0"/>
              <w:rPr>
                <w:sz w:val="20"/>
                <w:szCs w:val="20"/>
                <w:color w:val="auto"/>
              </w:rPr>
            </w:pPr>
            <w:r>
              <w:rPr>
                <w:rFonts w:ascii="Arial" w:cs="Arial" w:eastAsia="Arial" w:hAnsi="Arial"/>
                <w:sz w:val="16"/>
                <w:szCs w:val="16"/>
                <w:color w:val="auto"/>
              </w:rPr>
              <w:t>226,125</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211,323</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7920" w:type="dxa"/>
            <w:vAlign w:val="bottom"/>
          </w:tcPr>
          <w:p>
            <w:pPr>
              <w:ind w:left="500"/>
              <w:spacing w:after="0"/>
              <w:rPr>
                <w:sz w:val="20"/>
                <w:szCs w:val="20"/>
                <w:color w:val="auto"/>
              </w:rPr>
            </w:pPr>
            <w:r>
              <w:rPr>
                <w:rFonts w:ascii="Arial" w:cs="Arial" w:eastAsia="Arial" w:hAnsi="Arial"/>
                <w:sz w:val="16"/>
                <w:szCs w:val="16"/>
                <w:color w:val="auto"/>
              </w:rPr>
              <w:t>Contracts measured under PAA</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3,629,283</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3,321,947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7920" w:type="dxa"/>
            <w:vAlign w:val="bottom"/>
          </w:tcPr>
          <w:p>
            <w:pPr>
              <w:ind w:left="500"/>
              <w:spacing w:after="0" w:line="159" w:lineRule="exact"/>
              <w:rPr>
                <w:sz w:val="20"/>
                <w:szCs w:val="20"/>
                <w:color w:val="auto"/>
              </w:rPr>
            </w:pPr>
            <w:r>
              <w:rPr>
                <w:rFonts w:ascii="Arial" w:cs="Arial" w:eastAsia="Arial" w:hAnsi="Arial"/>
                <w:sz w:val="16"/>
                <w:szCs w:val="16"/>
                <w:color w:val="auto"/>
              </w:rPr>
              <w:t>Income from the Insurance Service</w:t>
            </w:r>
          </w:p>
        </w:tc>
        <w:tc>
          <w:tcPr>
            <w:tcW w:w="1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3,855,408</w:t>
            </w:r>
          </w:p>
        </w:tc>
        <w:tc>
          <w:tcPr>
            <w:tcW w:w="100" w:type="dxa"/>
            <w:vAlign w:val="bottom"/>
          </w:tcPr>
          <w:p>
            <w:pPr>
              <w:spacing w:after="0"/>
              <w:rPr>
                <w:sz w:val="14"/>
                <w:szCs w:val="14"/>
                <w:color w:val="auto"/>
              </w:rPr>
            </w:pPr>
          </w:p>
        </w:tc>
        <w:tc>
          <w:tcPr>
            <w:tcW w:w="1160" w:type="dxa"/>
            <w:vAlign w:val="bottom"/>
            <w:tcBorders>
              <w:top w:val="single" w:sz="8" w:color="auto"/>
            </w:tcBorders>
            <w:gridSpan w:val="2"/>
          </w:tcPr>
          <w:p>
            <w:pPr>
              <w:jc w:val="right"/>
              <w:ind w:right="20"/>
              <w:spacing w:after="0" w:line="159" w:lineRule="exact"/>
              <w:rPr>
                <w:sz w:val="20"/>
                <w:szCs w:val="20"/>
                <w:color w:val="auto"/>
              </w:rPr>
            </w:pPr>
            <w:r>
              <w:rPr>
                <w:rFonts w:ascii="Arial" w:cs="Arial" w:eastAsia="Arial" w:hAnsi="Arial"/>
                <w:sz w:val="16"/>
                <w:szCs w:val="16"/>
                <w:color w:val="auto"/>
              </w:rPr>
              <w:t>3,533,270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 w:type="dxa"/>
            <w:vAlign w:val="bottom"/>
          </w:tcPr>
          <w:p>
            <w:pPr>
              <w:spacing w:after="0"/>
              <w:rPr>
                <w:sz w:val="13"/>
                <w:szCs w:val="13"/>
                <w:color w:val="auto"/>
              </w:rPr>
            </w:pPr>
          </w:p>
        </w:tc>
        <w:tc>
          <w:tcPr>
            <w:tcW w:w="7920" w:type="dxa"/>
            <w:vAlign w:val="bottom"/>
          </w:tcPr>
          <w:p>
            <w:pPr>
              <w:ind w:left="500"/>
              <w:spacing w:after="0" w:line="155" w:lineRule="exact"/>
              <w:rPr>
                <w:sz w:val="20"/>
                <w:szCs w:val="20"/>
                <w:color w:val="auto"/>
              </w:rPr>
            </w:pPr>
            <w:r>
              <w:rPr>
                <w:rFonts w:ascii="Arial" w:cs="Arial" w:eastAsia="Arial" w:hAnsi="Arial"/>
                <w:sz w:val="16"/>
                <w:szCs w:val="16"/>
                <w:color w:val="auto"/>
              </w:rPr>
              <w:t>Claims incurred and adjustments related to past claims incurred and other insurance service</w:t>
            </w: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7920" w:type="dxa"/>
            <w:vAlign w:val="bottom"/>
          </w:tcPr>
          <w:p>
            <w:pPr>
              <w:ind w:left="500"/>
              <w:spacing w:after="0"/>
              <w:rPr>
                <w:sz w:val="20"/>
                <w:szCs w:val="20"/>
                <w:color w:val="auto"/>
              </w:rPr>
            </w:pPr>
            <w:r>
              <w:rPr>
                <w:rFonts w:ascii="Arial" w:cs="Arial" w:eastAsia="Arial" w:hAnsi="Arial"/>
                <w:sz w:val="16"/>
                <w:szCs w:val="16"/>
                <w:color w:val="auto"/>
              </w:rPr>
              <w:t>expenses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(2,232,672)</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(2,122,652)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7920" w:type="dxa"/>
            <w:vAlign w:val="bottom"/>
          </w:tcPr>
          <w:p>
            <w:pPr>
              <w:ind w:left="500"/>
              <w:spacing w:after="0"/>
              <w:rPr>
                <w:sz w:val="20"/>
                <w:szCs w:val="20"/>
                <w:color w:val="auto"/>
              </w:rPr>
            </w:pPr>
            <w:r>
              <w:rPr>
                <w:rFonts w:ascii="Arial" w:cs="Arial" w:eastAsia="Arial" w:hAnsi="Arial"/>
                <w:sz w:val="16"/>
                <w:szCs w:val="16"/>
                <w:color w:val="auto"/>
              </w:rPr>
              <w:t>Losses in onerous contracts and reversal of losses</w:t>
            </w:r>
          </w:p>
        </w:tc>
        <w:tc>
          <w:tcPr>
            <w:tcW w:w="1120" w:type="dxa"/>
            <w:vAlign w:val="bottom"/>
          </w:tcPr>
          <w:p>
            <w:pPr>
              <w:jc w:val="right"/>
              <w:spacing w:after="0"/>
              <w:rPr>
                <w:sz w:val="20"/>
                <w:szCs w:val="20"/>
                <w:color w:val="auto"/>
              </w:rPr>
            </w:pPr>
            <w:r>
              <w:rPr>
                <w:rFonts w:ascii="Arial" w:cs="Arial" w:eastAsia="Arial" w:hAnsi="Arial"/>
                <w:sz w:val="16"/>
                <w:szCs w:val="16"/>
                <w:color w:val="auto"/>
              </w:rPr>
              <w:t>(17,181)</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(92,530)</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7920" w:type="dxa"/>
            <w:vAlign w:val="bottom"/>
          </w:tcPr>
          <w:p>
            <w:pPr>
              <w:ind w:left="500"/>
              <w:spacing w:after="0"/>
              <w:rPr>
                <w:sz w:val="20"/>
                <w:szCs w:val="20"/>
                <w:color w:val="auto"/>
              </w:rPr>
            </w:pPr>
            <w:r>
              <w:rPr>
                <w:rFonts w:ascii="Arial" w:cs="Arial" w:eastAsia="Arial" w:hAnsi="Arial"/>
                <w:sz w:val="16"/>
                <w:szCs w:val="16"/>
                <w:color w:val="auto"/>
              </w:rPr>
              <w:t>Others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(3,134)</w:t>
            </w:r>
          </w:p>
        </w:tc>
        <w:tc>
          <w:tcPr>
            <w:tcW w:w="1140" w:type="dxa"/>
            <w:vAlign w:val="bottom"/>
          </w:tcPr>
          <w:p>
            <w:pPr>
              <w:jc w:val="right"/>
              <w:spacing w:after="0"/>
              <w:rPr>
                <w:sz w:val="20"/>
                <w:szCs w:val="20"/>
                <w:color w:val="auto"/>
              </w:rPr>
            </w:pPr>
            <w:r>
              <w:rPr>
                <w:rFonts w:ascii="Arial" w:cs="Arial" w:eastAsia="Arial" w:hAnsi="Arial"/>
                <w:sz w:val="16"/>
                <w:szCs w:val="16"/>
                <w:color w:val="auto"/>
              </w:rPr>
              <w:t>(15,741)</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6"/>
                <w:szCs w:val="16"/>
                <w:color w:val="auto"/>
              </w:rPr>
              <w:t>Insurance Service Expenses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(2,252,987)</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(2,230,923)</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792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Insurance Service Result</w:t>
            </w:r>
          </w:p>
        </w:tc>
        <w:tc>
          <w:tcPr>
            <w:tcW w:w="1120" w:type="dxa"/>
            <w:vAlign w:val="bottom"/>
            <w:tcBorders>
              <w:bottom w:val="single" w:sz="8" w:color="auto"/>
            </w:tcBorders>
          </w:tcPr>
          <w:p>
            <w:pPr>
              <w:spacing w:after="0"/>
              <w:rPr>
                <w:sz w:val="13"/>
                <w:szCs w:val="13"/>
                <w:color w:val="auto"/>
              </w:rPr>
            </w:pPr>
          </w:p>
        </w:tc>
        <w:tc>
          <w:tcPr>
            <w:tcW w:w="100" w:type="dxa"/>
            <w:vAlign w:val="bottom"/>
            <w:vMerge w:val="restart"/>
          </w:tcPr>
          <w:p>
            <w:pPr>
              <w:spacing w:after="0"/>
              <w:rPr>
                <w:sz w:val="13"/>
                <w:szCs w:val="13"/>
                <w:color w:val="auto"/>
              </w:rPr>
            </w:pPr>
          </w:p>
        </w:tc>
        <w:tc>
          <w:tcPr>
            <w:tcW w:w="1160" w:type="dxa"/>
            <w:vAlign w:val="bottom"/>
            <w:tcBorders>
              <w:bottom w:val="single" w:sz="8" w:color="auto"/>
            </w:tcBorders>
            <w:gridSpan w:val="2"/>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7920" w:type="dxa"/>
            <w:vAlign w:val="bottom"/>
            <w:vMerge w:val="continue"/>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1,602,421</w:t>
            </w:r>
          </w:p>
        </w:tc>
        <w:tc>
          <w:tcPr>
            <w:tcW w:w="100" w:type="dxa"/>
            <w:vAlign w:val="bottom"/>
            <w:vMerge w:val="continue"/>
          </w:tcPr>
          <w:p>
            <w:pPr>
              <w:spacing w:after="0"/>
              <w:rPr>
                <w:sz w:val="15"/>
                <w:szCs w:val="15"/>
                <w:color w:val="auto"/>
              </w:rPr>
            </w:pPr>
          </w:p>
        </w:tc>
        <w:tc>
          <w:tcPr>
            <w:tcW w:w="1160" w:type="dxa"/>
            <w:vAlign w:val="bottom"/>
            <w:gridSpan w:val="2"/>
          </w:tcPr>
          <w:p>
            <w:pPr>
              <w:jc w:val="right"/>
              <w:ind w:right="20"/>
              <w:spacing w:after="0" w:line="175" w:lineRule="exact"/>
              <w:rPr>
                <w:sz w:val="20"/>
                <w:szCs w:val="20"/>
                <w:color w:val="auto"/>
              </w:rPr>
            </w:pPr>
            <w:r>
              <w:rPr>
                <w:rFonts w:ascii="Arial" w:cs="Arial" w:eastAsia="Arial" w:hAnsi="Arial"/>
                <w:sz w:val="16"/>
                <w:szCs w:val="16"/>
                <w:b w:val="1"/>
                <w:bCs w:val="1"/>
                <w:color w:val="auto"/>
              </w:rPr>
              <w:t>1,302,347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3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1120" w:type="dxa"/>
            <w:vAlign w:val="bottom"/>
          </w:tcPr>
          <w:p>
            <w:pPr>
              <w:spacing w:after="0" w:line="159"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7920" w:type="dxa"/>
            <w:vAlign w:val="bottom"/>
          </w:tcPr>
          <w:p>
            <w:pPr>
              <w:ind w:left="500"/>
              <w:spacing w:after="0"/>
              <w:rPr>
                <w:sz w:val="20"/>
                <w:szCs w:val="20"/>
                <w:color w:val="auto"/>
              </w:rPr>
            </w:pPr>
            <w:r>
              <w:rPr>
                <w:rFonts w:ascii="Arial" w:cs="Arial" w:eastAsia="Arial" w:hAnsi="Arial"/>
                <w:sz w:val="16"/>
                <w:szCs w:val="16"/>
                <w:color w:val="auto"/>
              </w:rPr>
              <w:t>Variation in incurred claim provision - pending Claims - Reinsurance</w:t>
            </w:r>
          </w:p>
        </w:tc>
        <w:tc>
          <w:tcPr>
            <w:tcW w:w="1120" w:type="dxa"/>
            <w:vAlign w:val="bottom"/>
          </w:tcPr>
          <w:p>
            <w:pPr>
              <w:jc w:val="right"/>
              <w:spacing w:after="0"/>
              <w:rPr>
                <w:sz w:val="20"/>
                <w:szCs w:val="20"/>
                <w:color w:val="auto"/>
              </w:rPr>
            </w:pPr>
            <w:r>
              <w:rPr>
                <w:rFonts w:ascii="Arial" w:cs="Arial" w:eastAsia="Arial" w:hAnsi="Arial"/>
                <w:sz w:val="16"/>
                <w:szCs w:val="16"/>
                <w:color w:val="auto"/>
              </w:rPr>
              <w:t>448,500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317,110</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7920" w:type="dxa"/>
            <w:vAlign w:val="bottom"/>
          </w:tcPr>
          <w:p>
            <w:pPr>
              <w:ind w:left="500"/>
              <w:spacing w:after="0"/>
              <w:rPr>
                <w:sz w:val="20"/>
                <w:szCs w:val="20"/>
                <w:color w:val="auto"/>
              </w:rPr>
            </w:pPr>
            <w:r>
              <w:rPr>
                <w:rFonts w:ascii="Arial" w:cs="Arial" w:eastAsia="Arial" w:hAnsi="Arial"/>
                <w:sz w:val="16"/>
                <w:szCs w:val="16"/>
                <w:color w:val="auto"/>
              </w:rPr>
              <w:t>Adjustment changes of incurred claim provision - RA - Reinsurance</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6"/>
                <w:szCs w:val="16"/>
                <w:color w:val="auto"/>
              </w:rPr>
              <w:t>Income from reinsurance recoveries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448,491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317,110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380" w:type="dxa"/>
            <w:vAlign w:val="bottom"/>
          </w:tcPr>
          <w:p>
            <w:pPr>
              <w:spacing w:after="0"/>
              <w:rPr>
                <w:sz w:val="24"/>
                <w:szCs w:val="24"/>
                <w:color w:val="auto"/>
              </w:rPr>
            </w:pPr>
          </w:p>
        </w:tc>
        <w:tc>
          <w:tcPr>
            <w:tcW w:w="7920" w:type="dxa"/>
            <w:vAlign w:val="bottom"/>
          </w:tcPr>
          <w:p>
            <w:pPr>
              <w:ind w:left="500"/>
              <w:spacing w:after="0"/>
              <w:rPr>
                <w:sz w:val="20"/>
                <w:szCs w:val="20"/>
                <w:color w:val="auto"/>
              </w:rPr>
            </w:pPr>
            <w:r>
              <w:rPr>
                <w:rFonts w:ascii="Arial" w:cs="Arial" w:eastAsia="Arial" w:hAnsi="Arial"/>
                <w:sz w:val="16"/>
                <w:szCs w:val="16"/>
                <w:color w:val="auto"/>
              </w:rPr>
              <w:t>Premiums assigned to the reinsurance period</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(839,812)</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(778,009)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6"/>
                <w:szCs w:val="16"/>
                <w:color w:val="auto"/>
              </w:rPr>
              <w:t>Expenses for assigning the premiums paid to the reinsurer</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(839,812)</w:t>
            </w:r>
          </w:p>
        </w:tc>
        <w:tc>
          <w:tcPr>
            <w:tcW w:w="100" w:type="dxa"/>
            <w:vAlign w:val="bottom"/>
          </w:tcPr>
          <w:p>
            <w:pPr>
              <w:spacing w:after="0"/>
              <w:rPr>
                <w:sz w:val="18"/>
                <w:szCs w:val="18"/>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(778,009)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792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Reinsurance result</w:t>
            </w:r>
          </w:p>
        </w:tc>
        <w:tc>
          <w:tcPr>
            <w:tcW w:w="1120" w:type="dxa"/>
            <w:vAlign w:val="bottom"/>
            <w:tcBorders>
              <w:bottom w:val="single" w:sz="8" w:color="auto"/>
            </w:tcBorders>
          </w:tcPr>
          <w:p>
            <w:pPr>
              <w:spacing w:after="0"/>
              <w:rPr>
                <w:sz w:val="13"/>
                <w:szCs w:val="13"/>
                <w:color w:val="auto"/>
              </w:rPr>
            </w:pPr>
          </w:p>
        </w:tc>
        <w:tc>
          <w:tcPr>
            <w:tcW w:w="100" w:type="dxa"/>
            <w:vAlign w:val="bottom"/>
            <w:vMerge w:val="restart"/>
          </w:tcPr>
          <w:p>
            <w:pPr>
              <w:spacing w:after="0"/>
              <w:rPr>
                <w:sz w:val="13"/>
                <w:szCs w:val="13"/>
                <w:color w:val="auto"/>
              </w:rPr>
            </w:pPr>
          </w:p>
        </w:tc>
        <w:tc>
          <w:tcPr>
            <w:tcW w:w="1160" w:type="dxa"/>
            <w:vAlign w:val="bottom"/>
            <w:tcBorders>
              <w:bottom w:val="single" w:sz="8" w:color="auto"/>
            </w:tcBorders>
            <w:gridSpan w:val="2"/>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7920" w:type="dxa"/>
            <w:vAlign w:val="bottom"/>
            <w:vMerge w:val="continue"/>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(391,321)</w:t>
            </w:r>
          </w:p>
        </w:tc>
        <w:tc>
          <w:tcPr>
            <w:tcW w:w="100" w:type="dxa"/>
            <w:vAlign w:val="bottom"/>
            <w:vMerge w:val="continue"/>
          </w:tcPr>
          <w:p>
            <w:pPr>
              <w:spacing w:after="0"/>
              <w:rPr>
                <w:sz w:val="15"/>
                <w:szCs w:val="15"/>
                <w:color w:val="auto"/>
              </w:rPr>
            </w:pPr>
          </w:p>
        </w:tc>
        <w:tc>
          <w:tcPr>
            <w:tcW w:w="1160" w:type="dxa"/>
            <w:vAlign w:val="bottom"/>
            <w:gridSpan w:val="2"/>
          </w:tcPr>
          <w:p>
            <w:pPr>
              <w:jc w:val="right"/>
              <w:ind w:right="20"/>
              <w:spacing w:after="0" w:line="175" w:lineRule="exact"/>
              <w:rPr>
                <w:sz w:val="20"/>
                <w:szCs w:val="20"/>
                <w:color w:val="auto"/>
              </w:rPr>
            </w:pPr>
            <w:r>
              <w:rPr>
                <w:rFonts w:ascii="Arial" w:cs="Arial" w:eastAsia="Arial" w:hAnsi="Arial"/>
                <w:sz w:val="16"/>
                <w:szCs w:val="16"/>
                <w:b w:val="1"/>
                <w:bCs w:val="1"/>
                <w:color w:val="auto"/>
              </w:rPr>
              <w:t>(460,899)</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380" w:type="dxa"/>
            <w:vAlign w:val="bottom"/>
          </w:tcPr>
          <w:p>
            <w:pPr>
              <w:spacing w:after="0"/>
              <w:rPr>
                <w:sz w:val="24"/>
                <w:szCs w:val="24"/>
                <w:color w:val="auto"/>
              </w:rPr>
            </w:pPr>
          </w:p>
        </w:tc>
        <w:tc>
          <w:tcPr>
            <w:tcW w:w="7920" w:type="dxa"/>
            <w:vAlign w:val="bottom"/>
          </w:tcPr>
          <w:p>
            <w:pPr>
              <w:ind w:left="200"/>
              <w:spacing w:after="0"/>
              <w:rPr>
                <w:sz w:val="20"/>
                <w:szCs w:val="20"/>
                <w:color w:val="auto"/>
              </w:rPr>
            </w:pPr>
            <w:r>
              <w:rPr>
                <w:rFonts w:ascii="Arial" w:cs="Arial" w:eastAsia="Arial" w:hAnsi="Arial"/>
                <w:sz w:val="16"/>
                <w:szCs w:val="16"/>
                <w:color w:val="auto"/>
              </w:rPr>
              <w:t>b)  The result of the contracts measured under BBA and VFA of the insurance service is detailed below:</w:t>
            </w: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920" w:type="dxa"/>
            <w:vAlign w:val="bottom"/>
            <w:vMerge w:val="restart"/>
          </w:tcPr>
          <w:p>
            <w:pPr>
              <w:ind w:left="500"/>
              <w:spacing w:after="0"/>
              <w:rPr>
                <w:sz w:val="20"/>
                <w:szCs w:val="20"/>
                <w:color w:val="auto"/>
              </w:rPr>
            </w:pPr>
            <w:r>
              <w:rPr>
                <w:rFonts w:ascii="Arial" w:cs="Arial" w:eastAsia="Arial" w:hAnsi="Arial"/>
                <w:sz w:val="16"/>
                <w:szCs w:val="16"/>
                <w:color w:val="auto"/>
              </w:rPr>
              <w:t>Amounts related to changes in liabilities for the remaining coverage:</w:t>
            </w:r>
          </w:p>
        </w:tc>
        <w:tc>
          <w:tcPr>
            <w:tcW w:w="112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8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7920" w:type="dxa"/>
            <w:vAlign w:val="bottom"/>
          </w:tcPr>
          <w:p>
            <w:pPr>
              <w:ind w:left="640"/>
              <w:spacing w:after="0"/>
              <w:rPr>
                <w:sz w:val="20"/>
                <w:szCs w:val="20"/>
                <w:color w:val="auto"/>
              </w:rPr>
            </w:pPr>
            <w:r>
              <w:rPr>
                <w:rFonts w:ascii="Arial" w:cs="Arial" w:eastAsia="Arial" w:hAnsi="Arial"/>
                <w:sz w:val="16"/>
                <w:szCs w:val="16"/>
                <w:color w:val="auto"/>
              </w:rPr>
              <w:t>CSM recognized for services provided</w:t>
            </w:r>
          </w:p>
        </w:tc>
        <w:tc>
          <w:tcPr>
            <w:tcW w:w="1120" w:type="dxa"/>
            <w:vAlign w:val="bottom"/>
          </w:tcPr>
          <w:p>
            <w:pPr>
              <w:jc w:val="right"/>
              <w:spacing w:after="0"/>
              <w:rPr>
                <w:sz w:val="20"/>
                <w:szCs w:val="20"/>
                <w:color w:val="auto"/>
              </w:rPr>
            </w:pPr>
            <w:r>
              <w:rPr>
                <w:rFonts w:ascii="Arial" w:cs="Arial" w:eastAsia="Arial" w:hAnsi="Arial"/>
                <w:sz w:val="16"/>
                <w:szCs w:val="16"/>
                <w:color w:val="auto"/>
              </w:rPr>
              <w:t>128,639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131,588</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7920" w:type="dxa"/>
            <w:vAlign w:val="bottom"/>
          </w:tcPr>
          <w:p>
            <w:pPr>
              <w:ind w:left="640"/>
              <w:spacing w:after="0"/>
              <w:rPr>
                <w:sz w:val="20"/>
                <w:szCs w:val="20"/>
                <w:color w:val="auto"/>
              </w:rPr>
            </w:pPr>
            <w:r>
              <w:rPr>
                <w:rFonts w:ascii="Arial" w:cs="Arial" w:eastAsia="Arial" w:hAnsi="Arial"/>
                <w:sz w:val="16"/>
                <w:szCs w:val="16"/>
                <w:color w:val="auto"/>
              </w:rPr>
              <w:t>Change in risk adjustment for non-financial risk</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12,357</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15,982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7920" w:type="dxa"/>
            <w:vAlign w:val="bottom"/>
          </w:tcPr>
          <w:p>
            <w:pPr>
              <w:ind w:left="640"/>
              <w:spacing w:after="0"/>
              <w:rPr>
                <w:sz w:val="20"/>
                <w:szCs w:val="20"/>
                <w:color w:val="auto"/>
              </w:rPr>
            </w:pPr>
            <w:r>
              <w:rPr>
                <w:rFonts w:ascii="Arial" w:cs="Arial" w:eastAsia="Arial" w:hAnsi="Arial"/>
                <w:sz w:val="16"/>
                <w:szCs w:val="16"/>
                <w:color w:val="auto"/>
              </w:rPr>
              <w:t>Expenses for insurance services and expected claims occurred</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81,995</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65,329</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7920" w:type="dxa"/>
            <w:vAlign w:val="bottom"/>
          </w:tcPr>
          <w:p>
            <w:pPr>
              <w:ind w:left="500"/>
              <w:spacing w:after="0"/>
              <w:rPr>
                <w:sz w:val="20"/>
                <w:szCs w:val="20"/>
                <w:color w:val="auto"/>
              </w:rPr>
            </w:pPr>
            <w:r>
              <w:rPr>
                <w:rFonts w:ascii="Arial" w:cs="Arial" w:eastAsia="Arial" w:hAnsi="Arial"/>
                <w:sz w:val="16"/>
                <w:szCs w:val="16"/>
                <w:color w:val="auto"/>
              </w:rPr>
              <w:t>Cash recovery for the purchase of insurance</w:t>
            </w:r>
          </w:p>
        </w:tc>
        <w:tc>
          <w:tcPr>
            <w:tcW w:w="1120" w:type="dxa"/>
            <w:vAlign w:val="bottom"/>
          </w:tcPr>
          <w:p>
            <w:pPr>
              <w:jc w:val="right"/>
              <w:spacing w:after="0"/>
              <w:rPr>
                <w:sz w:val="20"/>
                <w:szCs w:val="20"/>
                <w:color w:val="auto"/>
              </w:rPr>
            </w:pPr>
            <w:r>
              <w:rPr>
                <w:rFonts w:ascii="Arial" w:cs="Arial" w:eastAsia="Arial" w:hAnsi="Arial"/>
                <w:sz w:val="16"/>
                <w:szCs w:val="16"/>
                <w:color w:val="auto"/>
              </w:rPr>
              <w:t>3,134</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(1,576)</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7920" w:type="dxa"/>
            <w:vAlign w:val="bottom"/>
          </w:tcPr>
          <w:p>
            <w:pPr>
              <w:ind w:left="500"/>
              <w:spacing w:after="0" w:line="175" w:lineRule="exact"/>
              <w:rPr>
                <w:sz w:val="20"/>
                <w:szCs w:val="20"/>
                <w:color w:val="auto"/>
              </w:rPr>
            </w:pPr>
            <w:r>
              <w:rPr>
                <w:rFonts w:ascii="Arial" w:cs="Arial" w:eastAsia="Arial" w:hAnsi="Arial"/>
                <w:sz w:val="16"/>
                <w:szCs w:val="16"/>
                <w:b w:val="1"/>
                <w:bCs w:val="1"/>
                <w:color w:val="auto"/>
              </w:rPr>
              <w:t>Contracts measured under BBA and VFA</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226,125</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211,323</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1"/>
        </w:trPr>
        <w:tc>
          <w:tcPr>
            <w:tcW w:w="380" w:type="dxa"/>
            <w:vAlign w:val="bottom"/>
          </w:tcPr>
          <w:p>
            <w:pPr>
              <w:spacing w:after="0"/>
              <w:rPr>
                <w:sz w:val="24"/>
                <w:szCs w:val="24"/>
                <w:color w:val="auto"/>
              </w:rPr>
            </w:pPr>
          </w:p>
        </w:tc>
        <w:tc>
          <w:tcPr>
            <w:tcW w:w="7920" w:type="dxa"/>
            <w:vAlign w:val="bottom"/>
          </w:tcPr>
          <w:p>
            <w:pPr>
              <w:ind w:left="5080"/>
              <w:spacing w:after="0"/>
              <w:rPr>
                <w:sz w:val="20"/>
                <w:szCs w:val="20"/>
                <w:color w:val="auto"/>
              </w:rPr>
            </w:pPr>
            <w:r>
              <w:rPr>
                <w:rFonts w:ascii="Arial" w:cs="Arial" w:eastAsia="Arial" w:hAnsi="Arial"/>
                <w:sz w:val="16"/>
                <w:szCs w:val="16"/>
                <w:color w:val="auto"/>
              </w:rPr>
              <w:t>123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80" w:type="dxa"/>
            <w:vAlign w:val="bottom"/>
            <w:tcBorders>
              <w:bottom w:val="single" w:sz="8" w:color="auto"/>
            </w:tcBorders>
          </w:tcPr>
          <w:p>
            <w:pPr>
              <w:spacing w:after="0"/>
              <w:rPr>
                <w:sz w:val="3"/>
                <w:szCs w:val="3"/>
                <w:color w:val="auto"/>
              </w:rPr>
            </w:pPr>
          </w:p>
        </w:tc>
        <w:tc>
          <w:tcPr>
            <w:tcW w:w="79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6" w:right="319" w:bottom="1440" w:gutter="0" w:footer="0" w:header="0"/>
        </w:sectPr>
      </w:pPr>
    </w:p>
    <w:bookmarkStart w:id="126" w:name="page127"/>
    <w:bookmarkEnd w:id="126"/>
    <w:p>
      <w:pPr>
        <w:spacing w:after="0"/>
        <w:tabs>
          <w:tab w:leader="none" w:pos="280" w:val="left"/>
        </w:tabs>
        <w:rPr>
          <w:sz w:val="20"/>
          <w:szCs w:val="20"/>
          <w:color w:val="auto"/>
        </w:rPr>
      </w:pPr>
      <w:r>
        <w:rPr>
          <w:rFonts w:ascii="Arial" w:cs="Arial" w:eastAsia="Arial" w:hAnsi="Arial"/>
          <w:sz w:val="16"/>
          <w:szCs w:val="16"/>
          <w:color w:val="auto"/>
        </w:rPr>
        <w:t>c)</w:t>
        <w:tab/>
        <w:t>The impact of new business for onerous and non-onerous contracts is detailed below:</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200"/>
        </w:trPr>
        <w:tc>
          <w:tcPr>
            <w:tcW w:w="61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180" w:type="dxa"/>
            <w:vAlign w:val="bottom"/>
          </w:tcPr>
          <w:p>
            <w:pPr>
              <w:spacing w:after="0"/>
              <w:rPr>
                <w:sz w:val="13"/>
                <w:szCs w:val="13"/>
                <w:color w:val="auto"/>
              </w:rPr>
            </w:pPr>
          </w:p>
        </w:tc>
        <w:tc>
          <w:tcPr>
            <w:tcW w:w="1240" w:type="dxa"/>
            <w:vAlign w:val="bottom"/>
            <w:gridSpan w:val="2"/>
          </w:tcPr>
          <w:p>
            <w:pPr>
              <w:spacing w:after="0" w:line="159" w:lineRule="exact"/>
              <w:rPr>
                <w:sz w:val="20"/>
                <w:szCs w:val="20"/>
                <w:color w:val="auto"/>
              </w:rPr>
            </w:pPr>
            <w:r>
              <w:rPr>
                <w:rFonts w:ascii="Arial" w:cs="Arial" w:eastAsia="Arial" w:hAnsi="Arial"/>
                <w:sz w:val="16"/>
                <w:szCs w:val="16"/>
                <w:b w:val="1"/>
                <w:bCs w:val="1"/>
                <w:color w:val="auto"/>
              </w:rPr>
              <w:t>Onerous</w:t>
            </w:r>
          </w:p>
        </w:tc>
        <w:tc>
          <w:tcPr>
            <w:tcW w:w="1220" w:type="dxa"/>
            <w:vAlign w:val="bottom"/>
            <w:gridSpan w:val="2"/>
          </w:tcPr>
          <w:p>
            <w:pPr>
              <w:spacing w:after="0" w:line="159" w:lineRule="exact"/>
              <w:rPr>
                <w:sz w:val="20"/>
                <w:szCs w:val="20"/>
                <w:color w:val="auto"/>
              </w:rPr>
            </w:pPr>
            <w:r>
              <w:rPr>
                <w:rFonts w:ascii="Arial" w:cs="Arial" w:eastAsia="Arial" w:hAnsi="Arial"/>
                <w:sz w:val="16"/>
                <w:szCs w:val="16"/>
                <w:b w:val="1"/>
                <w:bCs w:val="1"/>
                <w:color w:val="auto"/>
              </w:rPr>
              <w:t>Non-onerous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618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contracts</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contracts</w:t>
            </w: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180" w:type="dxa"/>
            <w:vAlign w:val="bottom"/>
            <w:vMerge w:val="restart"/>
          </w:tcPr>
          <w:p>
            <w:pPr>
              <w:spacing w:after="0"/>
              <w:rPr>
                <w:sz w:val="20"/>
                <w:szCs w:val="20"/>
                <w:color w:val="auto"/>
              </w:rPr>
            </w:pPr>
            <w:r>
              <w:rPr>
                <w:rFonts w:ascii="Arial" w:cs="Arial" w:eastAsia="Arial" w:hAnsi="Arial"/>
                <w:sz w:val="16"/>
                <w:szCs w:val="16"/>
                <w:color w:val="auto"/>
              </w:rPr>
              <w:t>Estimates of the present value of future outflows:</w:t>
            </w: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1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180" w:type="dxa"/>
            <w:vAlign w:val="bottom"/>
          </w:tcPr>
          <w:p>
            <w:pPr>
              <w:ind w:left="140"/>
              <w:spacing w:after="0"/>
              <w:rPr>
                <w:sz w:val="20"/>
                <w:szCs w:val="20"/>
                <w:color w:val="auto"/>
              </w:rPr>
            </w:pPr>
            <w:r>
              <w:rPr>
                <w:rFonts w:ascii="Arial" w:cs="Arial" w:eastAsia="Arial" w:hAnsi="Arial"/>
                <w:sz w:val="16"/>
                <w:szCs w:val="16"/>
                <w:color w:val="auto"/>
              </w:rPr>
              <w:t>Insurance Acquisition Cash Flows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21,123</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85,120</w:t>
            </w:r>
          </w:p>
        </w:tc>
        <w:tc>
          <w:tcPr>
            <w:tcW w:w="1140" w:type="dxa"/>
            <w:vAlign w:val="bottom"/>
          </w:tcPr>
          <w:p>
            <w:pPr>
              <w:jc w:val="right"/>
              <w:spacing w:after="0"/>
              <w:rPr>
                <w:sz w:val="20"/>
                <w:szCs w:val="20"/>
                <w:color w:val="auto"/>
              </w:rPr>
            </w:pPr>
            <w:r>
              <w:rPr>
                <w:rFonts w:ascii="Arial" w:cs="Arial" w:eastAsia="Arial" w:hAnsi="Arial"/>
                <w:sz w:val="16"/>
                <w:szCs w:val="16"/>
                <w:color w:val="auto"/>
              </w:rPr>
              <w:t>106,243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80" w:type="dxa"/>
            <w:vAlign w:val="bottom"/>
          </w:tcPr>
          <w:p>
            <w:pPr>
              <w:ind w:left="140"/>
              <w:spacing w:after="0"/>
              <w:rPr>
                <w:sz w:val="20"/>
                <w:szCs w:val="20"/>
                <w:color w:val="auto"/>
              </w:rPr>
            </w:pPr>
            <w:r>
              <w:rPr>
                <w:rFonts w:ascii="Arial" w:cs="Arial" w:eastAsia="Arial" w:hAnsi="Arial"/>
                <w:sz w:val="16"/>
                <w:szCs w:val="16"/>
                <w:color w:val="auto"/>
              </w:rPr>
              <w:t>Claims and other directly attributable expenses</w:t>
            </w:r>
          </w:p>
        </w:tc>
        <w:tc>
          <w:tcPr>
            <w:tcW w:w="1120" w:type="dxa"/>
            <w:vAlign w:val="bottom"/>
          </w:tcPr>
          <w:p>
            <w:pPr>
              <w:jc w:val="right"/>
              <w:spacing w:after="0"/>
              <w:rPr>
                <w:sz w:val="20"/>
                <w:szCs w:val="20"/>
                <w:color w:val="auto"/>
              </w:rPr>
            </w:pPr>
            <w:r>
              <w:rPr>
                <w:rFonts w:ascii="Arial" w:cs="Arial" w:eastAsia="Arial" w:hAnsi="Arial"/>
                <w:sz w:val="16"/>
                <w:szCs w:val="16"/>
                <w:color w:val="auto"/>
              </w:rPr>
              <w:t>135,905</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658,515</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794,420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80" w:type="dxa"/>
            <w:vAlign w:val="bottom"/>
          </w:tcPr>
          <w:p>
            <w:pPr>
              <w:spacing w:after="0"/>
              <w:rPr>
                <w:sz w:val="20"/>
                <w:szCs w:val="20"/>
                <w:color w:val="auto"/>
              </w:rPr>
            </w:pPr>
            <w:r>
              <w:rPr>
                <w:rFonts w:ascii="Arial" w:cs="Arial" w:eastAsia="Arial" w:hAnsi="Arial"/>
                <w:sz w:val="16"/>
                <w:szCs w:val="16"/>
                <w:color w:val="auto"/>
              </w:rPr>
              <w:t>Estimates of the present value of future inflows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(138,467)</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(856,323)</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(994,790)</w:t>
            </w:r>
          </w:p>
        </w:tc>
        <w:tc>
          <w:tcPr>
            <w:tcW w:w="0" w:type="dxa"/>
            <w:vAlign w:val="bottom"/>
          </w:tcPr>
          <w:p>
            <w:pPr>
              <w:spacing w:after="0"/>
              <w:rPr>
                <w:sz w:val="1"/>
                <w:szCs w:val="1"/>
                <w:color w:val="auto"/>
              </w:rPr>
            </w:pPr>
          </w:p>
        </w:tc>
      </w:tr>
      <w:tr>
        <w:trPr>
          <w:trHeight w:val="183"/>
        </w:trPr>
        <w:tc>
          <w:tcPr>
            <w:tcW w:w="6180" w:type="dxa"/>
            <w:vAlign w:val="bottom"/>
          </w:tcPr>
          <w:p>
            <w:pPr>
              <w:spacing w:after="0"/>
              <w:rPr>
                <w:sz w:val="20"/>
                <w:szCs w:val="20"/>
                <w:color w:val="auto"/>
              </w:rPr>
            </w:pPr>
            <w:r>
              <w:rPr>
                <w:rFonts w:ascii="Arial" w:cs="Arial" w:eastAsia="Arial" w:hAnsi="Arial"/>
                <w:sz w:val="16"/>
                <w:szCs w:val="16"/>
                <w:color w:val="auto"/>
              </w:rPr>
              <w:t>Risk adjustment for non-financial risk</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1,913</w:t>
            </w:r>
          </w:p>
        </w:tc>
        <w:tc>
          <w:tcPr>
            <w:tcW w:w="1120" w:type="dxa"/>
            <w:vAlign w:val="bottom"/>
          </w:tcPr>
          <w:p>
            <w:pPr>
              <w:jc w:val="right"/>
              <w:spacing w:after="0"/>
              <w:rPr>
                <w:sz w:val="20"/>
                <w:szCs w:val="20"/>
                <w:color w:val="auto"/>
              </w:rPr>
            </w:pPr>
            <w:r>
              <w:rPr>
                <w:rFonts w:ascii="Arial" w:cs="Arial" w:eastAsia="Arial" w:hAnsi="Arial"/>
                <w:sz w:val="16"/>
                <w:szCs w:val="16"/>
                <w:color w:val="auto"/>
              </w:rPr>
              <w:t>6,225</w:t>
            </w: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8,138</w:t>
            </w:r>
          </w:p>
        </w:tc>
        <w:tc>
          <w:tcPr>
            <w:tcW w:w="0" w:type="dxa"/>
            <w:vAlign w:val="bottom"/>
          </w:tcPr>
          <w:p>
            <w:pPr>
              <w:spacing w:after="0"/>
              <w:rPr>
                <w:sz w:val="1"/>
                <w:szCs w:val="1"/>
                <w:color w:val="auto"/>
              </w:rPr>
            </w:pPr>
          </w:p>
        </w:tc>
      </w:tr>
      <w:tr>
        <w:trPr>
          <w:trHeight w:val="200"/>
        </w:trPr>
        <w:tc>
          <w:tcPr>
            <w:tcW w:w="6180" w:type="dxa"/>
            <w:vAlign w:val="bottom"/>
          </w:tcPr>
          <w:p>
            <w:pPr>
              <w:spacing w:after="0"/>
              <w:rPr>
                <w:sz w:val="20"/>
                <w:szCs w:val="20"/>
                <w:color w:val="auto"/>
              </w:rPr>
            </w:pPr>
            <w:r>
              <w:rPr>
                <w:rFonts w:ascii="Arial" w:cs="Arial" w:eastAsia="Arial" w:hAnsi="Arial"/>
                <w:sz w:val="16"/>
                <w:szCs w:val="16"/>
                <w:color w:val="auto"/>
              </w:rPr>
              <w:t>CSM</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106,463</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106,463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180" w:type="dxa"/>
            <w:vAlign w:val="bottom"/>
          </w:tcPr>
          <w:p>
            <w:pPr>
              <w:spacing w:after="0" w:line="175" w:lineRule="exact"/>
              <w:rPr>
                <w:sz w:val="20"/>
                <w:szCs w:val="20"/>
                <w:color w:val="auto"/>
              </w:rPr>
            </w:pPr>
            <w:r>
              <w:rPr>
                <w:rFonts w:ascii="Arial" w:cs="Arial" w:eastAsia="Arial" w:hAnsi="Arial"/>
                <w:sz w:val="16"/>
                <w:szCs w:val="16"/>
                <w:b w:val="1"/>
                <w:bCs w:val="1"/>
                <w:color w:val="auto"/>
              </w:rPr>
              <w:t>Impact on provisions for contracts recognized in the period</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20,474</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20,474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61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180" w:type="dxa"/>
            <w:vAlign w:val="bottom"/>
          </w:tcPr>
          <w:p>
            <w:pPr>
              <w:spacing w:after="0"/>
              <w:rPr>
                <w:sz w:val="13"/>
                <w:szCs w:val="13"/>
                <w:color w:val="auto"/>
              </w:rPr>
            </w:pPr>
          </w:p>
        </w:tc>
        <w:tc>
          <w:tcPr>
            <w:tcW w:w="1240" w:type="dxa"/>
            <w:vAlign w:val="bottom"/>
            <w:gridSpan w:val="2"/>
          </w:tcPr>
          <w:p>
            <w:pPr>
              <w:spacing w:after="0" w:line="159" w:lineRule="exact"/>
              <w:rPr>
                <w:sz w:val="20"/>
                <w:szCs w:val="20"/>
                <w:color w:val="auto"/>
              </w:rPr>
            </w:pPr>
            <w:r>
              <w:rPr>
                <w:rFonts w:ascii="Arial" w:cs="Arial" w:eastAsia="Arial" w:hAnsi="Arial"/>
                <w:sz w:val="16"/>
                <w:szCs w:val="16"/>
                <w:b w:val="1"/>
                <w:bCs w:val="1"/>
                <w:color w:val="auto"/>
              </w:rPr>
              <w:t>Onerous</w:t>
            </w:r>
          </w:p>
        </w:tc>
        <w:tc>
          <w:tcPr>
            <w:tcW w:w="1220" w:type="dxa"/>
            <w:vAlign w:val="bottom"/>
            <w:gridSpan w:val="2"/>
          </w:tcPr>
          <w:p>
            <w:pPr>
              <w:spacing w:after="0" w:line="159" w:lineRule="exact"/>
              <w:rPr>
                <w:sz w:val="20"/>
                <w:szCs w:val="20"/>
                <w:color w:val="auto"/>
              </w:rPr>
            </w:pPr>
            <w:r>
              <w:rPr>
                <w:rFonts w:ascii="Arial" w:cs="Arial" w:eastAsia="Arial" w:hAnsi="Arial"/>
                <w:sz w:val="16"/>
                <w:szCs w:val="16"/>
                <w:b w:val="1"/>
                <w:bCs w:val="1"/>
                <w:color w:val="auto"/>
              </w:rPr>
              <w:t>Non-onerous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618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contracts</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contracts</w:t>
            </w: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180" w:type="dxa"/>
            <w:vAlign w:val="bottom"/>
            <w:vMerge w:val="restart"/>
          </w:tcPr>
          <w:p>
            <w:pPr>
              <w:spacing w:after="0"/>
              <w:rPr>
                <w:sz w:val="20"/>
                <w:szCs w:val="20"/>
                <w:color w:val="auto"/>
              </w:rPr>
            </w:pPr>
            <w:r>
              <w:rPr>
                <w:rFonts w:ascii="Arial" w:cs="Arial" w:eastAsia="Arial" w:hAnsi="Arial"/>
                <w:sz w:val="16"/>
                <w:szCs w:val="16"/>
                <w:color w:val="auto"/>
              </w:rPr>
              <w:t>Estimates of the present value of future outflows:</w:t>
            </w: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1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180" w:type="dxa"/>
            <w:vAlign w:val="bottom"/>
          </w:tcPr>
          <w:p>
            <w:pPr>
              <w:ind w:left="140"/>
              <w:spacing w:after="0"/>
              <w:rPr>
                <w:sz w:val="20"/>
                <w:szCs w:val="20"/>
                <w:color w:val="auto"/>
              </w:rPr>
            </w:pPr>
            <w:r>
              <w:rPr>
                <w:rFonts w:ascii="Arial" w:cs="Arial" w:eastAsia="Arial" w:hAnsi="Arial"/>
                <w:sz w:val="16"/>
                <w:szCs w:val="16"/>
                <w:color w:val="auto"/>
              </w:rPr>
              <w:t>Insurance Acquisition Cash Flows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14,022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72,277</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86,299</w:t>
            </w:r>
          </w:p>
        </w:tc>
        <w:tc>
          <w:tcPr>
            <w:tcW w:w="0" w:type="dxa"/>
            <w:vAlign w:val="bottom"/>
          </w:tcPr>
          <w:p>
            <w:pPr>
              <w:spacing w:after="0"/>
              <w:rPr>
                <w:sz w:val="1"/>
                <w:szCs w:val="1"/>
                <w:color w:val="auto"/>
              </w:rPr>
            </w:pPr>
          </w:p>
        </w:tc>
      </w:tr>
      <w:tr>
        <w:trPr>
          <w:trHeight w:val="183"/>
        </w:trPr>
        <w:tc>
          <w:tcPr>
            <w:tcW w:w="6180" w:type="dxa"/>
            <w:vAlign w:val="bottom"/>
          </w:tcPr>
          <w:p>
            <w:pPr>
              <w:ind w:left="140"/>
              <w:spacing w:after="0"/>
              <w:rPr>
                <w:sz w:val="20"/>
                <w:szCs w:val="20"/>
                <w:color w:val="auto"/>
              </w:rPr>
            </w:pPr>
            <w:r>
              <w:rPr>
                <w:rFonts w:ascii="Arial" w:cs="Arial" w:eastAsia="Arial" w:hAnsi="Arial"/>
                <w:sz w:val="16"/>
                <w:szCs w:val="16"/>
                <w:color w:val="auto"/>
              </w:rPr>
              <w:t>Claims and other directly attributable expenses</w:t>
            </w:r>
          </w:p>
        </w:tc>
        <w:tc>
          <w:tcPr>
            <w:tcW w:w="1120" w:type="dxa"/>
            <w:vAlign w:val="bottom"/>
          </w:tcPr>
          <w:p>
            <w:pPr>
              <w:jc w:val="right"/>
              <w:spacing w:after="0"/>
              <w:rPr>
                <w:sz w:val="20"/>
                <w:szCs w:val="20"/>
                <w:color w:val="auto"/>
              </w:rPr>
            </w:pPr>
            <w:r>
              <w:rPr>
                <w:rFonts w:ascii="Arial" w:cs="Arial" w:eastAsia="Arial" w:hAnsi="Arial"/>
                <w:sz w:val="16"/>
                <w:szCs w:val="16"/>
                <w:color w:val="auto"/>
              </w:rPr>
              <w:t>165,170</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468,718</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633,888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80" w:type="dxa"/>
            <w:vAlign w:val="bottom"/>
          </w:tcPr>
          <w:p>
            <w:pPr>
              <w:spacing w:after="0"/>
              <w:rPr>
                <w:sz w:val="20"/>
                <w:szCs w:val="20"/>
                <w:color w:val="auto"/>
              </w:rPr>
            </w:pPr>
            <w:r>
              <w:rPr>
                <w:rFonts w:ascii="Arial" w:cs="Arial" w:eastAsia="Arial" w:hAnsi="Arial"/>
                <w:sz w:val="16"/>
                <w:szCs w:val="16"/>
                <w:color w:val="auto"/>
              </w:rPr>
              <w:t>Estimates of the present value of future inflows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(167,263)</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(668,931)</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(836,194)</w:t>
            </w:r>
          </w:p>
        </w:tc>
        <w:tc>
          <w:tcPr>
            <w:tcW w:w="0" w:type="dxa"/>
            <w:vAlign w:val="bottom"/>
          </w:tcPr>
          <w:p>
            <w:pPr>
              <w:spacing w:after="0"/>
              <w:rPr>
                <w:sz w:val="1"/>
                <w:szCs w:val="1"/>
                <w:color w:val="auto"/>
              </w:rPr>
            </w:pPr>
          </w:p>
        </w:tc>
      </w:tr>
      <w:tr>
        <w:trPr>
          <w:trHeight w:val="183"/>
        </w:trPr>
        <w:tc>
          <w:tcPr>
            <w:tcW w:w="6180" w:type="dxa"/>
            <w:vAlign w:val="bottom"/>
          </w:tcPr>
          <w:p>
            <w:pPr>
              <w:spacing w:after="0"/>
              <w:rPr>
                <w:sz w:val="20"/>
                <w:szCs w:val="20"/>
                <w:color w:val="auto"/>
              </w:rPr>
            </w:pPr>
            <w:r>
              <w:rPr>
                <w:rFonts w:ascii="Arial" w:cs="Arial" w:eastAsia="Arial" w:hAnsi="Arial"/>
                <w:sz w:val="16"/>
                <w:szCs w:val="16"/>
                <w:color w:val="auto"/>
              </w:rPr>
              <w:t>Risk adjustment for non-financial risk</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2,562</w:t>
            </w:r>
          </w:p>
        </w:tc>
        <w:tc>
          <w:tcPr>
            <w:tcW w:w="1120" w:type="dxa"/>
            <w:vAlign w:val="bottom"/>
          </w:tcPr>
          <w:p>
            <w:pPr>
              <w:jc w:val="right"/>
              <w:spacing w:after="0"/>
              <w:rPr>
                <w:sz w:val="20"/>
                <w:szCs w:val="20"/>
                <w:color w:val="auto"/>
              </w:rPr>
            </w:pPr>
            <w:r>
              <w:rPr>
                <w:rFonts w:ascii="Arial" w:cs="Arial" w:eastAsia="Arial" w:hAnsi="Arial"/>
                <w:sz w:val="16"/>
                <w:szCs w:val="16"/>
                <w:color w:val="auto"/>
              </w:rPr>
              <w:t>7,569</w:t>
            </w: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10,131</w:t>
            </w:r>
          </w:p>
        </w:tc>
        <w:tc>
          <w:tcPr>
            <w:tcW w:w="0" w:type="dxa"/>
            <w:vAlign w:val="bottom"/>
          </w:tcPr>
          <w:p>
            <w:pPr>
              <w:spacing w:after="0"/>
              <w:rPr>
                <w:sz w:val="1"/>
                <w:szCs w:val="1"/>
                <w:color w:val="auto"/>
              </w:rPr>
            </w:pPr>
          </w:p>
        </w:tc>
      </w:tr>
      <w:tr>
        <w:trPr>
          <w:trHeight w:val="200"/>
        </w:trPr>
        <w:tc>
          <w:tcPr>
            <w:tcW w:w="6180" w:type="dxa"/>
            <w:vAlign w:val="bottom"/>
          </w:tcPr>
          <w:p>
            <w:pPr>
              <w:spacing w:after="0"/>
              <w:rPr>
                <w:sz w:val="20"/>
                <w:szCs w:val="20"/>
                <w:color w:val="auto"/>
              </w:rPr>
            </w:pPr>
            <w:r>
              <w:rPr>
                <w:rFonts w:ascii="Arial" w:cs="Arial" w:eastAsia="Arial" w:hAnsi="Arial"/>
                <w:sz w:val="16"/>
                <w:szCs w:val="16"/>
                <w:color w:val="auto"/>
              </w:rPr>
              <w:t>CSM</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120,367</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180" w:type="dxa"/>
            <w:vAlign w:val="bottom"/>
          </w:tcPr>
          <w:p>
            <w:pPr>
              <w:spacing w:after="0" w:line="175" w:lineRule="exact"/>
              <w:rPr>
                <w:sz w:val="20"/>
                <w:szCs w:val="20"/>
                <w:color w:val="auto"/>
              </w:rPr>
            </w:pPr>
            <w:r>
              <w:rPr>
                <w:rFonts w:ascii="Arial" w:cs="Arial" w:eastAsia="Arial" w:hAnsi="Arial"/>
                <w:sz w:val="16"/>
                <w:szCs w:val="16"/>
                <w:b w:val="1"/>
                <w:bCs w:val="1"/>
                <w:color w:val="auto"/>
              </w:rPr>
              <w:t>Impact on provisions for contracts recognized in the period</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14,491</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14,491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d)</w:t>
        <w:tab/>
        <w:t>Below, we present the estimate of the release of CSM considering the reversals of the loss component:</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200"/>
        </w:trPr>
        <w:tc>
          <w:tcPr>
            <w:tcW w:w="2380" w:type="dxa"/>
            <w:vAlign w:val="bottom"/>
            <w:gridSpan w:val="2"/>
          </w:tcPr>
          <w:p>
            <w:pPr>
              <w:ind w:left="1860"/>
              <w:spacing w:after="0"/>
              <w:rPr>
                <w:sz w:val="20"/>
                <w:szCs w:val="20"/>
                <w:color w:val="auto"/>
              </w:rPr>
            </w:pPr>
            <w:r>
              <w:rPr>
                <w:rFonts w:ascii="Arial" w:cs="Arial" w:eastAsia="Arial" w:hAnsi="Arial"/>
                <w:sz w:val="16"/>
                <w:szCs w:val="16"/>
                <w:b w:val="1"/>
                <w:bCs w:val="1"/>
                <w:color w:val="auto"/>
              </w:rPr>
              <w:t>2023</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r>
      <w:tr>
        <w:trPr>
          <w:trHeight w:val="159"/>
        </w:trPr>
        <w:tc>
          <w:tcPr>
            <w:tcW w:w="1860" w:type="dxa"/>
            <w:vAlign w:val="bottom"/>
          </w:tcPr>
          <w:p>
            <w:pPr>
              <w:spacing w:after="0"/>
              <w:rPr>
                <w:sz w:val="13"/>
                <w:szCs w:val="13"/>
                <w:color w:val="auto"/>
              </w:rPr>
            </w:pPr>
          </w:p>
        </w:tc>
        <w:tc>
          <w:tcPr>
            <w:tcW w:w="52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w w:val="95"/>
              </w:rPr>
              <w:t>S/(000)</w:t>
            </w: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top w:val="single" w:sz="8" w:color="auto"/>
            </w:tcBorders>
            <w:gridSpan w:val="2"/>
          </w:tcPr>
          <w:p>
            <w:pPr>
              <w:spacing w:after="0" w:line="159"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83"/>
        </w:trPr>
        <w:tc>
          <w:tcPr>
            <w:tcW w:w="2380" w:type="dxa"/>
            <w:vAlign w:val="bottom"/>
            <w:gridSpan w:val="2"/>
          </w:tcPr>
          <w:p>
            <w:pPr>
              <w:spacing w:after="0"/>
              <w:rPr>
                <w:sz w:val="20"/>
                <w:szCs w:val="20"/>
                <w:color w:val="auto"/>
              </w:rPr>
            </w:pPr>
            <w:r>
              <w:rPr>
                <w:rFonts w:ascii="Arial" w:cs="Arial" w:eastAsia="Arial" w:hAnsi="Arial"/>
                <w:sz w:val="16"/>
                <w:szCs w:val="16"/>
                <w:color w:val="auto"/>
              </w:rPr>
              <w:t>One year</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113,378</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115,614</w:t>
            </w:r>
          </w:p>
        </w:tc>
      </w:tr>
      <w:tr>
        <w:trPr>
          <w:trHeight w:val="183"/>
        </w:trPr>
        <w:tc>
          <w:tcPr>
            <w:tcW w:w="2380" w:type="dxa"/>
            <w:vAlign w:val="bottom"/>
            <w:gridSpan w:val="2"/>
          </w:tcPr>
          <w:p>
            <w:pPr>
              <w:spacing w:after="0"/>
              <w:rPr>
                <w:sz w:val="20"/>
                <w:szCs w:val="20"/>
                <w:color w:val="auto"/>
              </w:rPr>
            </w:pPr>
            <w:r>
              <w:rPr>
                <w:rFonts w:ascii="Arial" w:cs="Arial" w:eastAsia="Arial" w:hAnsi="Arial"/>
                <w:sz w:val="16"/>
                <w:szCs w:val="16"/>
                <w:color w:val="auto"/>
              </w:rPr>
              <w:t>Two years</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115,736</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148,085</w:t>
            </w:r>
          </w:p>
        </w:tc>
      </w:tr>
      <w:tr>
        <w:trPr>
          <w:trHeight w:val="183"/>
        </w:trPr>
        <w:tc>
          <w:tcPr>
            <w:tcW w:w="2380" w:type="dxa"/>
            <w:vAlign w:val="bottom"/>
            <w:gridSpan w:val="2"/>
          </w:tcPr>
          <w:p>
            <w:pPr>
              <w:spacing w:after="0"/>
              <w:rPr>
                <w:sz w:val="20"/>
                <w:szCs w:val="20"/>
                <w:color w:val="auto"/>
              </w:rPr>
            </w:pPr>
            <w:r>
              <w:rPr>
                <w:rFonts w:ascii="Arial" w:cs="Arial" w:eastAsia="Arial" w:hAnsi="Arial"/>
                <w:sz w:val="16"/>
                <w:szCs w:val="16"/>
                <w:color w:val="auto"/>
              </w:rPr>
              <w:t>Three years</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116,736</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164,542</w:t>
            </w:r>
          </w:p>
        </w:tc>
      </w:tr>
      <w:tr>
        <w:trPr>
          <w:trHeight w:val="183"/>
        </w:trPr>
        <w:tc>
          <w:tcPr>
            <w:tcW w:w="2380" w:type="dxa"/>
            <w:vAlign w:val="bottom"/>
            <w:gridSpan w:val="2"/>
          </w:tcPr>
          <w:p>
            <w:pPr>
              <w:spacing w:after="0"/>
              <w:rPr>
                <w:sz w:val="20"/>
                <w:szCs w:val="20"/>
                <w:color w:val="auto"/>
              </w:rPr>
            </w:pPr>
            <w:r>
              <w:rPr>
                <w:rFonts w:ascii="Arial" w:cs="Arial" w:eastAsia="Arial" w:hAnsi="Arial"/>
                <w:sz w:val="16"/>
                <w:szCs w:val="16"/>
                <w:color w:val="auto"/>
              </w:rPr>
              <w:t>Four years</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117,284</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165,924</w:t>
            </w:r>
          </w:p>
        </w:tc>
      </w:tr>
      <w:tr>
        <w:trPr>
          <w:trHeight w:val="183"/>
        </w:trPr>
        <w:tc>
          <w:tcPr>
            <w:tcW w:w="2380" w:type="dxa"/>
            <w:vAlign w:val="bottom"/>
            <w:gridSpan w:val="2"/>
          </w:tcPr>
          <w:p>
            <w:pPr>
              <w:spacing w:after="0"/>
              <w:rPr>
                <w:sz w:val="20"/>
                <w:szCs w:val="20"/>
                <w:color w:val="auto"/>
              </w:rPr>
            </w:pPr>
            <w:r>
              <w:rPr>
                <w:rFonts w:ascii="Arial" w:cs="Arial" w:eastAsia="Arial" w:hAnsi="Arial"/>
                <w:sz w:val="16"/>
                <w:szCs w:val="16"/>
                <w:color w:val="auto"/>
              </w:rPr>
              <w:t>Five years</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114,531</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152,654</w:t>
            </w:r>
          </w:p>
        </w:tc>
      </w:tr>
      <w:tr>
        <w:trPr>
          <w:trHeight w:val="183"/>
        </w:trPr>
        <w:tc>
          <w:tcPr>
            <w:tcW w:w="2380" w:type="dxa"/>
            <w:vAlign w:val="bottom"/>
            <w:gridSpan w:val="2"/>
          </w:tcPr>
          <w:p>
            <w:pPr>
              <w:spacing w:after="0"/>
              <w:rPr>
                <w:sz w:val="20"/>
                <w:szCs w:val="20"/>
                <w:color w:val="auto"/>
              </w:rPr>
            </w:pPr>
            <w:r>
              <w:rPr>
                <w:rFonts w:ascii="Arial" w:cs="Arial" w:eastAsia="Arial" w:hAnsi="Arial"/>
                <w:sz w:val="16"/>
                <w:szCs w:val="16"/>
                <w:color w:val="auto"/>
              </w:rPr>
              <w:t>from 6 to 10 years</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494,953</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413,518</w:t>
            </w:r>
          </w:p>
        </w:tc>
      </w:tr>
      <w:tr>
        <w:trPr>
          <w:trHeight w:val="200"/>
        </w:trPr>
        <w:tc>
          <w:tcPr>
            <w:tcW w:w="2380" w:type="dxa"/>
            <w:vAlign w:val="bottom"/>
            <w:gridSpan w:val="2"/>
          </w:tcPr>
          <w:p>
            <w:pPr>
              <w:spacing w:after="0"/>
              <w:rPr>
                <w:sz w:val="20"/>
                <w:szCs w:val="20"/>
                <w:color w:val="auto"/>
              </w:rPr>
            </w:pPr>
            <w:r>
              <w:rPr>
                <w:rFonts w:ascii="Arial" w:cs="Arial" w:eastAsia="Arial" w:hAnsi="Arial"/>
                <w:sz w:val="16"/>
                <w:szCs w:val="16"/>
                <w:color w:val="auto"/>
              </w:rPr>
              <w:t>Older than 10 years</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1,011,435</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217,278</w:t>
            </w:r>
          </w:p>
        </w:tc>
      </w:tr>
      <w:tr>
        <w:trPr>
          <w:trHeight w:val="180"/>
        </w:trPr>
        <w:tc>
          <w:tcPr>
            <w:tcW w:w="186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2,084,053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top w:val="single" w:sz="8" w:color="auto"/>
              <w:bottom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b w:val="1"/>
                <w:bCs w:val="1"/>
                <w:color w:val="auto"/>
              </w:rPr>
              <w:t>1,377,615</w:t>
            </w:r>
          </w:p>
        </w:tc>
      </w:tr>
    </w:tbl>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41275</wp:posOffset>
            </wp:positionV>
            <wp:extent cx="714565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080"/>
          </w:cols>
          <w:pgMar w:left="900" w:top="306" w:right="919" w:bottom="1440" w:gutter="0" w:footer="0" w:header="0"/>
        </w:sectPr>
      </w:pPr>
    </w:p>
    <w:bookmarkStart w:id="127" w:name="page128"/>
    <w:bookmarkEnd w:id="127"/>
    <w:p>
      <w:pPr>
        <w:ind w:left="580"/>
        <w:spacing w:after="0"/>
        <w:tabs>
          <w:tab w:leader="none" w:pos="860" w:val="left"/>
        </w:tabs>
        <w:rPr>
          <w:sz w:val="20"/>
          <w:szCs w:val="20"/>
          <w:color w:val="auto"/>
        </w:rPr>
      </w:pPr>
      <w:r>
        <w:rPr>
          <w:rFonts w:ascii="Arial" w:cs="Arial" w:eastAsia="Arial" w:hAnsi="Arial"/>
          <w:sz w:val="16"/>
          <w:szCs w:val="16"/>
          <w:color w:val="auto"/>
        </w:rPr>
        <w:t>e)</w:t>
        <w:tab/>
        <w:t>The fair value of the underlying assets is as follows:</w:t>
      </w:r>
    </w:p>
    <w:p>
      <w:pPr>
        <w:spacing w:after="0" w:line="183" w:lineRule="exact"/>
        <w:rPr>
          <w:sz w:val="20"/>
          <w:szCs w:val="20"/>
          <w:color w:val="auto"/>
        </w:rPr>
      </w:pPr>
    </w:p>
    <w:tbl>
      <w:tblPr>
        <w:tblLayout w:type="fixed"/>
        <w:tblInd w:w="880" w:type="dxa"/>
        <w:tblCellMar>
          <w:top w:w="0" w:type="dxa"/>
          <w:left w:w="0" w:type="dxa"/>
          <w:bottom w:w="0" w:type="dxa"/>
          <w:right w:w="0" w:type="dxa"/>
        </w:tblCellMar>
      </w:tblPr>
      <w:tr>
        <w:trPr>
          <w:trHeight w:val="200"/>
        </w:trPr>
        <w:tc>
          <w:tcPr>
            <w:tcW w:w="2620" w:type="dxa"/>
            <w:vAlign w:val="bottom"/>
            <w:gridSpan w:val="2"/>
          </w:tcPr>
          <w:p>
            <w:pPr>
              <w:ind w:left="2080"/>
              <w:spacing w:after="0"/>
              <w:rPr>
                <w:sz w:val="20"/>
                <w:szCs w:val="20"/>
                <w:color w:val="auto"/>
              </w:rPr>
            </w:pPr>
            <w:r>
              <w:rPr>
                <w:rFonts w:ascii="Arial" w:cs="Arial" w:eastAsia="Arial" w:hAnsi="Arial"/>
                <w:sz w:val="16"/>
                <w:szCs w:val="16"/>
                <w:b w:val="1"/>
                <w:bCs w:val="1"/>
                <w:color w:val="auto"/>
              </w:rPr>
              <w:t>2023</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r>
      <w:tr>
        <w:trPr>
          <w:trHeight w:val="159"/>
        </w:trPr>
        <w:tc>
          <w:tcPr>
            <w:tcW w:w="2080" w:type="dxa"/>
            <w:vAlign w:val="bottom"/>
          </w:tcPr>
          <w:p>
            <w:pPr>
              <w:spacing w:after="0"/>
              <w:rPr>
                <w:sz w:val="13"/>
                <w:szCs w:val="13"/>
                <w:color w:val="auto"/>
              </w:rPr>
            </w:pPr>
          </w:p>
        </w:tc>
        <w:tc>
          <w:tcPr>
            <w:tcW w:w="54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w w:val="99"/>
              </w:rPr>
              <w:t>S/(000)</w:t>
            </w: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83"/>
        </w:trPr>
        <w:tc>
          <w:tcPr>
            <w:tcW w:w="2620" w:type="dxa"/>
            <w:vAlign w:val="bottom"/>
            <w:gridSpan w:val="2"/>
          </w:tcPr>
          <w:p>
            <w:pPr>
              <w:spacing w:after="0"/>
              <w:rPr>
                <w:sz w:val="20"/>
                <w:szCs w:val="20"/>
                <w:color w:val="auto"/>
              </w:rPr>
            </w:pPr>
            <w:r>
              <w:rPr>
                <w:rFonts w:ascii="Arial" w:cs="Arial" w:eastAsia="Arial" w:hAnsi="Arial"/>
                <w:sz w:val="16"/>
                <w:szCs w:val="16"/>
                <w:color w:val="auto"/>
              </w:rPr>
              <w:t>IL Controlled</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91,502</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84,570</w:t>
            </w:r>
          </w:p>
        </w:tc>
      </w:tr>
      <w:tr>
        <w:trPr>
          <w:trHeight w:val="183"/>
        </w:trPr>
        <w:tc>
          <w:tcPr>
            <w:tcW w:w="2620" w:type="dxa"/>
            <w:vAlign w:val="bottom"/>
            <w:gridSpan w:val="2"/>
          </w:tcPr>
          <w:p>
            <w:pPr>
              <w:spacing w:after="0"/>
              <w:rPr>
                <w:sz w:val="20"/>
                <w:szCs w:val="20"/>
                <w:color w:val="auto"/>
              </w:rPr>
            </w:pPr>
            <w:r>
              <w:rPr>
                <w:rFonts w:ascii="Arial" w:cs="Arial" w:eastAsia="Arial" w:hAnsi="Arial"/>
                <w:sz w:val="16"/>
                <w:szCs w:val="16"/>
                <w:color w:val="auto"/>
              </w:rPr>
              <w:t>IL Controlled Soles</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186,879</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187,088</w:t>
            </w:r>
          </w:p>
        </w:tc>
      </w:tr>
      <w:tr>
        <w:trPr>
          <w:trHeight w:val="183"/>
        </w:trPr>
        <w:tc>
          <w:tcPr>
            <w:tcW w:w="2620" w:type="dxa"/>
            <w:vAlign w:val="bottom"/>
            <w:gridSpan w:val="2"/>
          </w:tcPr>
          <w:p>
            <w:pPr>
              <w:spacing w:after="0"/>
              <w:rPr>
                <w:sz w:val="20"/>
                <w:szCs w:val="20"/>
                <w:color w:val="auto"/>
              </w:rPr>
            </w:pPr>
            <w:r>
              <w:rPr>
                <w:rFonts w:ascii="Arial" w:cs="Arial" w:eastAsia="Arial" w:hAnsi="Arial"/>
                <w:sz w:val="16"/>
                <w:szCs w:val="16"/>
                <w:color w:val="auto"/>
              </w:rPr>
              <w:t>IL Balanced</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79,671</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72,059</w:t>
            </w:r>
          </w:p>
        </w:tc>
      </w:tr>
      <w:tr>
        <w:trPr>
          <w:trHeight w:val="183"/>
        </w:trPr>
        <w:tc>
          <w:tcPr>
            <w:tcW w:w="2620" w:type="dxa"/>
            <w:vAlign w:val="bottom"/>
            <w:gridSpan w:val="2"/>
          </w:tcPr>
          <w:p>
            <w:pPr>
              <w:spacing w:after="0"/>
              <w:rPr>
                <w:sz w:val="20"/>
                <w:szCs w:val="20"/>
                <w:color w:val="auto"/>
              </w:rPr>
            </w:pPr>
            <w:r>
              <w:rPr>
                <w:rFonts w:ascii="Arial" w:cs="Arial" w:eastAsia="Arial" w:hAnsi="Arial"/>
                <w:sz w:val="16"/>
                <w:szCs w:val="16"/>
                <w:color w:val="auto"/>
              </w:rPr>
              <w:t>IL Balanced II</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382,326</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370,484</w:t>
            </w:r>
          </w:p>
        </w:tc>
      </w:tr>
      <w:tr>
        <w:trPr>
          <w:trHeight w:val="183"/>
        </w:trPr>
        <w:tc>
          <w:tcPr>
            <w:tcW w:w="2620" w:type="dxa"/>
            <w:vAlign w:val="bottom"/>
            <w:gridSpan w:val="2"/>
          </w:tcPr>
          <w:p>
            <w:pPr>
              <w:spacing w:after="0"/>
              <w:rPr>
                <w:sz w:val="20"/>
                <w:szCs w:val="20"/>
                <w:color w:val="auto"/>
              </w:rPr>
            </w:pPr>
            <w:r>
              <w:rPr>
                <w:rFonts w:ascii="Arial" w:cs="Arial" w:eastAsia="Arial" w:hAnsi="Arial"/>
                <w:sz w:val="16"/>
                <w:szCs w:val="16"/>
                <w:color w:val="auto"/>
              </w:rPr>
              <w:t>IL Global Balanced</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87,527</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75,301</w:t>
            </w:r>
          </w:p>
        </w:tc>
      </w:tr>
      <w:tr>
        <w:trPr>
          <w:trHeight w:val="183"/>
        </w:trPr>
        <w:tc>
          <w:tcPr>
            <w:tcW w:w="2620" w:type="dxa"/>
            <w:vAlign w:val="bottom"/>
            <w:gridSpan w:val="2"/>
          </w:tcPr>
          <w:p>
            <w:pPr>
              <w:spacing w:after="0"/>
              <w:rPr>
                <w:sz w:val="20"/>
                <w:szCs w:val="20"/>
                <w:color w:val="auto"/>
              </w:rPr>
            </w:pPr>
            <w:r>
              <w:rPr>
                <w:rFonts w:ascii="Arial" w:cs="Arial" w:eastAsia="Arial" w:hAnsi="Arial"/>
                <w:sz w:val="16"/>
                <w:szCs w:val="16"/>
                <w:color w:val="auto"/>
              </w:rPr>
              <w:t>IL Capitalized</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1,433</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328</w:t>
            </w:r>
          </w:p>
        </w:tc>
      </w:tr>
      <w:tr>
        <w:trPr>
          <w:trHeight w:val="183"/>
        </w:trPr>
        <w:tc>
          <w:tcPr>
            <w:tcW w:w="2620" w:type="dxa"/>
            <w:vAlign w:val="bottom"/>
            <w:gridSpan w:val="2"/>
          </w:tcPr>
          <w:p>
            <w:pPr>
              <w:spacing w:after="0"/>
              <w:rPr>
                <w:sz w:val="20"/>
                <w:szCs w:val="20"/>
                <w:color w:val="auto"/>
              </w:rPr>
            </w:pPr>
            <w:r>
              <w:rPr>
                <w:rFonts w:ascii="Arial" w:cs="Arial" w:eastAsia="Arial" w:hAnsi="Arial"/>
                <w:sz w:val="16"/>
                <w:szCs w:val="16"/>
                <w:color w:val="auto"/>
              </w:rPr>
              <w:t>IL Capitalized II</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259</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190</w:t>
            </w:r>
          </w:p>
        </w:tc>
      </w:tr>
      <w:tr>
        <w:trPr>
          <w:trHeight w:val="183"/>
        </w:trPr>
        <w:tc>
          <w:tcPr>
            <w:tcW w:w="2620" w:type="dxa"/>
            <w:vAlign w:val="bottom"/>
            <w:gridSpan w:val="2"/>
          </w:tcPr>
          <w:p>
            <w:pPr>
              <w:spacing w:after="0"/>
              <w:rPr>
                <w:sz w:val="20"/>
                <w:szCs w:val="20"/>
                <w:color w:val="auto"/>
              </w:rPr>
            </w:pPr>
            <w:r>
              <w:rPr>
                <w:rFonts w:ascii="Arial" w:cs="Arial" w:eastAsia="Arial" w:hAnsi="Arial"/>
                <w:sz w:val="16"/>
                <w:szCs w:val="16"/>
                <w:color w:val="auto"/>
              </w:rPr>
              <w:t>IL Global Growth</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1,073</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198</w:t>
            </w:r>
          </w:p>
        </w:tc>
      </w:tr>
      <w:tr>
        <w:trPr>
          <w:trHeight w:val="183"/>
        </w:trPr>
        <w:tc>
          <w:tcPr>
            <w:tcW w:w="2620" w:type="dxa"/>
            <w:vAlign w:val="bottom"/>
            <w:gridSpan w:val="2"/>
          </w:tcPr>
          <w:p>
            <w:pPr>
              <w:spacing w:after="0"/>
              <w:rPr>
                <w:sz w:val="20"/>
                <w:szCs w:val="20"/>
                <w:color w:val="auto"/>
              </w:rPr>
            </w:pPr>
            <w:r>
              <w:rPr>
                <w:rFonts w:ascii="Arial" w:cs="Arial" w:eastAsia="Arial" w:hAnsi="Arial"/>
                <w:sz w:val="16"/>
                <w:szCs w:val="16"/>
                <w:color w:val="auto"/>
              </w:rPr>
              <w:t>IL Sustainable</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5"/>
        </w:trPr>
        <w:tc>
          <w:tcPr>
            <w:tcW w:w="2620" w:type="dxa"/>
            <w:vAlign w:val="bottom"/>
            <w:gridSpan w:val="2"/>
          </w:tcPr>
          <w:p>
            <w:pPr>
              <w:spacing w:after="0"/>
              <w:rPr>
                <w:sz w:val="20"/>
                <w:szCs w:val="20"/>
                <w:color w:val="auto"/>
              </w:rPr>
            </w:pPr>
            <w:r>
              <w:rPr>
                <w:rFonts w:ascii="Arial" w:cs="Arial" w:eastAsia="Arial" w:hAnsi="Arial"/>
                <w:sz w:val="16"/>
                <w:szCs w:val="16"/>
                <w:color w:val="auto"/>
              </w:rPr>
              <w:t>Capitalization</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804</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bl>
    <w:p>
      <w:pPr>
        <w:spacing w:after="0" w:line="151" w:lineRule="exact"/>
        <w:rPr>
          <w:sz w:val="20"/>
          <w:szCs w:val="20"/>
          <w:color w:val="auto"/>
        </w:rPr>
      </w:pPr>
    </w:p>
    <w:p>
      <w:pPr>
        <w:ind w:left="880" w:right="520" w:hanging="296"/>
        <w:spacing w:after="0" w:line="280" w:lineRule="auto"/>
        <w:tabs>
          <w:tab w:leader="none" w:pos="8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impact in the current period of the transition approaches adopted to establish CSM for insurance contract portfolios is revealed in the following table:</w:t>
      </w:r>
    </w:p>
    <w:p>
      <w:pPr>
        <w:spacing w:after="0" w:line="120" w:lineRule="exact"/>
        <w:rPr>
          <w:sz w:val="20"/>
          <w:szCs w:val="20"/>
          <w:color w:val="auto"/>
        </w:rPr>
      </w:pPr>
    </w:p>
    <w:tbl>
      <w:tblPr>
        <w:tblLayout w:type="fixed"/>
        <w:tblInd w:w="880" w:type="dxa"/>
        <w:tblCellMar>
          <w:top w:w="0" w:type="dxa"/>
          <w:left w:w="0" w:type="dxa"/>
          <w:bottom w:w="0" w:type="dxa"/>
          <w:right w:w="0" w:type="dxa"/>
        </w:tblCellMar>
      </w:tblPr>
      <w:tr>
        <w:trPr>
          <w:trHeight w:val="200"/>
        </w:trPr>
        <w:tc>
          <w:tcPr>
            <w:tcW w:w="3040" w:type="dxa"/>
            <w:vAlign w:val="bottom"/>
            <w:gridSpan w:val="2"/>
          </w:tcPr>
          <w:p>
            <w:pPr>
              <w:ind w:left="2500"/>
              <w:spacing w:after="0"/>
              <w:rPr>
                <w:sz w:val="20"/>
                <w:szCs w:val="20"/>
                <w:color w:val="auto"/>
              </w:rPr>
            </w:pPr>
            <w:r>
              <w:rPr>
                <w:rFonts w:ascii="Arial" w:cs="Arial" w:eastAsia="Arial" w:hAnsi="Arial"/>
                <w:sz w:val="16"/>
                <w:szCs w:val="16"/>
                <w:b w:val="1"/>
                <w:bCs w:val="1"/>
                <w:color w:val="auto"/>
              </w:rPr>
              <w:t>2023</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r>
      <w:tr>
        <w:trPr>
          <w:trHeight w:val="159"/>
        </w:trPr>
        <w:tc>
          <w:tcPr>
            <w:tcW w:w="2500" w:type="dxa"/>
            <w:vAlign w:val="bottom"/>
          </w:tcPr>
          <w:p>
            <w:pPr>
              <w:spacing w:after="0"/>
              <w:rPr>
                <w:sz w:val="13"/>
                <w:szCs w:val="13"/>
                <w:color w:val="auto"/>
              </w:rPr>
            </w:pPr>
          </w:p>
        </w:tc>
        <w:tc>
          <w:tcPr>
            <w:tcW w:w="54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w w:val="99"/>
              </w:rPr>
              <w:t>S/(000)</w:t>
            </w: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gridSpan w:val="2"/>
          </w:tcPr>
          <w:p>
            <w:pPr>
              <w:spacing w:after="0" w:line="159"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83"/>
        </w:trPr>
        <w:tc>
          <w:tcPr>
            <w:tcW w:w="3040" w:type="dxa"/>
            <w:vAlign w:val="bottom"/>
            <w:gridSpan w:val="2"/>
          </w:tcPr>
          <w:p>
            <w:pPr>
              <w:spacing w:after="0"/>
              <w:rPr>
                <w:sz w:val="20"/>
                <w:szCs w:val="20"/>
                <w:color w:val="auto"/>
              </w:rPr>
            </w:pPr>
            <w:r>
              <w:rPr>
                <w:rFonts w:ascii="Arial" w:cs="Arial" w:eastAsia="Arial" w:hAnsi="Arial"/>
                <w:sz w:val="16"/>
                <w:szCs w:val="16"/>
                <w:color w:val="auto"/>
              </w:rPr>
              <w:t>CSM at the beginning of the</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040" w:type="dxa"/>
            <w:vAlign w:val="bottom"/>
            <w:gridSpan w:val="2"/>
          </w:tcPr>
          <w:p>
            <w:pPr>
              <w:spacing w:after="0"/>
              <w:rPr>
                <w:sz w:val="20"/>
                <w:szCs w:val="20"/>
                <w:color w:val="auto"/>
              </w:rPr>
            </w:pPr>
            <w:r>
              <w:rPr>
                <w:rFonts w:ascii="Arial" w:cs="Arial" w:eastAsia="Arial" w:hAnsi="Arial"/>
                <w:sz w:val="16"/>
                <w:szCs w:val="16"/>
                <w:color w:val="auto"/>
              </w:rPr>
              <w:t>period</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992,527</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1,251,473</w:t>
            </w:r>
          </w:p>
        </w:tc>
      </w:tr>
      <w:tr>
        <w:trPr>
          <w:trHeight w:val="183"/>
        </w:trPr>
        <w:tc>
          <w:tcPr>
            <w:tcW w:w="3040" w:type="dxa"/>
            <w:vAlign w:val="bottom"/>
            <w:gridSpan w:val="2"/>
          </w:tcPr>
          <w:p>
            <w:pPr>
              <w:spacing w:after="0"/>
              <w:rPr>
                <w:sz w:val="20"/>
                <w:szCs w:val="20"/>
                <w:color w:val="auto"/>
              </w:rPr>
            </w:pPr>
            <w:r>
              <w:rPr>
                <w:rFonts w:ascii="Arial" w:cs="Arial" w:eastAsia="Arial" w:hAnsi="Arial"/>
                <w:sz w:val="16"/>
                <w:szCs w:val="16"/>
                <w:color w:val="auto"/>
              </w:rPr>
              <w:t>Changes related to future service</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(11,385)</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(181,050)</w:t>
            </w:r>
          </w:p>
        </w:tc>
      </w:tr>
      <w:tr>
        <w:trPr>
          <w:trHeight w:val="183"/>
        </w:trPr>
        <w:tc>
          <w:tcPr>
            <w:tcW w:w="3040" w:type="dxa"/>
            <w:vAlign w:val="bottom"/>
            <w:gridSpan w:val="2"/>
          </w:tcPr>
          <w:p>
            <w:pPr>
              <w:spacing w:after="0"/>
              <w:rPr>
                <w:sz w:val="20"/>
                <w:szCs w:val="20"/>
                <w:color w:val="auto"/>
              </w:rPr>
            </w:pPr>
            <w:r>
              <w:rPr>
                <w:rFonts w:ascii="Arial" w:cs="Arial" w:eastAsia="Arial" w:hAnsi="Arial"/>
                <w:sz w:val="16"/>
                <w:szCs w:val="16"/>
                <w:color w:val="auto"/>
              </w:rPr>
              <w:t>Changes related to the current</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0"/>
        </w:trPr>
        <w:tc>
          <w:tcPr>
            <w:tcW w:w="3040" w:type="dxa"/>
            <w:vAlign w:val="bottom"/>
            <w:gridSpan w:val="2"/>
          </w:tcPr>
          <w:p>
            <w:pPr>
              <w:spacing w:after="0"/>
              <w:rPr>
                <w:sz w:val="20"/>
                <w:szCs w:val="20"/>
                <w:color w:val="auto"/>
              </w:rPr>
            </w:pPr>
            <w:r>
              <w:rPr>
                <w:rFonts w:ascii="Arial" w:cs="Arial" w:eastAsia="Arial" w:hAnsi="Arial"/>
                <w:sz w:val="16"/>
                <w:szCs w:val="16"/>
                <w:color w:val="auto"/>
              </w:rPr>
              <w:t>service</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(74,030)</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(77,896)</w:t>
            </w:r>
          </w:p>
        </w:tc>
      </w:tr>
      <w:tr>
        <w:trPr>
          <w:trHeight w:val="180"/>
        </w:trPr>
        <w:tc>
          <w:tcPr>
            <w:tcW w:w="2500" w:type="dxa"/>
            <w:vAlign w:val="bottom"/>
          </w:tcPr>
          <w:p>
            <w:pPr>
              <w:spacing w:after="0" w:line="175" w:lineRule="exact"/>
              <w:rPr>
                <w:sz w:val="20"/>
                <w:szCs w:val="20"/>
                <w:color w:val="auto"/>
              </w:rPr>
            </w:pPr>
            <w:r>
              <w:rPr>
                <w:rFonts w:ascii="Arial" w:cs="Arial" w:eastAsia="Arial" w:hAnsi="Arial"/>
                <w:sz w:val="16"/>
                <w:szCs w:val="16"/>
                <w:b w:val="1"/>
                <w:bCs w:val="1"/>
                <w:color w:val="auto"/>
              </w:rPr>
              <w:t>CSM at the end of the period</w:t>
            </w:r>
          </w:p>
        </w:tc>
        <w:tc>
          <w:tcPr>
            <w:tcW w:w="5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907,112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top w:val="single" w:sz="8" w:color="auto"/>
              <w:bottom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b w:val="1"/>
                <w:bCs w:val="1"/>
                <w:color w:val="auto"/>
              </w:rPr>
              <w:t>992,527</w:t>
            </w:r>
          </w:p>
        </w:tc>
      </w:tr>
    </w:tbl>
    <w:p>
      <w:pPr>
        <w:spacing w:after="0" w:line="166" w:lineRule="exact"/>
        <w:rPr>
          <w:sz w:val="20"/>
          <w:szCs w:val="20"/>
          <w:color w:val="auto"/>
        </w:rPr>
      </w:pPr>
    </w:p>
    <w:p>
      <w:pPr>
        <w:ind w:left="580"/>
        <w:spacing w:after="0"/>
        <w:tabs>
          <w:tab w:leader="none" w:pos="860" w:val="left"/>
        </w:tabs>
        <w:rPr>
          <w:sz w:val="20"/>
          <w:szCs w:val="20"/>
          <w:color w:val="auto"/>
        </w:rPr>
      </w:pPr>
      <w:r>
        <w:rPr>
          <w:rFonts w:ascii="Arial" w:cs="Arial" w:eastAsia="Arial" w:hAnsi="Arial"/>
          <w:sz w:val="16"/>
          <w:szCs w:val="16"/>
          <w:color w:val="auto"/>
        </w:rPr>
        <w:t>g)</w:t>
        <w:tab/>
        <w:t>Below is the composition of the net premiums earned as of December 31, 2021 under IFRS 4:</w:t>
      </w:r>
    </w:p>
    <w:p>
      <w:pPr>
        <w:spacing w:after="0" w:line="182" w:lineRule="exact"/>
        <w:rPr>
          <w:sz w:val="20"/>
          <w:szCs w:val="20"/>
          <w:color w:val="auto"/>
        </w:rPr>
      </w:pPr>
    </w:p>
    <w:tbl>
      <w:tblPr>
        <w:tblLayout w:type="fixed"/>
        <w:tblInd w:w="334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Results of</w:t>
            </w:r>
          </w:p>
        </w:tc>
        <w:tc>
          <w:tcPr>
            <w:tcW w:w="1140" w:type="dxa"/>
            <w:vAlign w:val="bottom"/>
          </w:tcPr>
          <w:p>
            <w:pPr>
              <w:spacing w:after="0"/>
              <w:rPr>
                <w:sz w:val="16"/>
                <w:szCs w:val="16"/>
                <w:color w:val="auto"/>
              </w:rPr>
            </w:pP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Premiums</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financial</w:t>
            </w:r>
          </w:p>
        </w:tc>
        <w:tc>
          <w:tcPr>
            <w:tcW w:w="11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ceded to</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1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reinsurers</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designated at</w:t>
            </w:r>
          </w:p>
        </w:tc>
        <w:tc>
          <w:tcPr>
            <w:tcW w:w="11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Technical</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Total gross</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and co-</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fair value</w:t>
            </w:r>
          </w:p>
        </w:tc>
        <w:tc>
          <w:tcPr>
            <w:tcW w:w="1140" w:type="dxa"/>
            <w:vAlign w:val="bottom"/>
          </w:tcPr>
          <w:p>
            <w:pPr>
              <w:spacing w:after="0"/>
              <w:rPr>
                <w:sz w:val="20"/>
                <w:szCs w:val="20"/>
                <w:color w:val="auto"/>
              </w:rPr>
            </w:pPr>
            <w:r>
              <w:rPr>
                <w:rFonts w:ascii="Arial" w:cs="Arial" w:eastAsia="Arial" w:hAnsi="Arial"/>
                <w:sz w:val="16"/>
                <w:szCs w:val="16"/>
                <w:b w:val="1"/>
                <w:bCs w:val="1"/>
                <w:color w:val="auto"/>
              </w:rPr>
              <w:t>Total Net</w:t>
            </w:r>
          </w:p>
        </w:tc>
      </w:tr>
      <w:tr>
        <w:trPr>
          <w:trHeight w:val="183"/>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Gross written</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reserve</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written</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insurers, net</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through profit</w:t>
            </w:r>
          </w:p>
        </w:tc>
        <w:tc>
          <w:tcPr>
            <w:tcW w:w="1140" w:type="dxa"/>
            <w:vAlign w:val="bottom"/>
          </w:tcPr>
          <w:p>
            <w:pPr>
              <w:spacing w:after="0"/>
              <w:rPr>
                <w:sz w:val="20"/>
                <w:szCs w:val="20"/>
                <w:color w:val="auto"/>
              </w:rPr>
            </w:pPr>
            <w:r>
              <w:rPr>
                <w:rFonts w:ascii="Arial" w:cs="Arial" w:eastAsia="Arial" w:hAnsi="Arial"/>
                <w:sz w:val="16"/>
                <w:szCs w:val="16"/>
                <w:b w:val="1"/>
                <w:bCs w:val="1"/>
                <w:color w:val="auto"/>
              </w:rPr>
              <w:t>premiums</w:t>
            </w:r>
          </w:p>
        </w:tc>
      </w:tr>
      <w:tr>
        <w:trPr>
          <w:trHeight w:val="200"/>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premiums</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adjustment</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premiums (*)</w:t>
            </w:r>
          </w:p>
        </w:tc>
        <w:tc>
          <w:tcPr>
            <w:tcW w:w="1140" w:type="dxa"/>
            <w:vAlign w:val="bottom"/>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and loss,</w:t>
            </w:r>
          </w:p>
        </w:tc>
        <w:tc>
          <w:tcPr>
            <w:tcW w:w="1140" w:type="dxa"/>
            <w:vAlign w:val="bottom"/>
          </w:tcPr>
          <w:p>
            <w:pPr>
              <w:spacing w:after="0"/>
              <w:rPr>
                <w:sz w:val="20"/>
                <w:szCs w:val="20"/>
                <w:color w:val="auto"/>
              </w:rPr>
            </w:pPr>
            <w:r>
              <w:rPr>
                <w:rFonts w:ascii="Arial" w:cs="Arial" w:eastAsia="Arial" w:hAnsi="Arial"/>
                <w:sz w:val="16"/>
                <w:szCs w:val="16"/>
                <w:b w:val="1"/>
                <w:bCs w:val="1"/>
                <w:color w:val="auto"/>
              </w:rPr>
              <w:t>earned</w:t>
            </w:r>
          </w:p>
        </w:tc>
      </w:tr>
      <w:tr>
        <w:trPr>
          <w:trHeight w:val="175"/>
        </w:trPr>
        <w:tc>
          <w:tcPr>
            <w:tcW w:w="112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S/(000)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ind w:left="880"/>
              <w:spacing w:after="0" w:line="168" w:lineRule="exact"/>
              <w:rPr>
                <w:sz w:val="20"/>
                <w:szCs w:val="20"/>
                <w:color w:val="auto"/>
              </w:rPr>
            </w:pPr>
            <w:r>
              <w:rPr>
                <w:rFonts w:ascii="Arial" w:cs="Arial" w:eastAsia="Arial" w:hAnsi="Arial"/>
                <w:sz w:val="16"/>
                <w:szCs w:val="16"/>
                <w:b w:val="1"/>
                <w:bCs w:val="1"/>
                <w:color w:val="auto"/>
              </w:rPr>
              <w:t>2021</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3"/>
        </w:trPr>
        <w:tc>
          <w:tcPr>
            <w:tcW w:w="3340" w:type="dxa"/>
            <w:vAlign w:val="bottom"/>
          </w:tcPr>
          <w:p>
            <w:pPr>
              <w:ind w:left="880"/>
              <w:spacing w:after="0"/>
              <w:rPr>
                <w:sz w:val="20"/>
                <w:szCs w:val="20"/>
                <w:color w:val="auto"/>
              </w:rPr>
            </w:pPr>
            <w:r>
              <w:rPr>
                <w:rFonts w:ascii="Arial" w:cs="Arial" w:eastAsia="Arial" w:hAnsi="Arial"/>
                <w:sz w:val="16"/>
                <w:szCs w:val="16"/>
                <w:color w:val="auto"/>
              </w:rPr>
              <w:t>Life insurance</w:t>
            </w:r>
          </w:p>
        </w:tc>
        <w:tc>
          <w:tcPr>
            <w:tcW w:w="1240" w:type="dxa"/>
            <w:vAlign w:val="bottom"/>
            <w:gridSpan w:val="3"/>
          </w:tcPr>
          <w:p>
            <w:pPr>
              <w:ind w:left="400"/>
              <w:spacing w:after="0"/>
              <w:rPr>
                <w:sz w:val="20"/>
                <w:szCs w:val="20"/>
                <w:color w:val="auto"/>
              </w:rPr>
            </w:pPr>
            <w:r>
              <w:rPr>
                <w:rFonts w:ascii="Arial" w:cs="Arial" w:eastAsia="Arial" w:hAnsi="Arial"/>
                <w:sz w:val="16"/>
                <w:szCs w:val="16"/>
                <w:color w:val="auto"/>
              </w:rPr>
              <w:t>2,508,154</w:t>
            </w:r>
          </w:p>
        </w:tc>
        <w:tc>
          <w:tcPr>
            <w:tcW w:w="280" w:type="dxa"/>
            <w:vAlign w:val="bottom"/>
          </w:tcPr>
          <w:p>
            <w:pPr>
              <w:spacing w:after="0"/>
              <w:rPr>
                <w:sz w:val="15"/>
                <w:szCs w:val="15"/>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6"/>
                <w:szCs w:val="16"/>
                <w:color w:val="auto"/>
              </w:rPr>
              <w:t>(890,216)</w:t>
            </w:r>
          </w:p>
        </w:tc>
        <w:tc>
          <w:tcPr>
            <w:tcW w:w="200" w:type="dxa"/>
            <w:vAlign w:val="bottom"/>
          </w:tcPr>
          <w:p>
            <w:pPr>
              <w:spacing w:after="0"/>
              <w:rPr>
                <w:sz w:val="15"/>
                <w:szCs w:val="15"/>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1,617,938</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(214,636)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54,663</w:t>
            </w:r>
          </w:p>
        </w:tc>
        <w:tc>
          <w:tcPr>
            <w:tcW w:w="1740" w:type="dxa"/>
            <w:vAlign w:val="bottom"/>
            <w:gridSpan w:val="2"/>
          </w:tcPr>
          <w:p>
            <w:pPr>
              <w:jc w:val="right"/>
              <w:ind w:right="600"/>
              <w:spacing w:after="0"/>
              <w:rPr>
                <w:sz w:val="20"/>
                <w:szCs w:val="20"/>
                <w:color w:val="auto"/>
              </w:rPr>
            </w:pPr>
            <w:r>
              <w:rPr>
                <w:rFonts w:ascii="Arial" w:cs="Arial" w:eastAsia="Arial" w:hAnsi="Arial"/>
                <w:sz w:val="16"/>
                <w:szCs w:val="16"/>
                <w:color w:val="auto"/>
              </w:rPr>
              <w:t>1,457,965</w:t>
            </w:r>
          </w:p>
        </w:tc>
      </w:tr>
      <w:tr>
        <w:trPr>
          <w:trHeight w:val="183"/>
        </w:trPr>
        <w:tc>
          <w:tcPr>
            <w:tcW w:w="3340" w:type="dxa"/>
            <w:vAlign w:val="bottom"/>
          </w:tcPr>
          <w:p>
            <w:pPr>
              <w:ind w:left="880"/>
              <w:spacing w:after="0"/>
              <w:rPr>
                <w:sz w:val="20"/>
                <w:szCs w:val="20"/>
                <w:color w:val="auto"/>
              </w:rPr>
            </w:pPr>
            <w:r>
              <w:rPr>
                <w:rFonts w:ascii="Arial" w:cs="Arial" w:eastAsia="Arial" w:hAnsi="Arial"/>
                <w:sz w:val="16"/>
                <w:szCs w:val="16"/>
                <w:color w:val="auto"/>
              </w:rPr>
              <w:t>Health insurance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630,790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(30,457)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600,333</w:t>
            </w: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(15,078)</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585,255</w:t>
            </w:r>
          </w:p>
        </w:tc>
        <w:tc>
          <w:tcPr>
            <w:tcW w:w="600" w:type="dxa"/>
            <w:vAlign w:val="bottom"/>
          </w:tcPr>
          <w:p>
            <w:pPr>
              <w:spacing w:after="0"/>
              <w:rPr>
                <w:sz w:val="15"/>
                <w:szCs w:val="15"/>
                <w:color w:val="auto"/>
              </w:rPr>
            </w:pPr>
          </w:p>
        </w:tc>
      </w:tr>
      <w:tr>
        <w:trPr>
          <w:trHeight w:val="200"/>
        </w:trPr>
        <w:tc>
          <w:tcPr>
            <w:tcW w:w="3340" w:type="dxa"/>
            <w:vAlign w:val="bottom"/>
          </w:tcPr>
          <w:p>
            <w:pPr>
              <w:ind w:left="880"/>
              <w:spacing w:after="0"/>
              <w:rPr>
                <w:sz w:val="20"/>
                <w:szCs w:val="20"/>
                <w:color w:val="auto"/>
              </w:rPr>
            </w:pPr>
            <w:r>
              <w:rPr>
                <w:rFonts w:ascii="Arial" w:cs="Arial" w:eastAsia="Arial" w:hAnsi="Arial"/>
                <w:sz w:val="16"/>
                <w:szCs w:val="16"/>
                <w:color w:val="auto"/>
              </w:rPr>
              <w:t>General insurance</w:t>
            </w:r>
          </w:p>
        </w:tc>
        <w:tc>
          <w:tcPr>
            <w:tcW w:w="1240" w:type="dxa"/>
            <w:vAlign w:val="bottom"/>
            <w:gridSpan w:val="3"/>
          </w:tcPr>
          <w:p>
            <w:pPr>
              <w:ind w:left="400"/>
              <w:spacing w:after="0"/>
              <w:rPr>
                <w:sz w:val="20"/>
                <w:szCs w:val="20"/>
                <w:color w:val="auto"/>
              </w:rPr>
            </w:pPr>
            <w:r>
              <w:rPr>
                <w:rFonts w:ascii="Arial" w:cs="Arial" w:eastAsia="Arial" w:hAnsi="Arial"/>
                <w:sz w:val="16"/>
                <w:szCs w:val="16"/>
                <w:color w:val="auto"/>
              </w:rPr>
              <w:t>1,140,478</w:t>
            </w:r>
          </w:p>
        </w:tc>
        <w:tc>
          <w:tcPr>
            <w:tcW w:w="280" w:type="dxa"/>
            <w:vAlign w:val="bottom"/>
          </w:tcPr>
          <w:p>
            <w:pPr>
              <w:spacing w:after="0"/>
              <w:rPr>
                <w:sz w:val="17"/>
                <w:szCs w:val="17"/>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6"/>
                <w:szCs w:val="16"/>
                <w:color w:val="auto"/>
              </w:rPr>
              <w:t>(3,176)</w:t>
            </w:r>
          </w:p>
        </w:tc>
        <w:tc>
          <w:tcPr>
            <w:tcW w:w="200" w:type="dxa"/>
            <w:vAlign w:val="bottom"/>
          </w:tcPr>
          <w:p>
            <w:pPr>
              <w:spacing w:after="0"/>
              <w:rPr>
                <w:sz w:val="17"/>
                <w:szCs w:val="17"/>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1,137,302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(508,992)</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628,310</w:t>
            </w:r>
          </w:p>
        </w:tc>
        <w:tc>
          <w:tcPr>
            <w:tcW w:w="600" w:type="dxa"/>
            <w:vAlign w:val="bottom"/>
          </w:tcPr>
          <w:p>
            <w:pPr>
              <w:spacing w:after="0"/>
              <w:rPr>
                <w:sz w:val="17"/>
                <w:szCs w:val="17"/>
                <w:color w:val="auto"/>
              </w:rPr>
            </w:pPr>
          </w:p>
        </w:tc>
      </w:tr>
      <w:tr>
        <w:trPr>
          <w:trHeight w:val="180"/>
        </w:trPr>
        <w:tc>
          <w:tcPr>
            <w:tcW w:w="3340" w:type="dxa"/>
            <w:vAlign w:val="bottom"/>
          </w:tcPr>
          <w:p>
            <w:pPr>
              <w:ind w:left="880"/>
              <w:spacing w:after="0" w:line="175" w:lineRule="exact"/>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auto"/>
            </w:tcBorders>
            <w:gridSpan w:val="2"/>
          </w:tcPr>
          <w:p>
            <w:pPr>
              <w:ind w:left="400"/>
              <w:spacing w:after="0" w:line="175" w:lineRule="exact"/>
              <w:rPr>
                <w:sz w:val="20"/>
                <w:szCs w:val="20"/>
                <w:color w:val="auto"/>
              </w:rPr>
            </w:pPr>
            <w:r>
              <w:rPr>
                <w:rFonts w:ascii="Arial" w:cs="Arial" w:eastAsia="Arial" w:hAnsi="Arial"/>
                <w:sz w:val="16"/>
                <w:szCs w:val="16"/>
                <w:color w:val="auto"/>
                <w:w w:val="98"/>
              </w:rPr>
              <w:t>4,279,422</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(923,849)</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3,355,573</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(738,706)</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54,663</w:t>
            </w:r>
          </w:p>
        </w:tc>
        <w:tc>
          <w:tcPr>
            <w:tcW w:w="1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2,671,530</w:t>
            </w:r>
          </w:p>
        </w:tc>
        <w:tc>
          <w:tcPr>
            <w:tcW w:w="600" w:type="dxa"/>
            <w:vAlign w:val="bottom"/>
          </w:tcPr>
          <w:p>
            <w:pPr>
              <w:spacing w:after="0"/>
              <w:rPr>
                <w:sz w:val="15"/>
                <w:szCs w:val="15"/>
                <w:color w:val="auto"/>
              </w:rPr>
            </w:pPr>
          </w:p>
        </w:tc>
      </w:tr>
      <w:tr>
        <w:trPr>
          <w:trHeight w:val="382"/>
        </w:trPr>
        <w:tc>
          <w:tcPr>
            <w:tcW w:w="6020" w:type="dxa"/>
            <w:vAlign w:val="bottom"/>
            <w:gridSpan w:val="10"/>
          </w:tcPr>
          <w:p>
            <w:pPr>
              <w:ind w:left="880"/>
              <w:spacing w:after="0"/>
              <w:rPr>
                <w:sz w:val="20"/>
                <w:szCs w:val="20"/>
                <w:color w:val="auto"/>
              </w:rPr>
            </w:pPr>
            <w:r>
              <w:rPr>
                <w:rFonts w:ascii="Arial" w:cs="Arial" w:eastAsia="Arial" w:hAnsi="Arial"/>
                <w:sz w:val="16"/>
                <w:szCs w:val="16"/>
                <w:color w:val="auto"/>
              </w:rPr>
              <w:t>(*)  Gross written premiums by insurance type are described below:</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3340" w:type="dxa"/>
            <w:vAlign w:val="bottom"/>
          </w:tcPr>
          <w:p>
            <w:pPr>
              <w:spacing w:after="0"/>
              <w:rPr>
                <w:sz w:val="24"/>
                <w:szCs w:val="24"/>
                <w:color w:val="auto"/>
              </w:rPr>
            </w:pPr>
          </w:p>
        </w:tc>
        <w:tc>
          <w:tcPr>
            <w:tcW w:w="1520" w:type="dxa"/>
            <w:vAlign w:val="bottom"/>
            <w:gridSpan w:val="4"/>
          </w:tcPr>
          <w:p>
            <w:pPr>
              <w:ind w:left="980"/>
              <w:spacing w:after="0"/>
              <w:rPr>
                <w:sz w:val="20"/>
                <w:szCs w:val="20"/>
                <w:color w:val="auto"/>
              </w:rPr>
            </w:pPr>
            <w:r>
              <w:rPr>
                <w:rFonts w:ascii="Arial" w:cs="Arial" w:eastAsia="Arial" w:hAnsi="Arial"/>
                <w:sz w:val="16"/>
                <w:szCs w:val="16"/>
                <w:b w:val="1"/>
                <w:bCs w:val="1"/>
                <w:color w:val="auto"/>
              </w:rPr>
              <w:t>2021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9"/>
        </w:trPr>
        <w:tc>
          <w:tcPr>
            <w:tcW w:w="3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Borders>
              <w:top w:val="single" w:sz="8" w:color="auto"/>
            </w:tcBorders>
            <w:gridSpan w:val="3"/>
          </w:tcPr>
          <w:p>
            <w:pPr>
              <w:spacing w:after="0" w:line="159" w:lineRule="exact"/>
              <w:rPr>
                <w:sz w:val="20"/>
                <w:szCs w:val="20"/>
                <w:color w:val="auto"/>
              </w:rPr>
            </w:pPr>
            <w:r>
              <w:rPr>
                <w:rFonts w:ascii="Arial" w:cs="Arial" w:eastAsia="Arial" w:hAnsi="Arial"/>
                <w:sz w:val="16"/>
                <w:szCs w:val="16"/>
                <w:b w:val="1"/>
                <w:bCs w:val="1"/>
                <w:color w:val="auto"/>
                <w:w w:val="99"/>
              </w:rPr>
              <w:t>S/(000)</w:t>
            </w:r>
          </w:p>
        </w:tc>
        <w:tc>
          <w:tcPr>
            <w:tcW w:w="1160" w:type="dxa"/>
            <w:vAlign w:val="bottom"/>
            <w:tcBorders>
              <w:top w:val="single" w:sz="8" w:color="auto"/>
            </w:tcBorders>
            <w:gridSpan w:val="5"/>
          </w:tcPr>
          <w:p>
            <w:pPr>
              <w:jc w:val="right"/>
              <w:ind w:right="200"/>
              <w:spacing w:after="0" w:line="159" w:lineRule="exact"/>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83"/>
        </w:trPr>
        <w:tc>
          <w:tcPr>
            <w:tcW w:w="3340" w:type="dxa"/>
            <w:vAlign w:val="bottom"/>
          </w:tcPr>
          <w:p>
            <w:pPr>
              <w:ind w:left="1180"/>
              <w:spacing w:after="0"/>
              <w:rPr>
                <w:sz w:val="20"/>
                <w:szCs w:val="20"/>
                <w:color w:val="auto"/>
              </w:rPr>
            </w:pPr>
            <w:r>
              <w:rPr>
                <w:rFonts w:ascii="Arial" w:cs="Arial" w:eastAsia="Arial" w:hAnsi="Arial"/>
                <w:sz w:val="16"/>
                <w:szCs w:val="16"/>
                <w:color w:val="auto"/>
              </w:rPr>
              <w:t>Life insurance (i)</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1,617,938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3"/>
        </w:trPr>
        <w:tc>
          <w:tcPr>
            <w:tcW w:w="3340" w:type="dxa"/>
            <w:vAlign w:val="bottom"/>
          </w:tcPr>
          <w:p>
            <w:pPr>
              <w:ind w:left="1180"/>
              <w:spacing w:after="0"/>
              <w:rPr>
                <w:sz w:val="20"/>
                <w:szCs w:val="20"/>
                <w:color w:val="auto"/>
              </w:rPr>
            </w:pPr>
            <w:r>
              <w:rPr>
                <w:rFonts w:ascii="Arial" w:cs="Arial" w:eastAsia="Arial" w:hAnsi="Arial"/>
                <w:sz w:val="16"/>
                <w:szCs w:val="16"/>
                <w:color w:val="auto"/>
              </w:rPr>
              <w:t>Health insurance (ii)</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600,333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0"/>
        </w:trPr>
        <w:tc>
          <w:tcPr>
            <w:tcW w:w="3340" w:type="dxa"/>
            <w:vAlign w:val="bottom"/>
          </w:tcPr>
          <w:p>
            <w:pPr>
              <w:ind w:left="1180"/>
              <w:spacing w:after="0"/>
              <w:rPr>
                <w:sz w:val="20"/>
                <w:szCs w:val="20"/>
                <w:color w:val="auto"/>
              </w:rPr>
            </w:pPr>
            <w:r>
              <w:rPr>
                <w:rFonts w:ascii="Arial" w:cs="Arial" w:eastAsia="Arial" w:hAnsi="Arial"/>
                <w:sz w:val="16"/>
                <w:szCs w:val="16"/>
                <w:color w:val="auto"/>
              </w:rPr>
              <w:t>General insurance (iii)</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1,137,302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80"/>
        </w:trPr>
        <w:tc>
          <w:tcPr>
            <w:tcW w:w="3340" w:type="dxa"/>
            <w:vAlign w:val="bottom"/>
          </w:tcPr>
          <w:p>
            <w:pPr>
              <w:ind w:left="1180"/>
              <w:spacing w:after="0" w:line="175" w:lineRule="exact"/>
              <w:rPr>
                <w:sz w:val="20"/>
                <w:szCs w:val="20"/>
                <w:color w:val="auto"/>
              </w:rPr>
            </w:pPr>
            <w:r>
              <w:rPr>
                <w:rFonts w:ascii="Arial" w:cs="Arial" w:eastAsia="Arial" w:hAnsi="Arial"/>
                <w:sz w:val="16"/>
                <w:szCs w:val="16"/>
                <w:b w:val="1"/>
                <w:bCs w:val="1"/>
                <w:color w:val="auto"/>
              </w:rPr>
              <w:t>Total</w:t>
            </w:r>
          </w:p>
        </w:tc>
        <w:tc>
          <w:tcPr>
            <w:tcW w:w="9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w w:val="98"/>
              </w:rPr>
              <w:t>3,355,573</w:t>
            </w:r>
          </w:p>
        </w:tc>
        <w:tc>
          <w:tcPr>
            <w:tcW w:w="10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724"/>
        </w:trPr>
        <w:tc>
          <w:tcPr>
            <w:tcW w:w="3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8"/>
        </w:trPr>
        <w:tc>
          <w:tcPr>
            <w:tcW w:w="3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128" w:name="page129"/>
    <w:bookmarkEnd w:id="128"/>
    <w:p>
      <w:pPr>
        <w:ind w:left="880"/>
        <w:spacing w:after="0"/>
        <w:tabs>
          <w:tab w:leader="none" w:pos="1160" w:val="left"/>
        </w:tabs>
        <w:rPr>
          <w:sz w:val="20"/>
          <w:szCs w:val="20"/>
          <w:color w:val="auto"/>
        </w:rPr>
      </w:pPr>
      <w:r>
        <w:rPr>
          <w:rFonts w:ascii="Arial" w:cs="Arial" w:eastAsia="Arial" w:hAnsi="Arial"/>
          <w:sz w:val="16"/>
          <w:szCs w:val="16"/>
          <w:color w:val="auto"/>
        </w:rPr>
        <w:t>(i)</w:t>
        <w:tab/>
        <w:t>The breakdown of life insurance gross written premiums is as follows:</w:t>
      </w:r>
    </w:p>
    <w:p>
      <w:pPr>
        <w:spacing w:after="0" w:line="183"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2021</w:t>
      </w:r>
    </w:p>
    <w:p>
      <w:pPr>
        <w:spacing w:after="0" w:line="16" w:lineRule="exact"/>
        <w:rPr>
          <w:sz w:val="20"/>
          <w:szCs w:val="20"/>
          <w:color w:val="auto"/>
        </w:rPr>
      </w:pPr>
    </w:p>
    <w:tbl>
      <w:tblPr>
        <w:tblLayout w:type="fixed"/>
        <w:tblInd w:w="1180" w:type="dxa"/>
        <w:tblCellMar>
          <w:top w:w="0" w:type="dxa"/>
          <w:left w:w="0" w:type="dxa"/>
          <w:bottom w:w="0" w:type="dxa"/>
          <w:right w:w="0" w:type="dxa"/>
        </w:tblCellMar>
      </w:tblPr>
      <w:tr>
        <w:trPr>
          <w:trHeight w:val="159"/>
        </w:trPr>
        <w:tc>
          <w:tcPr>
            <w:tcW w:w="3140" w:type="dxa"/>
            <w:vAlign w:val="bottom"/>
          </w:tcPr>
          <w:p>
            <w:pPr>
              <w:spacing w:after="0"/>
              <w:rPr>
                <w:sz w:val="13"/>
                <w:szCs w:val="13"/>
                <w:color w:val="auto"/>
              </w:rPr>
            </w:pPr>
          </w:p>
        </w:tc>
        <w:tc>
          <w:tcPr>
            <w:tcW w:w="540" w:type="dxa"/>
            <w:vAlign w:val="bottom"/>
            <w:tcBorders>
              <w:top w:val="single" w:sz="8" w:color="auto"/>
            </w:tcBorders>
            <w:gridSpan w:val="2"/>
          </w:tcPr>
          <w:p>
            <w:pPr>
              <w:spacing w:after="0" w:line="159" w:lineRule="exact"/>
              <w:rPr>
                <w:sz w:val="20"/>
                <w:szCs w:val="20"/>
                <w:color w:val="auto"/>
              </w:rPr>
            </w:pPr>
            <w:r>
              <w:rPr>
                <w:rFonts w:ascii="Arial" w:cs="Arial" w:eastAsia="Arial" w:hAnsi="Arial"/>
                <w:sz w:val="16"/>
                <w:szCs w:val="16"/>
                <w:b w:val="1"/>
                <w:bCs w:val="1"/>
                <w:color w:val="auto"/>
                <w:w w:val="99"/>
              </w:rPr>
              <w:t>S/(000)</w:t>
            </w: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899"/>
              <w:spacing w:after="0" w:line="159" w:lineRule="exact"/>
              <w:rPr>
                <w:sz w:val="20"/>
                <w:szCs w:val="20"/>
                <w:color w:val="auto"/>
              </w:rPr>
            </w:pPr>
            <w:r>
              <w:rPr>
                <w:rFonts w:ascii="Arial" w:cs="Arial" w:eastAsia="Arial" w:hAnsi="Arial"/>
                <w:sz w:val="16"/>
                <w:szCs w:val="16"/>
                <w:b w:val="1"/>
                <w:bCs w:val="1"/>
                <w:color w:val="auto"/>
                <w:w w:val="84"/>
              </w:rPr>
              <w:t>%</w:t>
            </w:r>
          </w:p>
        </w:tc>
        <w:tc>
          <w:tcPr>
            <w:tcW w:w="20" w:type="dxa"/>
            <w:vAlign w:val="bottom"/>
          </w:tcPr>
          <w:p>
            <w:pPr>
              <w:spacing w:after="0"/>
              <w:rPr>
                <w:sz w:val="13"/>
                <w:szCs w:val="13"/>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Disability and survival (*)</w:t>
            </w:r>
          </w:p>
        </w:tc>
        <w:tc>
          <w:tcPr>
            <w:tcW w:w="720" w:type="dxa"/>
            <w:vAlign w:val="bottom"/>
          </w:tcPr>
          <w:p>
            <w:pPr>
              <w:jc w:val="right"/>
              <w:spacing w:after="0"/>
              <w:rPr>
                <w:sz w:val="20"/>
                <w:szCs w:val="20"/>
                <w:color w:val="auto"/>
              </w:rPr>
            </w:pPr>
            <w:r>
              <w:rPr>
                <w:rFonts w:ascii="Arial" w:cs="Arial" w:eastAsia="Arial" w:hAnsi="Arial"/>
                <w:sz w:val="16"/>
                <w:szCs w:val="16"/>
                <w:color w:val="auto"/>
              </w:rPr>
              <w:t>645,194</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39.88</w:t>
            </w:r>
          </w:p>
        </w:tc>
        <w:tc>
          <w:tcPr>
            <w:tcW w:w="20" w:type="dxa"/>
            <w:vAlign w:val="bottom"/>
          </w:tcPr>
          <w:p>
            <w:pPr>
              <w:spacing w:after="0"/>
              <w:rPr>
                <w:sz w:val="15"/>
                <w:szCs w:val="15"/>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Credit life</w:t>
            </w:r>
          </w:p>
        </w:tc>
        <w:tc>
          <w:tcPr>
            <w:tcW w:w="720" w:type="dxa"/>
            <w:vAlign w:val="bottom"/>
          </w:tcPr>
          <w:p>
            <w:pPr>
              <w:jc w:val="right"/>
              <w:spacing w:after="0"/>
              <w:rPr>
                <w:sz w:val="20"/>
                <w:szCs w:val="20"/>
                <w:color w:val="auto"/>
              </w:rPr>
            </w:pPr>
            <w:r>
              <w:rPr>
                <w:rFonts w:ascii="Arial" w:cs="Arial" w:eastAsia="Arial" w:hAnsi="Arial"/>
                <w:sz w:val="16"/>
                <w:szCs w:val="16"/>
                <w:color w:val="auto"/>
              </w:rPr>
              <w:t>593,370</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36.67</w:t>
            </w:r>
          </w:p>
        </w:tc>
        <w:tc>
          <w:tcPr>
            <w:tcW w:w="20" w:type="dxa"/>
            <w:vAlign w:val="bottom"/>
          </w:tcPr>
          <w:p>
            <w:pPr>
              <w:spacing w:after="0"/>
              <w:rPr>
                <w:sz w:val="15"/>
                <w:szCs w:val="15"/>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Individual life (**)</w:t>
            </w:r>
          </w:p>
        </w:tc>
        <w:tc>
          <w:tcPr>
            <w:tcW w:w="720" w:type="dxa"/>
            <w:vAlign w:val="bottom"/>
          </w:tcPr>
          <w:p>
            <w:pPr>
              <w:jc w:val="right"/>
              <w:spacing w:after="0"/>
              <w:rPr>
                <w:sz w:val="20"/>
                <w:szCs w:val="20"/>
                <w:color w:val="auto"/>
              </w:rPr>
            </w:pPr>
            <w:r>
              <w:rPr>
                <w:rFonts w:ascii="Arial" w:cs="Arial" w:eastAsia="Arial" w:hAnsi="Arial"/>
                <w:sz w:val="16"/>
                <w:szCs w:val="16"/>
                <w:color w:val="auto"/>
              </w:rPr>
              <w:t>119,220</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7.37</w:t>
            </w:r>
          </w:p>
        </w:tc>
        <w:tc>
          <w:tcPr>
            <w:tcW w:w="20" w:type="dxa"/>
            <w:vAlign w:val="bottom"/>
          </w:tcPr>
          <w:p>
            <w:pPr>
              <w:spacing w:after="0"/>
              <w:rPr>
                <w:sz w:val="15"/>
                <w:szCs w:val="15"/>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Group life</w:t>
            </w:r>
          </w:p>
        </w:tc>
        <w:tc>
          <w:tcPr>
            <w:tcW w:w="720" w:type="dxa"/>
            <w:vAlign w:val="bottom"/>
          </w:tcPr>
          <w:p>
            <w:pPr>
              <w:jc w:val="right"/>
              <w:spacing w:after="0"/>
              <w:rPr>
                <w:sz w:val="20"/>
                <w:szCs w:val="20"/>
                <w:color w:val="auto"/>
              </w:rPr>
            </w:pPr>
            <w:r>
              <w:rPr>
                <w:rFonts w:ascii="Arial" w:cs="Arial" w:eastAsia="Arial" w:hAnsi="Arial"/>
                <w:sz w:val="16"/>
                <w:szCs w:val="16"/>
                <w:color w:val="auto"/>
              </w:rPr>
              <w:t>150,777</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9.32</w:t>
            </w:r>
          </w:p>
        </w:tc>
        <w:tc>
          <w:tcPr>
            <w:tcW w:w="20" w:type="dxa"/>
            <w:vAlign w:val="bottom"/>
          </w:tcPr>
          <w:p>
            <w:pPr>
              <w:spacing w:after="0"/>
              <w:rPr>
                <w:sz w:val="15"/>
                <w:szCs w:val="15"/>
                <w:color w:val="auto"/>
              </w:rPr>
            </w:pPr>
          </w:p>
        </w:tc>
      </w:tr>
      <w:tr>
        <w:trPr>
          <w:trHeight w:val="200"/>
        </w:trPr>
        <w:tc>
          <w:tcPr>
            <w:tcW w:w="3680" w:type="dxa"/>
            <w:vAlign w:val="bottom"/>
            <w:gridSpan w:val="3"/>
          </w:tcPr>
          <w:p>
            <w:pPr>
              <w:spacing w:after="0"/>
              <w:rPr>
                <w:sz w:val="20"/>
                <w:szCs w:val="20"/>
                <w:color w:val="auto"/>
              </w:rPr>
            </w:pPr>
            <w:r>
              <w:rPr>
                <w:rFonts w:ascii="Arial" w:cs="Arial" w:eastAsia="Arial" w:hAnsi="Arial"/>
                <w:sz w:val="16"/>
                <w:szCs w:val="16"/>
                <w:color w:val="auto"/>
              </w:rPr>
              <w:t>Annuities</w:t>
            </w:r>
          </w:p>
        </w:tc>
        <w:tc>
          <w:tcPr>
            <w:tcW w:w="720" w:type="dxa"/>
            <w:vAlign w:val="bottom"/>
          </w:tcPr>
          <w:p>
            <w:pPr>
              <w:jc w:val="right"/>
              <w:spacing w:after="0"/>
              <w:rPr>
                <w:sz w:val="20"/>
                <w:szCs w:val="20"/>
                <w:color w:val="auto"/>
              </w:rPr>
            </w:pPr>
            <w:r>
              <w:rPr>
                <w:rFonts w:ascii="Arial" w:cs="Arial" w:eastAsia="Arial" w:hAnsi="Arial"/>
                <w:sz w:val="16"/>
                <w:szCs w:val="16"/>
                <w:color w:val="auto"/>
              </w:rPr>
              <w:t>109,377</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6.76</w:t>
            </w:r>
          </w:p>
        </w:tc>
        <w:tc>
          <w:tcPr>
            <w:tcW w:w="20" w:type="dxa"/>
            <w:vAlign w:val="bottom"/>
          </w:tcPr>
          <w:p>
            <w:pPr>
              <w:spacing w:after="0"/>
              <w:rPr>
                <w:sz w:val="17"/>
                <w:szCs w:val="17"/>
                <w:color w:val="auto"/>
              </w:rPr>
            </w:pPr>
          </w:p>
        </w:tc>
      </w:tr>
      <w:tr>
        <w:trPr>
          <w:trHeight w:val="180"/>
        </w:trPr>
        <w:tc>
          <w:tcPr>
            <w:tcW w:w="31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w w:val="98"/>
              </w:rPr>
              <w:t>1,617,938</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100.00</w:t>
            </w:r>
          </w:p>
        </w:tc>
        <w:tc>
          <w:tcPr>
            <w:tcW w:w="20" w:type="dxa"/>
            <w:vAlign w:val="bottom"/>
            <w:tcBorders>
              <w:bottom w:val="single" w:sz="8" w:color="auto"/>
            </w:tcBorders>
          </w:tcPr>
          <w:p>
            <w:pPr>
              <w:spacing w:after="0"/>
              <w:rPr>
                <w:sz w:val="15"/>
                <w:szCs w:val="15"/>
                <w:color w:val="auto"/>
              </w:rPr>
            </w:pPr>
          </w:p>
        </w:tc>
      </w:tr>
    </w:tbl>
    <w:p>
      <w:pPr>
        <w:spacing w:after="0" w:line="350" w:lineRule="exact"/>
        <w:rPr>
          <w:sz w:val="20"/>
          <w:szCs w:val="20"/>
          <w:color w:val="auto"/>
        </w:rPr>
      </w:pPr>
    </w:p>
    <w:p>
      <w:pPr>
        <w:ind w:left="1180" w:right="3120" w:hanging="9"/>
        <w:spacing w:after="0" w:line="478" w:lineRule="auto"/>
        <w:tabs>
          <w:tab w:leader="none" w:pos="147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This item includes Complementary Work Risk Insurance (“SCTR” from its Spanish acronym). (**) Individual life insurance premiums include Investment Link insurance contracts.</w:t>
      </w:r>
    </w:p>
    <w:p>
      <w:pPr>
        <w:ind w:left="1180" w:right="260" w:hanging="303"/>
        <w:spacing w:after="0" w:line="280" w:lineRule="auto"/>
        <w:tabs>
          <w:tab w:leader="none" w:pos="11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Gross health insurance premiums include medical assistance that amounts to S/519.8 million and represents 86.59 percent in this line of business as of December 31, 2021</w:t>
      </w:r>
    </w:p>
    <w:p>
      <w:pPr>
        <w:spacing w:after="0" w:line="120" w:lineRule="exact"/>
        <w:rPr>
          <w:rFonts w:ascii="Arial" w:cs="Arial" w:eastAsia="Arial" w:hAnsi="Arial"/>
          <w:sz w:val="16"/>
          <w:szCs w:val="16"/>
          <w:color w:val="auto"/>
        </w:rPr>
      </w:pPr>
    </w:p>
    <w:p>
      <w:pPr>
        <w:ind w:left="1180" w:hanging="303"/>
        <w:spacing w:after="0"/>
        <w:tabs>
          <w:tab w:leader="none" w:pos="11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General insurance gross written premiums consist of the following:</w:t>
      </w:r>
    </w:p>
    <w:p>
      <w:pPr>
        <w:spacing w:after="0" w:line="183"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2021</w:t>
      </w:r>
    </w:p>
    <w:p>
      <w:pPr>
        <w:spacing w:after="0" w:line="16" w:lineRule="exact"/>
        <w:rPr>
          <w:sz w:val="20"/>
          <w:szCs w:val="20"/>
          <w:color w:val="auto"/>
        </w:rPr>
      </w:pPr>
    </w:p>
    <w:tbl>
      <w:tblPr>
        <w:tblLayout w:type="fixed"/>
        <w:tblInd w:w="1180" w:type="dxa"/>
        <w:tblCellMar>
          <w:top w:w="0" w:type="dxa"/>
          <w:left w:w="0" w:type="dxa"/>
          <w:bottom w:w="0" w:type="dxa"/>
          <w:right w:w="0" w:type="dxa"/>
        </w:tblCellMar>
      </w:tblPr>
      <w:tr>
        <w:trPr>
          <w:trHeight w:val="159"/>
        </w:trPr>
        <w:tc>
          <w:tcPr>
            <w:tcW w:w="3140" w:type="dxa"/>
            <w:vAlign w:val="bottom"/>
          </w:tcPr>
          <w:p>
            <w:pPr>
              <w:spacing w:after="0"/>
              <w:rPr>
                <w:sz w:val="13"/>
                <w:szCs w:val="13"/>
                <w:color w:val="auto"/>
              </w:rPr>
            </w:pPr>
          </w:p>
        </w:tc>
        <w:tc>
          <w:tcPr>
            <w:tcW w:w="540" w:type="dxa"/>
            <w:vAlign w:val="bottom"/>
            <w:tcBorders>
              <w:top w:val="single" w:sz="8" w:color="auto"/>
            </w:tcBorders>
            <w:gridSpan w:val="2"/>
          </w:tcPr>
          <w:p>
            <w:pPr>
              <w:spacing w:after="0" w:line="159" w:lineRule="exact"/>
              <w:rPr>
                <w:sz w:val="20"/>
                <w:szCs w:val="20"/>
                <w:color w:val="auto"/>
              </w:rPr>
            </w:pPr>
            <w:r>
              <w:rPr>
                <w:rFonts w:ascii="Arial" w:cs="Arial" w:eastAsia="Arial" w:hAnsi="Arial"/>
                <w:sz w:val="16"/>
                <w:szCs w:val="16"/>
                <w:b w:val="1"/>
                <w:bCs w:val="1"/>
                <w:color w:val="auto"/>
                <w:w w:val="99"/>
              </w:rPr>
              <w:t>S/(000)</w:t>
            </w: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899"/>
              <w:spacing w:after="0" w:line="159" w:lineRule="exact"/>
              <w:rPr>
                <w:sz w:val="20"/>
                <w:szCs w:val="20"/>
                <w:color w:val="auto"/>
              </w:rPr>
            </w:pPr>
            <w:r>
              <w:rPr>
                <w:rFonts w:ascii="Arial" w:cs="Arial" w:eastAsia="Arial" w:hAnsi="Arial"/>
                <w:sz w:val="16"/>
                <w:szCs w:val="16"/>
                <w:b w:val="1"/>
                <w:bCs w:val="1"/>
                <w:color w:val="auto"/>
                <w:w w:val="84"/>
              </w:rPr>
              <w:t>%</w:t>
            </w:r>
          </w:p>
        </w:tc>
        <w:tc>
          <w:tcPr>
            <w:tcW w:w="20" w:type="dxa"/>
            <w:vAlign w:val="bottom"/>
          </w:tcPr>
          <w:p>
            <w:pPr>
              <w:spacing w:after="0"/>
              <w:rPr>
                <w:sz w:val="13"/>
                <w:szCs w:val="13"/>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Automobile</w:t>
            </w:r>
          </w:p>
        </w:tc>
        <w:tc>
          <w:tcPr>
            <w:tcW w:w="720" w:type="dxa"/>
            <w:vAlign w:val="bottom"/>
          </w:tcPr>
          <w:p>
            <w:pPr>
              <w:jc w:val="right"/>
              <w:spacing w:after="0"/>
              <w:rPr>
                <w:sz w:val="20"/>
                <w:szCs w:val="20"/>
                <w:color w:val="auto"/>
              </w:rPr>
            </w:pPr>
            <w:r>
              <w:rPr>
                <w:rFonts w:ascii="Arial" w:cs="Arial" w:eastAsia="Arial" w:hAnsi="Arial"/>
                <w:sz w:val="16"/>
                <w:szCs w:val="16"/>
                <w:color w:val="auto"/>
              </w:rPr>
              <w:t>334,939</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29.45</w:t>
            </w:r>
          </w:p>
        </w:tc>
        <w:tc>
          <w:tcPr>
            <w:tcW w:w="20" w:type="dxa"/>
            <w:vAlign w:val="bottom"/>
          </w:tcPr>
          <w:p>
            <w:pPr>
              <w:spacing w:after="0"/>
              <w:rPr>
                <w:sz w:val="15"/>
                <w:szCs w:val="15"/>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Fire and allied lines</w:t>
            </w:r>
          </w:p>
        </w:tc>
        <w:tc>
          <w:tcPr>
            <w:tcW w:w="720" w:type="dxa"/>
            <w:vAlign w:val="bottom"/>
          </w:tcPr>
          <w:p>
            <w:pPr>
              <w:jc w:val="right"/>
              <w:spacing w:after="0"/>
              <w:rPr>
                <w:sz w:val="20"/>
                <w:szCs w:val="20"/>
                <w:color w:val="auto"/>
              </w:rPr>
            </w:pPr>
            <w:r>
              <w:rPr>
                <w:rFonts w:ascii="Arial" w:cs="Arial" w:eastAsia="Arial" w:hAnsi="Arial"/>
                <w:sz w:val="16"/>
                <w:szCs w:val="16"/>
                <w:color w:val="auto"/>
              </w:rPr>
              <w:t>311,048</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27.35</w:t>
            </w:r>
          </w:p>
        </w:tc>
        <w:tc>
          <w:tcPr>
            <w:tcW w:w="20" w:type="dxa"/>
            <w:vAlign w:val="bottom"/>
          </w:tcPr>
          <w:p>
            <w:pPr>
              <w:spacing w:after="0"/>
              <w:rPr>
                <w:sz w:val="15"/>
                <w:szCs w:val="15"/>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Theft and robbery</w:t>
            </w:r>
          </w:p>
        </w:tc>
        <w:tc>
          <w:tcPr>
            <w:tcW w:w="720" w:type="dxa"/>
            <w:vAlign w:val="bottom"/>
          </w:tcPr>
          <w:p>
            <w:pPr>
              <w:jc w:val="right"/>
              <w:spacing w:after="0"/>
              <w:rPr>
                <w:sz w:val="20"/>
                <w:szCs w:val="20"/>
                <w:color w:val="auto"/>
              </w:rPr>
            </w:pPr>
            <w:r>
              <w:rPr>
                <w:rFonts w:ascii="Arial" w:cs="Arial" w:eastAsia="Arial" w:hAnsi="Arial"/>
                <w:sz w:val="16"/>
                <w:szCs w:val="16"/>
                <w:color w:val="auto"/>
              </w:rPr>
              <w:t>110,815</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9.74</w:t>
            </w:r>
          </w:p>
        </w:tc>
        <w:tc>
          <w:tcPr>
            <w:tcW w:w="20" w:type="dxa"/>
            <w:vAlign w:val="bottom"/>
          </w:tcPr>
          <w:p>
            <w:pPr>
              <w:spacing w:after="0"/>
              <w:rPr>
                <w:sz w:val="15"/>
                <w:szCs w:val="15"/>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Third party liability</w:t>
            </w:r>
          </w:p>
        </w:tc>
        <w:tc>
          <w:tcPr>
            <w:tcW w:w="720" w:type="dxa"/>
            <w:vAlign w:val="bottom"/>
          </w:tcPr>
          <w:p>
            <w:pPr>
              <w:jc w:val="right"/>
              <w:spacing w:after="0"/>
              <w:rPr>
                <w:sz w:val="20"/>
                <w:szCs w:val="20"/>
                <w:color w:val="auto"/>
              </w:rPr>
            </w:pPr>
            <w:r>
              <w:rPr>
                <w:rFonts w:ascii="Arial" w:cs="Arial" w:eastAsia="Arial" w:hAnsi="Arial"/>
                <w:sz w:val="16"/>
                <w:szCs w:val="16"/>
                <w:color w:val="auto"/>
              </w:rPr>
              <w:t>109,907</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9.66</w:t>
            </w:r>
          </w:p>
        </w:tc>
        <w:tc>
          <w:tcPr>
            <w:tcW w:w="20" w:type="dxa"/>
            <w:vAlign w:val="bottom"/>
          </w:tcPr>
          <w:p>
            <w:pPr>
              <w:spacing w:after="0"/>
              <w:rPr>
                <w:sz w:val="15"/>
                <w:szCs w:val="15"/>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Transport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58,300</w:t>
            </w:r>
          </w:p>
        </w:tc>
        <w:tc>
          <w:tcPr>
            <w:tcW w:w="1120" w:type="dxa"/>
            <w:vAlign w:val="bottom"/>
          </w:tcPr>
          <w:p>
            <w:pPr>
              <w:jc w:val="right"/>
              <w:spacing w:after="0"/>
              <w:rPr>
                <w:sz w:val="20"/>
                <w:szCs w:val="20"/>
                <w:color w:val="auto"/>
              </w:rPr>
            </w:pPr>
            <w:r>
              <w:rPr>
                <w:rFonts w:ascii="Arial" w:cs="Arial" w:eastAsia="Arial" w:hAnsi="Arial"/>
                <w:sz w:val="16"/>
                <w:szCs w:val="16"/>
                <w:color w:val="auto"/>
              </w:rPr>
              <w:t>5.13</w:t>
            </w:r>
          </w:p>
        </w:tc>
        <w:tc>
          <w:tcPr>
            <w:tcW w:w="20" w:type="dxa"/>
            <w:vAlign w:val="bottom"/>
          </w:tcPr>
          <w:p>
            <w:pPr>
              <w:spacing w:after="0"/>
              <w:rPr>
                <w:sz w:val="15"/>
                <w:szCs w:val="15"/>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Technical lines (*)</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63,792</w:t>
            </w:r>
          </w:p>
        </w:tc>
        <w:tc>
          <w:tcPr>
            <w:tcW w:w="1120" w:type="dxa"/>
            <w:vAlign w:val="bottom"/>
          </w:tcPr>
          <w:p>
            <w:pPr>
              <w:jc w:val="right"/>
              <w:spacing w:after="0"/>
              <w:rPr>
                <w:sz w:val="20"/>
                <w:szCs w:val="20"/>
                <w:color w:val="auto"/>
              </w:rPr>
            </w:pPr>
            <w:r>
              <w:rPr>
                <w:rFonts w:ascii="Arial" w:cs="Arial" w:eastAsia="Arial" w:hAnsi="Arial"/>
                <w:sz w:val="16"/>
                <w:szCs w:val="16"/>
                <w:color w:val="auto"/>
              </w:rPr>
              <w:t>5.61</w:t>
            </w:r>
          </w:p>
        </w:tc>
        <w:tc>
          <w:tcPr>
            <w:tcW w:w="20" w:type="dxa"/>
            <w:vAlign w:val="bottom"/>
          </w:tcPr>
          <w:p>
            <w:pPr>
              <w:spacing w:after="0"/>
              <w:rPr>
                <w:sz w:val="15"/>
                <w:szCs w:val="15"/>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Marine Hull</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29,414</w:t>
            </w:r>
          </w:p>
        </w:tc>
        <w:tc>
          <w:tcPr>
            <w:tcW w:w="1120" w:type="dxa"/>
            <w:vAlign w:val="bottom"/>
          </w:tcPr>
          <w:p>
            <w:pPr>
              <w:jc w:val="right"/>
              <w:spacing w:after="0"/>
              <w:rPr>
                <w:sz w:val="20"/>
                <w:szCs w:val="20"/>
                <w:color w:val="auto"/>
              </w:rPr>
            </w:pPr>
            <w:r>
              <w:rPr>
                <w:rFonts w:ascii="Arial" w:cs="Arial" w:eastAsia="Arial" w:hAnsi="Arial"/>
                <w:sz w:val="16"/>
                <w:szCs w:val="16"/>
                <w:color w:val="auto"/>
              </w:rPr>
              <w:t>2.59</w:t>
            </w:r>
          </w:p>
        </w:tc>
        <w:tc>
          <w:tcPr>
            <w:tcW w:w="20" w:type="dxa"/>
            <w:vAlign w:val="bottom"/>
          </w:tcPr>
          <w:p>
            <w:pPr>
              <w:spacing w:after="0"/>
              <w:rPr>
                <w:sz w:val="15"/>
                <w:szCs w:val="15"/>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SOAT (Mandatory automobile line)</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25,662</w:t>
            </w:r>
          </w:p>
        </w:tc>
        <w:tc>
          <w:tcPr>
            <w:tcW w:w="1120" w:type="dxa"/>
            <w:vAlign w:val="bottom"/>
          </w:tcPr>
          <w:p>
            <w:pPr>
              <w:jc w:val="right"/>
              <w:spacing w:after="0"/>
              <w:rPr>
                <w:sz w:val="20"/>
                <w:szCs w:val="20"/>
                <w:color w:val="auto"/>
              </w:rPr>
            </w:pPr>
            <w:r>
              <w:rPr>
                <w:rFonts w:ascii="Arial" w:cs="Arial" w:eastAsia="Arial" w:hAnsi="Arial"/>
                <w:sz w:val="16"/>
                <w:szCs w:val="16"/>
                <w:color w:val="auto"/>
              </w:rPr>
              <w:t>2.26</w:t>
            </w:r>
          </w:p>
        </w:tc>
        <w:tc>
          <w:tcPr>
            <w:tcW w:w="20" w:type="dxa"/>
            <w:vAlign w:val="bottom"/>
          </w:tcPr>
          <w:p>
            <w:pPr>
              <w:spacing w:after="0"/>
              <w:rPr>
                <w:sz w:val="15"/>
                <w:szCs w:val="15"/>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6"/>
                <w:szCs w:val="16"/>
                <w:color w:val="auto"/>
              </w:rPr>
              <w:t>Aviation</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38,275</w:t>
            </w:r>
          </w:p>
        </w:tc>
        <w:tc>
          <w:tcPr>
            <w:tcW w:w="1120" w:type="dxa"/>
            <w:vAlign w:val="bottom"/>
          </w:tcPr>
          <w:p>
            <w:pPr>
              <w:jc w:val="right"/>
              <w:spacing w:after="0"/>
              <w:rPr>
                <w:sz w:val="20"/>
                <w:szCs w:val="20"/>
                <w:color w:val="auto"/>
              </w:rPr>
            </w:pPr>
            <w:r>
              <w:rPr>
                <w:rFonts w:ascii="Arial" w:cs="Arial" w:eastAsia="Arial" w:hAnsi="Arial"/>
                <w:sz w:val="16"/>
                <w:szCs w:val="16"/>
                <w:color w:val="auto"/>
              </w:rPr>
              <w:t>3.37</w:t>
            </w:r>
          </w:p>
        </w:tc>
        <w:tc>
          <w:tcPr>
            <w:tcW w:w="20" w:type="dxa"/>
            <w:vAlign w:val="bottom"/>
          </w:tcPr>
          <w:p>
            <w:pPr>
              <w:spacing w:after="0"/>
              <w:rPr>
                <w:sz w:val="15"/>
                <w:szCs w:val="15"/>
                <w:color w:val="auto"/>
              </w:rPr>
            </w:pPr>
          </w:p>
        </w:tc>
      </w:tr>
      <w:tr>
        <w:trPr>
          <w:trHeight w:val="200"/>
        </w:trPr>
        <w:tc>
          <w:tcPr>
            <w:tcW w:w="3680" w:type="dxa"/>
            <w:vAlign w:val="bottom"/>
            <w:gridSpan w:val="3"/>
          </w:tcPr>
          <w:p>
            <w:pPr>
              <w:spacing w:after="0"/>
              <w:rPr>
                <w:sz w:val="20"/>
                <w:szCs w:val="20"/>
                <w:color w:val="auto"/>
              </w:rPr>
            </w:pPr>
            <w:r>
              <w:rPr>
                <w:rFonts w:ascii="Arial" w:cs="Arial" w:eastAsia="Arial" w:hAnsi="Arial"/>
                <w:sz w:val="16"/>
                <w:szCs w:val="16"/>
                <w:color w:val="auto"/>
              </w:rPr>
              <w:t>Others</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55,150</w:t>
            </w:r>
          </w:p>
        </w:tc>
        <w:tc>
          <w:tcPr>
            <w:tcW w:w="1120" w:type="dxa"/>
            <w:vAlign w:val="bottom"/>
          </w:tcPr>
          <w:p>
            <w:pPr>
              <w:jc w:val="right"/>
              <w:spacing w:after="0"/>
              <w:rPr>
                <w:sz w:val="20"/>
                <w:szCs w:val="20"/>
                <w:color w:val="auto"/>
              </w:rPr>
            </w:pPr>
            <w:r>
              <w:rPr>
                <w:rFonts w:ascii="Arial" w:cs="Arial" w:eastAsia="Arial" w:hAnsi="Arial"/>
                <w:sz w:val="16"/>
                <w:szCs w:val="16"/>
                <w:color w:val="auto"/>
              </w:rPr>
              <w:t>4.84</w:t>
            </w:r>
          </w:p>
        </w:tc>
        <w:tc>
          <w:tcPr>
            <w:tcW w:w="20" w:type="dxa"/>
            <w:vAlign w:val="bottom"/>
          </w:tcPr>
          <w:p>
            <w:pPr>
              <w:spacing w:after="0"/>
              <w:rPr>
                <w:sz w:val="17"/>
                <w:szCs w:val="17"/>
                <w:color w:val="auto"/>
              </w:rPr>
            </w:pPr>
          </w:p>
        </w:tc>
      </w:tr>
      <w:tr>
        <w:trPr>
          <w:trHeight w:val="180"/>
        </w:trPr>
        <w:tc>
          <w:tcPr>
            <w:tcW w:w="31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w w:val="98"/>
              </w:rPr>
              <w:t>1,137,302</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100.00</w:t>
            </w:r>
          </w:p>
        </w:tc>
        <w:tc>
          <w:tcPr>
            <w:tcW w:w="20" w:type="dxa"/>
            <w:vAlign w:val="bottom"/>
            <w:tcBorders>
              <w:bottom w:val="single" w:sz="8" w:color="auto"/>
            </w:tcBorders>
          </w:tcPr>
          <w:p>
            <w:pPr>
              <w:spacing w:after="0"/>
              <w:rPr>
                <w:sz w:val="15"/>
                <w:szCs w:val="15"/>
                <w:color w:val="auto"/>
              </w:rPr>
            </w:pPr>
          </w:p>
        </w:tc>
      </w:tr>
    </w:tbl>
    <w:p>
      <w:pPr>
        <w:spacing w:after="0" w:line="166" w:lineRule="exact"/>
        <w:rPr>
          <w:sz w:val="20"/>
          <w:szCs w:val="20"/>
          <w:color w:val="auto"/>
        </w:rPr>
      </w:pPr>
    </w:p>
    <w:p>
      <w:pPr>
        <w:ind w:left="1460" w:right="740" w:hanging="289"/>
        <w:spacing w:after="0" w:line="280" w:lineRule="auto"/>
        <w:tabs>
          <w:tab w:leader="none" w:pos="14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Technical lines include Contractor’s All Risk (CAR), Machinery breakdown, All Risk (EAR), Electronic equipment (EE), All Risk Contractor’s Equipment (ARCE).</w:t>
      </w:r>
    </w:p>
    <w:p>
      <w:pPr>
        <w:spacing w:after="0" w:line="120" w:lineRule="exact"/>
        <w:rPr>
          <w:rFonts w:ascii="Arial" w:cs="Arial" w:eastAsia="Arial" w:hAnsi="Arial"/>
          <w:sz w:val="16"/>
          <w:szCs w:val="16"/>
          <w:color w:val="auto"/>
        </w:rPr>
      </w:pPr>
    </w:p>
    <w:p>
      <w:pPr>
        <w:ind w:left="1180" w:hanging="303"/>
        <w:spacing w:after="0"/>
        <w:tabs>
          <w:tab w:leader="none" w:pos="11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“Premiums ceded to reinsurers and coinsurers, net” include: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40" w:type="dxa"/>
            <w:vAlign w:val="bottom"/>
          </w:tcPr>
          <w:p>
            <w:pPr>
              <w:spacing w:after="0"/>
              <w:rPr>
                <w:sz w:val="17"/>
                <w:szCs w:val="17"/>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vMerge w:val="restart"/>
          </w:tcPr>
          <w:p>
            <w:pPr>
              <w:ind w:left="880"/>
              <w:spacing w:after="0"/>
              <w:rPr>
                <w:sz w:val="20"/>
                <w:szCs w:val="20"/>
                <w:color w:val="auto"/>
              </w:rPr>
            </w:pPr>
            <w:r>
              <w:rPr>
                <w:rFonts w:ascii="Arial" w:cs="Arial" w:eastAsia="Arial" w:hAnsi="Arial"/>
                <w:sz w:val="16"/>
                <w:szCs w:val="16"/>
                <w:color w:val="auto"/>
              </w:rPr>
              <w:t>Premiums ceded for automatic contracts (mainly excess of</w:t>
            </w:r>
          </w:p>
        </w:tc>
        <w:tc>
          <w:tcPr>
            <w:tcW w:w="12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2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240" w:type="dxa"/>
            <w:vAlign w:val="bottom"/>
          </w:tcPr>
          <w:p>
            <w:pPr>
              <w:ind w:left="880"/>
              <w:spacing w:after="0"/>
              <w:rPr>
                <w:sz w:val="20"/>
                <w:szCs w:val="20"/>
                <w:color w:val="auto"/>
              </w:rPr>
            </w:pPr>
            <w:r>
              <w:rPr>
                <w:rFonts w:ascii="Arial" w:cs="Arial" w:eastAsia="Arial" w:hAnsi="Arial"/>
                <w:sz w:val="16"/>
                <w:szCs w:val="16"/>
                <w:color w:val="auto"/>
              </w:rPr>
              <w:t>loss)</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(355,356)</w:t>
            </w:r>
          </w:p>
        </w:tc>
        <w:tc>
          <w:tcPr>
            <w:tcW w:w="4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Pr>
          <w:p>
            <w:pPr>
              <w:ind w:left="880"/>
              <w:spacing w:after="0"/>
              <w:rPr>
                <w:sz w:val="20"/>
                <w:szCs w:val="20"/>
                <w:color w:val="auto"/>
              </w:rPr>
            </w:pPr>
            <w:r>
              <w:rPr>
                <w:rFonts w:ascii="Arial" w:cs="Arial" w:eastAsia="Arial" w:hAnsi="Arial"/>
                <w:sz w:val="16"/>
                <w:szCs w:val="16"/>
                <w:color w:val="auto"/>
              </w:rPr>
              <w:t>Premiums ceded for facultative contracts,</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(392,346)</w:t>
            </w:r>
          </w:p>
        </w:tc>
        <w:tc>
          <w:tcPr>
            <w:tcW w:w="4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tcPr>
          <w:p>
            <w:pPr>
              <w:ind w:left="880"/>
              <w:spacing w:after="0"/>
              <w:rPr>
                <w:sz w:val="20"/>
                <w:szCs w:val="20"/>
                <w:color w:val="auto"/>
              </w:rPr>
            </w:pPr>
            <w:r>
              <w:rPr>
                <w:rFonts w:ascii="Arial" w:cs="Arial" w:eastAsia="Arial" w:hAnsi="Arial"/>
                <w:sz w:val="16"/>
                <w:szCs w:val="16"/>
                <w:color w:val="auto"/>
              </w:rPr>
              <w:t>Annual variation of reserve risk in progress of premiums</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880"/>
              <w:spacing w:after="0"/>
              <w:rPr>
                <w:sz w:val="20"/>
                <w:szCs w:val="20"/>
                <w:color w:val="auto"/>
              </w:rPr>
            </w:pPr>
            <w:r>
              <w:rPr>
                <w:rFonts w:ascii="Arial" w:cs="Arial" w:eastAsia="Arial" w:hAnsi="Arial"/>
                <w:sz w:val="16"/>
                <w:szCs w:val="16"/>
                <w:color w:val="auto"/>
              </w:rPr>
              <w:t>ceded</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8,996</w:t>
            </w: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12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(738,706)</w:t>
            </w:r>
          </w:p>
        </w:tc>
        <w:tc>
          <w:tcPr>
            <w:tcW w:w="4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1"/>
        </w:trPr>
        <w:tc>
          <w:tcPr>
            <w:tcW w:w="5240" w:type="dxa"/>
            <w:vAlign w:val="bottom"/>
          </w:tcPr>
          <w:p>
            <w:pPr>
              <w:spacing w:after="0"/>
              <w:rPr>
                <w:sz w:val="24"/>
                <w:szCs w:val="24"/>
                <w:color w:val="auto"/>
              </w:rPr>
            </w:pPr>
          </w:p>
        </w:tc>
        <w:tc>
          <w:tcPr>
            <w:tcW w:w="126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rPr>
              <w:t>126</w:t>
            </w:r>
          </w:p>
        </w:tc>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6" w:right="319" w:bottom="1440" w:gutter="0" w:footer="0" w:header="0"/>
        </w:sectPr>
      </w:pPr>
    </w:p>
    <w:bookmarkStart w:id="129" w:name="page130"/>
    <w:bookmarkEnd w:id="129"/>
    <w:p>
      <w:pPr>
        <w:ind w:left="582"/>
        <w:spacing w:after="0"/>
        <w:tabs>
          <w:tab w:leader="none" w:pos="862" w:val="left"/>
        </w:tabs>
        <w:rPr>
          <w:sz w:val="20"/>
          <w:szCs w:val="20"/>
          <w:color w:val="auto"/>
        </w:rPr>
      </w:pPr>
      <w:r>
        <w:rPr>
          <w:rFonts w:ascii="Arial" w:cs="Arial" w:eastAsia="Arial" w:hAnsi="Arial"/>
          <w:sz w:val="16"/>
          <w:szCs w:val="16"/>
          <w:color w:val="auto"/>
        </w:rPr>
        <w:t>h)</w:t>
        <w:tab/>
        <w:t>Below are the claims incurred by life, general and health insurance contracts as of December 31, 2021 under IFRS 4:</w:t>
      </w:r>
    </w:p>
    <w:p>
      <w:pPr>
        <w:spacing w:after="0" w:line="183" w:lineRule="exact"/>
        <w:rPr>
          <w:sz w:val="20"/>
          <w:szCs w:val="20"/>
          <w:color w:val="auto"/>
        </w:rPr>
      </w:pPr>
    </w:p>
    <w:tbl>
      <w:tblPr>
        <w:tblLayout w:type="fixed"/>
        <w:tblInd w:w="882" w:type="dxa"/>
        <w:tblCellMar>
          <w:top w:w="0" w:type="dxa"/>
          <w:left w:w="0" w:type="dxa"/>
          <w:bottom w:w="0" w:type="dxa"/>
          <w:right w:w="0" w:type="dxa"/>
        </w:tblCellMar>
      </w:tblPr>
      <w:tr>
        <w:trPr>
          <w:trHeight w:val="200"/>
        </w:trPr>
        <w:tc>
          <w:tcPr>
            <w:tcW w:w="4940" w:type="dxa"/>
            <w:vAlign w:val="bottom"/>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9"/>
        </w:trPr>
        <w:tc>
          <w:tcPr>
            <w:tcW w:w="4940" w:type="dxa"/>
            <w:vAlign w:val="bottom"/>
          </w:tcPr>
          <w:p>
            <w:pPr>
              <w:spacing w:after="0"/>
              <w:rPr>
                <w:sz w:val="13"/>
                <w:szCs w:val="13"/>
                <w:color w:val="auto"/>
              </w:rPr>
            </w:pPr>
          </w:p>
        </w:tc>
        <w:tc>
          <w:tcPr>
            <w:tcW w:w="1220" w:type="dxa"/>
            <w:vAlign w:val="bottom"/>
            <w:gridSpan w:val="2"/>
          </w:tcPr>
          <w:p>
            <w:pPr>
              <w:spacing w:after="0" w:line="159" w:lineRule="exact"/>
              <w:rPr>
                <w:sz w:val="20"/>
                <w:szCs w:val="20"/>
                <w:color w:val="auto"/>
              </w:rPr>
            </w:pPr>
            <w:r>
              <w:rPr>
                <w:rFonts w:ascii="Arial" w:cs="Arial" w:eastAsia="Arial" w:hAnsi="Arial"/>
                <w:sz w:val="16"/>
                <w:szCs w:val="16"/>
                <w:b w:val="1"/>
                <w:bCs w:val="1"/>
                <w:color w:val="auto"/>
              </w:rPr>
              <w:t>Life</w:t>
            </w:r>
          </w:p>
        </w:tc>
        <w:tc>
          <w:tcPr>
            <w:tcW w:w="1240" w:type="dxa"/>
            <w:vAlign w:val="bottom"/>
            <w:gridSpan w:val="2"/>
          </w:tcPr>
          <w:p>
            <w:pPr>
              <w:spacing w:after="0" w:line="159" w:lineRule="exact"/>
              <w:rPr>
                <w:sz w:val="20"/>
                <w:szCs w:val="20"/>
                <w:color w:val="auto"/>
              </w:rPr>
            </w:pPr>
            <w:r>
              <w:rPr>
                <w:rFonts w:ascii="Arial" w:cs="Arial" w:eastAsia="Arial" w:hAnsi="Arial"/>
                <w:sz w:val="16"/>
                <w:szCs w:val="16"/>
                <w:b w:val="1"/>
                <w:bCs w:val="1"/>
                <w:color w:val="auto"/>
              </w:rPr>
              <w:t>General</w:t>
            </w:r>
          </w:p>
        </w:tc>
        <w:tc>
          <w:tcPr>
            <w:tcW w:w="1240" w:type="dxa"/>
            <w:vAlign w:val="bottom"/>
            <w:gridSpan w:val="2"/>
          </w:tcPr>
          <w:p>
            <w:pPr>
              <w:spacing w:after="0" w:line="159" w:lineRule="exact"/>
              <w:rPr>
                <w:sz w:val="20"/>
                <w:szCs w:val="20"/>
                <w:color w:val="auto"/>
              </w:rPr>
            </w:pPr>
            <w:r>
              <w:rPr>
                <w:rFonts w:ascii="Arial" w:cs="Arial" w:eastAsia="Arial" w:hAnsi="Arial"/>
                <w:sz w:val="16"/>
                <w:szCs w:val="16"/>
                <w:b w:val="1"/>
                <w:bCs w:val="1"/>
                <w:color w:val="auto"/>
              </w:rPr>
              <w:t>Health</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0"/>
        </w:trPr>
        <w:tc>
          <w:tcPr>
            <w:tcW w:w="494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insurance</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insurance</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insurance</w:t>
            </w: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r>
      <w:tr>
        <w:trPr>
          <w:trHeight w:val="159"/>
        </w:trPr>
        <w:tc>
          <w:tcPr>
            <w:tcW w:w="4940" w:type="dxa"/>
            <w:vAlign w:val="bottom"/>
          </w:tcPr>
          <w:p>
            <w:pPr>
              <w:spacing w:after="0"/>
              <w:rPr>
                <w:sz w:val="13"/>
                <w:szCs w:val="13"/>
                <w:color w:val="auto"/>
              </w:rPr>
            </w:pPr>
          </w:p>
        </w:tc>
        <w:tc>
          <w:tcPr>
            <w:tcW w:w="112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83"/>
        </w:trPr>
        <w:tc>
          <w:tcPr>
            <w:tcW w:w="4940" w:type="dxa"/>
            <w:vAlign w:val="bottom"/>
          </w:tcPr>
          <w:p>
            <w:pPr>
              <w:spacing w:after="0"/>
              <w:rPr>
                <w:sz w:val="20"/>
                <w:szCs w:val="20"/>
                <w:color w:val="auto"/>
              </w:rPr>
            </w:pPr>
            <w:r>
              <w:rPr>
                <w:rFonts w:ascii="Arial" w:cs="Arial" w:eastAsia="Arial" w:hAnsi="Arial"/>
                <w:sz w:val="16"/>
                <w:szCs w:val="16"/>
                <w:color w:val="auto"/>
              </w:rPr>
              <w:t>Gross claims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2,183,789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375,162</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325,307</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2,884,258</w:t>
            </w:r>
          </w:p>
        </w:tc>
      </w:tr>
      <w:tr>
        <w:trPr>
          <w:trHeight w:val="200"/>
        </w:trPr>
        <w:tc>
          <w:tcPr>
            <w:tcW w:w="4940" w:type="dxa"/>
            <w:vAlign w:val="bottom"/>
          </w:tcPr>
          <w:p>
            <w:pPr>
              <w:spacing w:after="0"/>
              <w:rPr>
                <w:sz w:val="20"/>
                <w:szCs w:val="20"/>
                <w:color w:val="auto"/>
              </w:rPr>
            </w:pPr>
            <w:r>
              <w:rPr>
                <w:rFonts w:ascii="Arial" w:cs="Arial" w:eastAsia="Arial" w:hAnsi="Arial"/>
                <w:sz w:val="16"/>
                <w:szCs w:val="16"/>
                <w:color w:val="auto"/>
              </w:rPr>
              <w:t>Ceded claims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(406,494)</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(120,546)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(15,301)</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(542,341)</w:t>
            </w:r>
          </w:p>
        </w:tc>
      </w:tr>
      <w:tr>
        <w:trPr>
          <w:trHeight w:val="180"/>
        </w:trPr>
        <w:tc>
          <w:tcPr>
            <w:tcW w:w="4940" w:type="dxa"/>
            <w:vAlign w:val="bottom"/>
          </w:tcPr>
          <w:p>
            <w:pPr>
              <w:spacing w:after="0" w:line="175" w:lineRule="exact"/>
              <w:rPr>
                <w:sz w:val="20"/>
                <w:szCs w:val="20"/>
                <w:color w:val="auto"/>
              </w:rPr>
            </w:pPr>
            <w:r>
              <w:rPr>
                <w:rFonts w:ascii="Arial" w:cs="Arial" w:eastAsia="Arial" w:hAnsi="Arial"/>
                <w:sz w:val="16"/>
                <w:szCs w:val="16"/>
                <w:b w:val="1"/>
                <w:bCs w:val="1"/>
                <w:color w:val="auto"/>
              </w:rPr>
              <w:t>Net insurance claims</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1,777,295</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254,616</w:t>
            </w:r>
          </w:p>
        </w:tc>
        <w:tc>
          <w:tcPr>
            <w:tcW w:w="1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310,006</w:t>
            </w:r>
          </w:p>
        </w:tc>
        <w:tc>
          <w:tcPr>
            <w:tcW w:w="120" w:type="dxa"/>
            <w:vAlign w:val="bottom"/>
          </w:tcPr>
          <w:p>
            <w:pPr>
              <w:spacing w:after="0"/>
              <w:rPr>
                <w:sz w:val="15"/>
                <w:szCs w:val="15"/>
                <w:color w:val="auto"/>
              </w:rPr>
            </w:pPr>
          </w:p>
        </w:tc>
        <w:tc>
          <w:tcPr>
            <w:tcW w:w="1160" w:type="dxa"/>
            <w:vAlign w:val="bottom"/>
            <w:tcBorders>
              <w:top w:val="single" w:sz="8" w:color="auto"/>
              <w:bottom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2,341,917</w:t>
            </w:r>
          </w:p>
        </w:tc>
      </w:tr>
    </w:tbl>
    <w:p>
      <w:pPr>
        <w:spacing w:after="0" w:line="166" w:lineRule="exact"/>
        <w:rPr>
          <w:sz w:val="20"/>
          <w:szCs w:val="20"/>
          <w:color w:val="auto"/>
        </w:rPr>
      </w:pPr>
    </w:p>
    <w:p>
      <w:pPr>
        <w:ind w:left="582" w:right="7540" w:hanging="582"/>
        <w:spacing w:after="0" w:line="478" w:lineRule="auto"/>
        <w:tabs>
          <w:tab w:leader="none" w:pos="582"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SALARIES AND EMPLOYEES BENEFITS </w:t>
      </w:r>
      <w:r>
        <w:rPr>
          <w:rFonts w:ascii="Arial" w:cs="Arial" w:eastAsia="Arial" w:hAnsi="Arial"/>
          <w:sz w:val="16"/>
          <w:szCs w:val="16"/>
          <w:color w:val="auto"/>
        </w:rPr>
        <w:t>This item consists of the following:</w:t>
      </w:r>
    </w:p>
    <w:tbl>
      <w:tblPr>
        <w:tblLayout w:type="fixed"/>
        <w:tblInd w:w="2" w:type="dxa"/>
        <w:tblCellMar>
          <w:top w:w="0" w:type="dxa"/>
          <w:left w:w="0" w:type="dxa"/>
          <w:bottom w:w="0" w:type="dxa"/>
          <w:right w:w="0" w:type="dxa"/>
        </w:tblCellMar>
      </w:tblPr>
      <w:tr>
        <w:trPr>
          <w:trHeight w:val="183"/>
        </w:trPr>
        <w:tc>
          <w:tcPr>
            <w:tcW w:w="45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0"/>
        </w:trPr>
        <w:tc>
          <w:tcPr>
            <w:tcW w:w="4520" w:type="dxa"/>
            <w:vAlign w:val="bottom"/>
          </w:tcPr>
          <w:p>
            <w:pPr>
              <w:spacing w:after="0"/>
              <w:rPr>
                <w:sz w:val="17"/>
                <w:szCs w:val="17"/>
                <w:color w:val="auto"/>
              </w:rPr>
            </w:pPr>
          </w:p>
        </w:tc>
        <w:tc>
          <w:tcPr>
            <w:tcW w:w="3720" w:type="dxa"/>
            <w:vAlign w:val="bottom"/>
            <w:gridSpan w:val="2"/>
          </w:tcPr>
          <w:p>
            <w:pPr>
              <w:ind w:left="2580"/>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7"/>
                <w:szCs w:val="17"/>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(Restated)</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4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10"/>
        </w:trPr>
        <w:tc>
          <w:tcPr>
            <w:tcW w:w="4520" w:type="dxa"/>
            <w:vAlign w:val="bottom"/>
          </w:tcPr>
          <w:p>
            <w:pPr>
              <w:ind w:left="580"/>
              <w:spacing w:after="0"/>
              <w:rPr>
                <w:sz w:val="20"/>
                <w:szCs w:val="20"/>
                <w:color w:val="auto"/>
              </w:rPr>
            </w:pPr>
            <w:r>
              <w:rPr>
                <w:rFonts w:ascii="Arial" w:cs="Arial" w:eastAsia="Arial" w:hAnsi="Arial"/>
                <w:sz w:val="16"/>
                <w:szCs w:val="16"/>
                <w:color w:val="auto"/>
              </w:rPr>
              <w:t>Salaries</w:t>
            </w:r>
          </w:p>
        </w:tc>
        <w:tc>
          <w:tcPr>
            <w:tcW w:w="3760" w:type="dxa"/>
            <w:vAlign w:val="bottom"/>
            <w:gridSpan w:val="3"/>
          </w:tcPr>
          <w:p>
            <w:pPr>
              <w:jc w:val="right"/>
              <w:ind w:right="40"/>
              <w:spacing w:after="0"/>
              <w:rPr>
                <w:sz w:val="20"/>
                <w:szCs w:val="20"/>
                <w:color w:val="auto"/>
              </w:rPr>
            </w:pPr>
            <w:r>
              <w:rPr>
                <w:rFonts w:ascii="Arial" w:cs="Arial" w:eastAsia="Arial" w:hAnsi="Arial"/>
                <w:sz w:val="16"/>
                <w:szCs w:val="16"/>
                <w:color w:val="auto"/>
              </w:rPr>
              <w:t>2,430,121</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2,176,165</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2,090,835</w:t>
            </w:r>
          </w:p>
        </w:tc>
        <w:tc>
          <w:tcPr>
            <w:tcW w:w="540" w:type="dxa"/>
            <w:vAlign w:val="bottom"/>
          </w:tcPr>
          <w:p>
            <w:pPr>
              <w:spacing w:after="0"/>
              <w:rPr>
                <w:sz w:val="24"/>
                <w:szCs w:val="24"/>
                <w:color w:val="auto"/>
              </w:rPr>
            </w:pPr>
          </w:p>
        </w:tc>
      </w:tr>
      <w:tr>
        <w:trPr>
          <w:trHeight w:val="183"/>
        </w:trPr>
        <w:tc>
          <w:tcPr>
            <w:tcW w:w="4520" w:type="dxa"/>
            <w:vAlign w:val="bottom"/>
          </w:tcPr>
          <w:p>
            <w:pPr>
              <w:ind w:left="580"/>
              <w:spacing w:after="0"/>
              <w:rPr>
                <w:sz w:val="20"/>
                <w:szCs w:val="20"/>
                <w:color w:val="auto"/>
              </w:rPr>
            </w:pPr>
            <w:r>
              <w:rPr>
                <w:rFonts w:ascii="Arial" w:cs="Arial" w:eastAsia="Arial" w:hAnsi="Arial"/>
                <w:sz w:val="16"/>
                <w:szCs w:val="16"/>
                <w:color w:val="auto"/>
              </w:rPr>
              <w:t>Vacations, medical assistance and others</w:t>
            </w:r>
          </w:p>
        </w:tc>
        <w:tc>
          <w:tcPr>
            <w:tcW w:w="3760" w:type="dxa"/>
            <w:vAlign w:val="bottom"/>
            <w:gridSpan w:val="3"/>
          </w:tcPr>
          <w:p>
            <w:pPr>
              <w:jc w:val="right"/>
              <w:ind w:right="40"/>
              <w:spacing w:after="0"/>
              <w:rPr>
                <w:sz w:val="20"/>
                <w:szCs w:val="20"/>
                <w:color w:val="auto"/>
              </w:rPr>
            </w:pPr>
            <w:r>
              <w:rPr>
                <w:rFonts w:ascii="Arial" w:cs="Arial" w:eastAsia="Arial" w:hAnsi="Arial"/>
                <w:sz w:val="16"/>
                <w:szCs w:val="16"/>
                <w:color w:val="auto"/>
              </w:rPr>
              <w:t>433,441</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357,879</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342,435</w:t>
            </w:r>
          </w:p>
        </w:tc>
        <w:tc>
          <w:tcPr>
            <w:tcW w:w="540" w:type="dxa"/>
            <w:vAlign w:val="bottom"/>
          </w:tcPr>
          <w:p>
            <w:pPr>
              <w:spacing w:after="0"/>
              <w:rPr>
                <w:sz w:val="15"/>
                <w:szCs w:val="15"/>
                <w:color w:val="auto"/>
              </w:rPr>
            </w:pPr>
          </w:p>
        </w:tc>
      </w:tr>
      <w:tr>
        <w:trPr>
          <w:trHeight w:val="183"/>
        </w:trPr>
        <w:tc>
          <w:tcPr>
            <w:tcW w:w="4520" w:type="dxa"/>
            <w:vAlign w:val="bottom"/>
          </w:tcPr>
          <w:p>
            <w:pPr>
              <w:ind w:left="580"/>
              <w:spacing w:after="0"/>
              <w:rPr>
                <w:sz w:val="20"/>
                <w:szCs w:val="20"/>
                <w:color w:val="auto"/>
              </w:rPr>
            </w:pPr>
            <w:r>
              <w:rPr>
                <w:rFonts w:ascii="Arial" w:cs="Arial" w:eastAsia="Arial" w:hAnsi="Arial"/>
                <w:sz w:val="16"/>
                <w:szCs w:val="16"/>
                <w:color w:val="auto"/>
              </w:rPr>
              <w:t>Bonuses</w:t>
            </w:r>
          </w:p>
        </w:tc>
        <w:tc>
          <w:tcPr>
            <w:tcW w:w="3760" w:type="dxa"/>
            <w:vAlign w:val="bottom"/>
            <w:gridSpan w:val="3"/>
          </w:tcPr>
          <w:p>
            <w:pPr>
              <w:jc w:val="right"/>
              <w:ind w:right="40"/>
              <w:spacing w:after="0"/>
              <w:rPr>
                <w:sz w:val="20"/>
                <w:szCs w:val="20"/>
                <w:color w:val="auto"/>
              </w:rPr>
            </w:pPr>
            <w:r>
              <w:rPr>
                <w:rFonts w:ascii="Arial" w:cs="Arial" w:eastAsia="Arial" w:hAnsi="Arial"/>
                <w:sz w:val="16"/>
                <w:szCs w:val="16"/>
                <w:color w:val="auto"/>
              </w:rPr>
              <w:t>320,084</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301,097</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280,568</w:t>
            </w:r>
          </w:p>
        </w:tc>
        <w:tc>
          <w:tcPr>
            <w:tcW w:w="540" w:type="dxa"/>
            <w:vAlign w:val="bottom"/>
          </w:tcPr>
          <w:p>
            <w:pPr>
              <w:spacing w:after="0"/>
              <w:rPr>
                <w:sz w:val="15"/>
                <w:szCs w:val="15"/>
                <w:color w:val="auto"/>
              </w:rPr>
            </w:pPr>
          </w:p>
        </w:tc>
      </w:tr>
      <w:tr>
        <w:trPr>
          <w:trHeight w:val="183"/>
        </w:trPr>
        <w:tc>
          <w:tcPr>
            <w:tcW w:w="4520" w:type="dxa"/>
            <w:vAlign w:val="bottom"/>
          </w:tcPr>
          <w:p>
            <w:pPr>
              <w:ind w:left="580"/>
              <w:spacing w:after="0"/>
              <w:rPr>
                <w:sz w:val="20"/>
                <w:szCs w:val="20"/>
                <w:color w:val="auto"/>
              </w:rPr>
            </w:pPr>
            <w:r>
              <w:rPr>
                <w:rFonts w:ascii="Arial" w:cs="Arial" w:eastAsia="Arial" w:hAnsi="Arial"/>
                <w:sz w:val="16"/>
                <w:szCs w:val="16"/>
                <w:color w:val="auto"/>
              </w:rPr>
              <w:t>Workers profit sharing</w:t>
            </w:r>
          </w:p>
        </w:tc>
        <w:tc>
          <w:tcPr>
            <w:tcW w:w="3760" w:type="dxa"/>
            <w:vAlign w:val="bottom"/>
            <w:gridSpan w:val="3"/>
          </w:tcPr>
          <w:p>
            <w:pPr>
              <w:jc w:val="right"/>
              <w:ind w:right="40"/>
              <w:spacing w:after="0"/>
              <w:rPr>
                <w:sz w:val="20"/>
                <w:szCs w:val="20"/>
                <w:color w:val="auto"/>
              </w:rPr>
            </w:pPr>
            <w:r>
              <w:rPr>
                <w:rFonts w:ascii="Arial" w:cs="Arial" w:eastAsia="Arial" w:hAnsi="Arial"/>
                <w:sz w:val="16"/>
                <w:szCs w:val="16"/>
                <w:color w:val="auto"/>
              </w:rPr>
              <w:t>286,895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311,459</w:t>
            </w:r>
          </w:p>
        </w:tc>
        <w:tc>
          <w:tcPr>
            <w:tcW w:w="120" w:type="dxa"/>
            <w:vAlign w:val="bottom"/>
          </w:tcPr>
          <w:p>
            <w:pPr>
              <w:spacing w:after="0"/>
              <w:rPr>
                <w:sz w:val="15"/>
                <w:szCs w:val="15"/>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165,091</w:t>
            </w:r>
          </w:p>
        </w:tc>
        <w:tc>
          <w:tcPr>
            <w:tcW w:w="540" w:type="dxa"/>
            <w:vAlign w:val="bottom"/>
          </w:tcPr>
          <w:p>
            <w:pPr>
              <w:spacing w:after="0"/>
              <w:rPr>
                <w:sz w:val="15"/>
                <w:szCs w:val="15"/>
                <w:color w:val="auto"/>
              </w:rPr>
            </w:pPr>
          </w:p>
        </w:tc>
      </w:tr>
      <w:tr>
        <w:trPr>
          <w:trHeight w:val="183"/>
        </w:trPr>
        <w:tc>
          <w:tcPr>
            <w:tcW w:w="4520" w:type="dxa"/>
            <w:vAlign w:val="bottom"/>
          </w:tcPr>
          <w:p>
            <w:pPr>
              <w:ind w:left="580"/>
              <w:spacing w:after="0"/>
              <w:rPr>
                <w:sz w:val="20"/>
                <w:szCs w:val="20"/>
                <w:color w:val="auto"/>
              </w:rPr>
            </w:pPr>
            <w:r>
              <w:rPr>
                <w:rFonts w:ascii="Arial" w:cs="Arial" w:eastAsia="Arial" w:hAnsi="Arial"/>
                <w:sz w:val="16"/>
                <w:szCs w:val="16"/>
                <w:color w:val="auto"/>
              </w:rPr>
              <w:t>Additional participation</w:t>
            </w:r>
          </w:p>
        </w:tc>
        <w:tc>
          <w:tcPr>
            <w:tcW w:w="3760" w:type="dxa"/>
            <w:vAlign w:val="bottom"/>
            <w:gridSpan w:val="3"/>
          </w:tcPr>
          <w:p>
            <w:pPr>
              <w:jc w:val="right"/>
              <w:ind w:right="40"/>
              <w:spacing w:after="0"/>
              <w:rPr>
                <w:sz w:val="20"/>
                <w:szCs w:val="20"/>
                <w:color w:val="auto"/>
              </w:rPr>
            </w:pPr>
            <w:r>
              <w:rPr>
                <w:rFonts w:ascii="Arial" w:cs="Arial" w:eastAsia="Arial" w:hAnsi="Arial"/>
                <w:sz w:val="16"/>
                <w:szCs w:val="16"/>
                <w:color w:val="auto"/>
              </w:rPr>
              <w:t>276,177</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271,995</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342,065</w:t>
            </w:r>
          </w:p>
        </w:tc>
        <w:tc>
          <w:tcPr>
            <w:tcW w:w="540" w:type="dxa"/>
            <w:vAlign w:val="bottom"/>
          </w:tcPr>
          <w:p>
            <w:pPr>
              <w:spacing w:after="0"/>
              <w:rPr>
                <w:sz w:val="15"/>
                <w:szCs w:val="15"/>
                <w:color w:val="auto"/>
              </w:rPr>
            </w:pPr>
          </w:p>
        </w:tc>
      </w:tr>
      <w:tr>
        <w:trPr>
          <w:trHeight w:val="183"/>
        </w:trPr>
        <w:tc>
          <w:tcPr>
            <w:tcW w:w="4520" w:type="dxa"/>
            <w:vAlign w:val="bottom"/>
          </w:tcPr>
          <w:p>
            <w:pPr>
              <w:ind w:left="580"/>
              <w:spacing w:after="0"/>
              <w:rPr>
                <w:sz w:val="20"/>
                <w:szCs w:val="20"/>
                <w:color w:val="auto"/>
              </w:rPr>
            </w:pPr>
            <w:r>
              <w:rPr>
                <w:rFonts w:ascii="Arial" w:cs="Arial" w:eastAsia="Arial" w:hAnsi="Arial"/>
                <w:sz w:val="16"/>
                <w:szCs w:val="16"/>
                <w:color w:val="auto"/>
              </w:rPr>
              <w:t>Social security</w:t>
            </w:r>
          </w:p>
        </w:tc>
        <w:tc>
          <w:tcPr>
            <w:tcW w:w="3760" w:type="dxa"/>
            <w:vAlign w:val="bottom"/>
            <w:gridSpan w:val="3"/>
          </w:tcPr>
          <w:p>
            <w:pPr>
              <w:jc w:val="right"/>
              <w:ind w:right="40"/>
              <w:spacing w:after="0"/>
              <w:rPr>
                <w:sz w:val="20"/>
                <w:szCs w:val="20"/>
                <w:color w:val="auto"/>
              </w:rPr>
            </w:pPr>
            <w:r>
              <w:rPr>
                <w:rFonts w:ascii="Arial" w:cs="Arial" w:eastAsia="Arial" w:hAnsi="Arial"/>
                <w:sz w:val="16"/>
                <w:szCs w:val="16"/>
                <w:color w:val="auto"/>
              </w:rPr>
              <w:t>254,770</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234,867</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213,640</w:t>
            </w:r>
          </w:p>
        </w:tc>
        <w:tc>
          <w:tcPr>
            <w:tcW w:w="540" w:type="dxa"/>
            <w:vAlign w:val="bottom"/>
          </w:tcPr>
          <w:p>
            <w:pPr>
              <w:spacing w:after="0"/>
              <w:rPr>
                <w:sz w:val="15"/>
                <w:szCs w:val="15"/>
                <w:color w:val="auto"/>
              </w:rPr>
            </w:pPr>
          </w:p>
        </w:tc>
      </w:tr>
      <w:tr>
        <w:trPr>
          <w:trHeight w:val="183"/>
        </w:trPr>
        <w:tc>
          <w:tcPr>
            <w:tcW w:w="4520" w:type="dxa"/>
            <w:vAlign w:val="bottom"/>
          </w:tcPr>
          <w:p>
            <w:pPr>
              <w:ind w:left="580"/>
              <w:spacing w:after="0"/>
              <w:rPr>
                <w:sz w:val="20"/>
                <w:szCs w:val="20"/>
                <w:color w:val="auto"/>
              </w:rPr>
            </w:pPr>
            <w:r>
              <w:rPr>
                <w:rFonts w:ascii="Arial" w:cs="Arial" w:eastAsia="Arial" w:hAnsi="Arial"/>
                <w:sz w:val="16"/>
                <w:szCs w:val="16"/>
                <w:color w:val="auto"/>
              </w:rPr>
              <w:t>Severance indemnities</w:t>
            </w:r>
          </w:p>
        </w:tc>
        <w:tc>
          <w:tcPr>
            <w:tcW w:w="3760" w:type="dxa"/>
            <w:vAlign w:val="bottom"/>
            <w:gridSpan w:val="3"/>
          </w:tcPr>
          <w:p>
            <w:pPr>
              <w:jc w:val="right"/>
              <w:ind w:right="40"/>
              <w:spacing w:after="0"/>
              <w:rPr>
                <w:sz w:val="20"/>
                <w:szCs w:val="20"/>
                <w:color w:val="auto"/>
              </w:rPr>
            </w:pPr>
            <w:r>
              <w:rPr>
                <w:rFonts w:ascii="Arial" w:cs="Arial" w:eastAsia="Arial" w:hAnsi="Arial"/>
                <w:sz w:val="16"/>
                <w:szCs w:val="16"/>
                <w:color w:val="auto"/>
              </w:rPr>
              <w:t>180,637</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167,020</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159,845</w:t>
            </w:r>
          </w:p>
        </w:tc>
        <w:tc>
          <w:tcPr>
            <w:tcW w:w="540" w:type="dxa"/>
            <w:vAlign w:val="bottom"/>
          </w:tcPr>
          <w:p>
            <w:pPr>
              <w:spacing w:after="0"/>
              <w:rPr>
                <w:sz w:val="15"/>
                <w:szCs w:val="15"/>
                <w:color w:val="auto"/>
              </w:rPr>
            </w:pPr>
          </w:p>
        </w:tc>
      </w:tr>
      <w:tr>
        <w:trPr>
          <w:trHeight w:val="200"/>
        </w:trPr>
        <w:tc>
          <w:tcPr>
            <w:tcW w:w="4520" w:type="dxa"/>
            <w:vAlign w:val="bottom"/>
          </w:tcPr>
          <w:p>
            <w:pPr>
              <w:ind w:left="580"/>
              <w:spacing w:after="0"/>
              <w:rPr>
                <w:sz w:val="20"/>
                <w:szCs w:val="20"/>
                <w:color w:val="auto"/>
              </w:rPr>
            </w:pPr>
            <w:r>
              <w:rPr>
                <w:rFonts w:ascii="Arial" w:cs="Arial" w:eastAsia="Arial" w:hAnsi="Arial"/>
                <w:sz w:val="16"/>
                <w:szCs w:val="16"/>
                <w:color w:val="auto"/>
              </w:rPr>
              <w:t>Share-based payment plans</w:t>
            </w:r>
          </w:p>
        </w:tc>
        <w:tc>
          <w:tcPr>
            <w:tcW w:w="3760" w:type="dxa"/>
            <w:vAlign w:val="bottom"/>
            <w:gridSpan w:val="3"/>
          </w:tcPr>
          <w:p>
            <w:pPr>
              <w:jc w:val="right"/>
              <w:ind w:right="40"/>
              <w:spacing w:after="0"/>
              <w:rPr>
                <w:sz w:val="20"/>
                <w:szCs w:val="20"/>
                <w:color w:val="auto"/>
              </w:rPr>
            </w:pPr>
            <w:r>
              <w:rPr>
                <w:rFonts w:ascii="Arial" w:cs="Arial" w:eastAsia="Arial" w:hAnsi="Arial"/>
                <w:sz w:val="16"/>
                <w:szCs w:val="16"/>
                <w:color w:val="auto"/>
              </w:rPr>
              <w:t>83,328</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81,679</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73,997</w:t>
            </w:r>
          </w:p>
        </w:tc>
        <w:tc>
          <w:tcPr>
            <w:tcW w:w="540" w:type="dxa"/>
            <w:vAlign w:val="bottom"/>
          </w:tcPr>
          <w:p>
            <w:pPr>
              <w:spacing w:after="0"/>
              <w:rPr>
                <w:sz w:val="17"/>
                <w:szCs w:val="17"/>
                <w:color w:val="auto"/>
              </w:rPr>
            </w:pPr>
          </w:p>
        </w:tc>
      </w:tr>
      <w:tr>
        <w:trPr>
          <w:trHeight w:val="180"/>
        </w:trPr>
        <w:tc>
          <w:tcPr>
            <w:tcW w:w="4520" w:type="dxa"/>
            <w:vAlign w:val="bottom"/>
          </w:tcPr>
          <w:p>
            <w:pPr>
              <w:ind w:left="580"/>
              <w:spacing w:after="0" w:line="175" w:lineRule="exact"/>
              <w:rPr>
                <w:sz w:val="20"/>
                <w:szCs w:val="20"/>
                <w:color w:val="auto"/>
              </w:rPr>
            </w:pPr>
            <w:r>
              <w:rPr>
                <w:rFonts w:ascii="Arial" w:cs="Arial" w:eastAsia="Arial" w:hAnsi="Arial"/>
                <w:sz w:val="16"/>
                <w:szCs w:val="16"/>
                <w:b w:val="1"/>
                <w:bCs w:val="1"/>
                <w:color w:val="auto"/>
              </w:rPr>
              <w:t>Total</w:t>
            </w:r>
          </w:p>
        </w:tc>
        <w:tc>
          <w:tcPr>
            <w:tcW w:w="2580" w:type="dxa"/>
            <w:vAlign w:val="bottom"/>
          </w:tcPr>
          <w:p>
            <w:pPr>
              <w:spacing w:after="0"/>
              <w:rPr>
                <w:sz w:val="15"/>
                <w:szCs w:val="15"/>
                <w:color w:val="auto"/>
              </w:rPr>
            </w:pPr>
          </w:p>
        </w:tc>
        <w:tc>
          <w:tcPr>
            <w:tcW w:w="11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4,265,453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3,902,161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top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3,668,476</w:t>
            </w:r>
          </w:p>
        </w:tc>
        <w:tc>
          <w:tcPr>
            <w:tcW w:w="540" w:type="dxa"/>
            <w:vAlign w:val="bottom"/>
          </w:tcPr>
          <w:p>
            <w:pPr>
              <w:spacing w:after="0"/>
              <w:rPr>
                <w:sz w:val="15"/>
                <w:szCs w:val="15"/>
                <w:color w:val="auto"/>
              </w:rPr>
            </w:pPr>
          </w:p>
        </w:tc>
      </w:tr>
      <w:tr>
        <w:trPr>
          <w:trHeight w:val="541"/>
        </w:trPr>
        <w:tc>
          <w:tcPr>
            <w:tcW w:w="4520" w:type="dxa"/>
            <w:vAlign w:val="bottom"/>
          </w:tcPr>
          <w:p>
            <w:pPr>
              <w:spacing w:after="0"/>
              <w:rPr>
                <w:sz w:val="24"/>
                <w:szCs w:val="24"/>
                <w:color w:val="auto"/>
              </w:rPr>
            </w:pPr>
          </w:p>
        </w:tc>
        <w:tc>
          <w:tcPr>
            <w:tcW w:w="2580" w:type="dxa"/>
            <w:vAlign w:val="bottom"/>
          </w:tcPr>
          <w:p>
            <w:pPr>
              <w:jc w:val="right"/>
              <w:ind w:right="1279"/>
              <w:spacing w:after="0"/>
              <w:rPr>
                <w:sz w:val="20"/>
                <w:szCs w:val="20"/>
                <w:color w:val="auto"/>
              </w:rPr>
            </w:pPr>
            <w:r>
              <w:rPr>
                <w:rFonts w:ascii="Arial" w:cs="Arial" w:eastAsia="Arial" w:hAnsi="Arial"/>
                <w:sz w:val="16"/>
                <w:szCs w:val="16"/>
                <w:color w:val="auto"/>
              </w:rPr>
              <w:t>127</w:t>
            </w:r>
          </w:p>
        </w:tc>
        <w:tc>
          <w:tcPr>
            <w:tcW w:w="1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8"/>
        </w:trPr>
        <w:tc>
          <w:tcPr>
            <w:tcW w:w="452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bl>
    <w:p>
      <w:pPr>
        <w:sectPr>
          <w:pgSz w:w="11900" w:h="16838" w:orient="portrait"/>
          <w:cols w:equalWidth="0" w:num="1">
            <w:col w:w="11262"/>
          </w:cols>
          <w:pgMar w:left="318" w:top="306" w:right="31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24</w:t>
            </w:r>
          </w:p>
        </w:tc>
        <w:tc>
          <w:tcPr>
            <w:tcW w:w="7640" w:type="dxa"/>
            <w:vAlign w:val="bottom"/>
            <w:gridSpan w:val="3"/>
          </w:tcPr>
          <w:p>
            <w:pPr>
              <w:ind w:left="200"/>
              <w:spacing w:after="0"/>
              <w:rPr>
                <w:sz w:val="20"/>
                <w:szCs w:val="20"/>
                <w:color w:val="auto"/>
              </w:rPr>
            </w:pPr>
            <w:r>
              <w:rPr>
                <w:rFonts w:ascii="Arial" w:cs="Arial" w:eastAsia="Arial" w:hAnsi="Arial"/>
                <w:sz w:val="16"/>
                <w:szCs w:val="16"/>
                <w:b w:val="1"/>
                <w:bCs w:val="1"/>
                <w:color w:val="auto"/>
              </w:rPr>
              <w:t>ADMINISTRATIVE EXPENSES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59"/>
        </w:trPr>
        <w:tc>
          <w:tcPr>
            <w:tcW w:w="380" w:type="dxa"/>
            <w:vAlign w:val="bottom"/>
          </w:tcPr>
          <w:p>
            <w:pPr>
              <w:spacing w:after="0"/>
              <w:rPr>
                <w:sz w:val="24"/>
                <w:szCs w:val="24"/>
                <w:color w:val="auto"/>
              </w:rPr>
            </w:pPr>
          </w:p>
        </w:tc>
        <w:tc>
          <w:tcPr>
            <w:tcW w:w="7640" w:type="dxa"/>
            <w:vAlign w:val="bottom"/>
            <w:gridSpan w:val="3"/>
          </w:tcPr>
          <w:p>
            <w:pPr>
              <w:ind w:left="200"/>
              <w:spacing w:after="0"/>
              <w:rPr>
                <w:sz w:val="20"/>
                <w:szCs w:val="20"/>
                <w:color w:val="auto"/>
              </w:rPr>
            </w:pPr>
            <w:r>
              <w:rPr>
                <w:rFonts w:ascii="Arial" w:cs="Arial" w:eastAsia="Arial" w:hAnsi="Arial"/>
                <w:sz w:val="16"/>
                <w:szCs w:val="16"/>
                <w:color w:val="auto"/>
              </w:rPr>
              <w:t>This item consists of the following:</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4"/>
        </w:trPr>
        <w:tc>
          <w:tcPr>
            <w:tcW w:w="3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0"/>
        </w:trPr>
        <w:tc>
          <w:tcPr>
            <w:tcW w:w="380" w:type="dxa"/>
            <w:vAlign w:val="bottom"/>
          </w:tcPr>
          <w:p>
            <w:pPr>
              <w:spacing w:after="0"/>
              <w:rPr>
                <w:sz w:val="17"/>
                <w:szCs w:val="17"/>
                <w:color w:val="auto"/>
              </w:rPr>
            </w:pPr>
          </w:p>
        </w:tc>
        <w:tc>
          <w:tcPr>
            <w:tcW w:w="7440" w:type="dxa"/>
            <w:vAlign w:val="bottom"/>
            <w:gridSpan w:val="2"/>
          </w:tcPr>
          <w:p>
            <w:pPr>
              <w:ind w:left="638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(Restated)</w:t>
            </w:r>
          </w:p>
        </w:tc>
        <w:tc>
          <w:tcPr>
            <w:tcW w:w="1200" w:type="dxa"/>
            <w:vAlign w:val="bottom"/>
          </w:tcPr>
          <w:p>
            <w:pPr>
              <w:ind w:left="100"/>
              <w:spacing w:after="0"/>
              <w:rPr>
                <w:sz w:val="20"/>
                <w:szCs w:val="20"/>
                <w:color w:val="auto"/>
              </w:rPr>
            </w:pPr>
            <w:r>
              <w:rPr>
                <w:rFonts w:ascii="Arial" w:cs="Arial" w:eastAsia="Arial" w:hAnsi="Arial"/>
                <w:sz w:val="16"/>
                <w:szCs w:val="16"/>
                <w:b w:val="1"/>
                <w:bCs w:val="1"/>
                <w:color w:val="auto"/>
              </w:rPr>
              <w:t>2021</w:t>
            </w:r>
          </w:p>
        </w:tc>
      </w:tr>
      <w:tr>
        <w:trPr>
          <w:trHeight w:val="216"/>
        </w:trPr>
        <w:tc>
          <w:tcPr>
            <w:tcW w:w="38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1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2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ind w:left="640"/>
              <w:spacing w:after="0"/>
              <w:rPr>
                <w:sz w:val="20"/>
                <w:szCs w:val="20"/>
                <w:color w:val="auto"/>
              </w:rPr>
            </w:pPr>
            <w:r>
              <w:rPr>
                <w:rFonts w:ascii="Arial" w:cs="Arial" w:eastAsia="Arial" w:hAnsi="Arial"/>
                <w:sz w:val="16"/>
                <w:szCs w:val="16"/>
                <w:color w:val="auto"/>
              </w:rPr>
              <w:t>IT expenses and systems outsourcing</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1,080,001</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908,339</w:t>
            </w:r>
          </w:p>
        </w:tc>
        <w:tc>
          <w:tcPr>
            <w:tcW w:w="1200" w:type="dxa"/>
            <w:vAlign w:val="bottom"/>
          </w:tcPr>
          <w:p>
            <w:pPr>
              <w:jc w:val="right"/>
              <w:spacing w:after="0"/>
              <w:rPr>
                <w:sz w:val="20"/>
                <w:szCs w:val="20"/>
                <w:color w:val="auto"/>
              </w:rPr>
            </w:pPr>
            <w:r>
              <w:rPr>
                <w:rFonts w:ascii="Arial" w:cs="Arial" w:eastAsia="Arial" w:hAnsi="Arial"/>
                <w:sz w:val="16"/>
                <w:szCs w:val="16"/>
                <w:color w:val="auto"/>
              </w:rPr>
              <w:t>741,429</w:t>
            </w:r>
          </w:p>
        </w:tc>
        <w:tc>
          <w:tcPr>
            <w:tcW w:w="660" w:type="dxa"/>
            <w:vAlign w:val="bottom"/>
          </w:tcPr>
          <w:p>
            <w:pPr>
              <w:spacing w:after="0"/>
              <w:rPr>
                <w:sz w:val="16"/>
                <w:szCs w:val="16"/>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Publicity and loyalty programs</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720,718</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652,587</w:t>
            </w:r>
          </w:p>
        </w:tc>
        <w:tc>
          <w:tcPr>
            <w:tcW w:w="1200" w:type="dxa"/>
            <w:vAlign w:val="bottom"/>
          </w:tcPr>
          <w:p>
            <w:pPr>
              <w:jc w:val="right"/>
              <w:spacing w:after="0"/>
              <w:rPr>
                <w:sz w:val="20"/>
                <w:szCs w:val="20"/>
                <w:color w:val="auto"/>
              </w:rPr>
            </w:pPr>
            <w:r>
              <w:rPr>
                <w:rFonts w:ascii="Arial" w:cs="Arial" w:eastAsia="Arial" w:hAnsi="Arial"/>
                <w:sz w:val="16"/>
                <w:szCs w:val="16"/>
                <w:color w:val="auto"/>
              </w:rPr>
              <w:t>486,885</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Audit, consulting and professional fees</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336,715</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333,325</w:t>
            </w:r>
          </w:p>
        </w:tc>
        <w:tc>
          <w:tcPr>
            <w:tcW w:w="1200" w:type="dxa"/>
            <w:vAlign w:val="bottom"/>
          </w:tcPr>
          <w:p>
            <w:pPr>
              <w:jc w:val="right"/>
              <w:spacing w:after="0"/>
              <w:rPr>
                <w:sz w:val="20"/>
                <w:szCs w:val="20"/>
                <w:color w:val="auto"/>
              </w:rPr>
            </w:pPr>
            <w:r>
              <w:rPr>
                <w:rFonts w:ascii="Arial" w:cs="Arial" w:eastAsia="Arial" w:hAnsi="Arial"/>
                <w:sz w:val="16"/>
                <w:szCs w:val="16"/>
                <w:color w:val="auto"/>
              </w:rPr>
              <w:t>312,978</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Taxes and contributions</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264,326</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280,171</w:t>
            </w:r>
          </w:p>
        </w:tc>
        <w:tc>
          <w:tcPr>
            <w:tcW w:w="1200" w:type="dxa"/>
            <w:vAlign w:val="bottom"/>
          </w:tcPr>
          <w:p>
            <w:pPr>
              <w:jc w:val="right"/>
              <w:spacing w:after="0"/>
              <w:rPr>
                <w:sz w:val="20"/>
                <w:szCs w:val="20"/>
                <w:color w:val="auto"/>
              </w:rPr>
            </w:pPr>
            <w:r>
              <w:rPr>
                <w:rFonts w:ascii="Arial" w:cs="Arial" w:eastAsia="Arial" w:hAnsi="Arial"/>
                <w:sz w:val="16"/>
                <w:szCs w:val="16"/>
                <w:color w:val="auto"/>
              </w:rPr>
              <w:t>289,484</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Transport and communications</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226,860</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225,491</w:t>
            </w:r>
          </w:p>
        </w:tc>
        <w:tc>
          <w:tcPr>
            <w:tcW w:w="1200" w:type="dxa"/>
            <w:vAlign w:val="bottom"/>
          </w:tcPr>
          <w:p>
            <w:pPr>
              <w:jc w:val="right"/>
              <w:spacing w:after="0"/>
              <w:rPr>
                <w:sz w:val="20"/>
                <w:szCs w:val="20"/>
                <w:color w:val="auto"/>
              </w:rPr>
            </w:pPr>
            <w:r>
              <w:rPr>
                <w:rFonts w:ascii="Arial" w:cs="Arial" w:eastAsia="Arial" w:hAnsi="Arial"/>
                <w:sz w:val="16"/>
                <w:szCs w:val="16"/>
                <w:color w:val="auto"/>
              </w:rPr>
              <w:t>208,244</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Repair and maintenance</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157,127</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136,105</w:t>
            </w:r>
          </w:p>
        </w:tc>
        <w:tc>
          <w:tcPr>
            <w:tcW w:w="1200" w:type="dxa"/>
            <w:vAlign w:val="bottom"/>
          </w:tcPr>
          <w:p>
            <w:pPr>
              <w:jc w:val="right"/>
              <w:spacing w:after="0"/>
              <w:rPr>
                <w:sz w:val="20"/>
                <w:szCs w:val="20"/>
                <w:color w:val="auto"/>
              </w:rPr>
            </w:pPr>
            <w:r>
              <w:rPr>
                <w:rFonts w:ascii="Arial" w:cs="Arial" w:eastAsia="Arial" w:hAnsi="Arial"/>
                <w:sz w:val="16"/>
                <w:szCs w:val="16"/>
                <w:color w:val="auto"/>
              </w:rPr>
              <w:t>123,232</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Outsourcing</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144,534</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113,211</w:t>
            </w:r>
          </w:p>
        </w:tc>
        <w:tc>
          <w:tcPr>
            <w:tcW w:w="1200" w:type="dxa"/>
            <w:vAlign w:val="bottom"/>
          </w:tcPr>
          <w:p>
            <w:pPr>
              <w:jc w:val="right"/>
              <w:spacing w:after="0"/>
              <w:rPr>
                <w:sz w:val="20"/>
                <w:szCs w:val="20"/>
                <w:color w:val="auto"/>
              </w:rPr>
            </w:pPr>
            <w:r>
              <w:rPr>
                <w:rFonts w:ascii="Arial" w:cs="Arial" w:eastAsia="Arial" w:hAnsi="Arial"/>
                <w:sz w:val="16"/>
                <w:szCs w:val="16"/>
                <w:color w:val="auto"/>
              </w:rPr>
              <w:t>99,440</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Sundry supplies</w:t>
            </w:r>
          </w:p>
        </w:tc>
        <w:tc>
          <w:tcPr>
            <w:tcW w:w="3040" w:type="dxa"/>
            <w:vAlign w:val="bottom"/>
            <w:gridSpan w:val="2"/>
          </w:tcPr>
          <w:p>
            <w:pPr>
              <w:jc w:val="right"/>
              <w:spacing w:after="0"/>
              <w:rPr>
                <w:sz w:val="20"/>
                <w:szCs w:val="20"/>
                <w:color w:val="auto"/>
              </w:rPr>
            </w:pPr>
            <w:r>
              <w:rPr>
                <w:rFonts w:ascii="Arial" w:cs="Arial" w:eastAsia="Arial" w:hAnsi="Arial"/>
                <w:sz w:val="16"/>
                <w:szCs w:val="16"/>
                <w:color w:val="auto"/>
              </w:rPr>
              <w:t>118,510</w:t>
            </w:r>
          </w:p>
        </w:tc>
        <w:tc>
          <w:tcPr>
            <w:tcW w:w="2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87,844</w:t>
            </w:r>
          </w:p>
        </w:tc>
        <w:tc>
          <w:tcPr>
            <w:tcW w:w="1200" w:type="dxa"/>
            <w:vAlign w:val="bottom"/>
          </w:tcPr>
          <w:p>
            <w:pPr>
              <w:jc w:val="right"/>
              <w:spacing w:after="0"/>
              <w:rPr>
                <w:sz w:val="20"/>
                <w:szCs w:val="20"/>
                <w:color w:val="auto"/>
              </w:rPr>
            </w:pPr>
            <w:r>
              <w:rPr>
                <w:rFonts w:ascii="Arial" w:cs="Arial" w:eastAsia="Arial" w:hAnsi="Arial"/>
                <w:sz w:val="16"/>
                <w:szCs w:val="16"/>
                <w:color w:val="auto"/>
              </w:rPr>
              <w:t>57,093</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Comissions by agents</w:t>
            </w:r>
          </w:p>
        </w:tc>
        <w:tc>
          <w:tcPr>
            <w:tcW w:w="3040" w:type="dxa"/>
            <w:vAlign w:val="bottom"/>
            <w:gridSpan w:val="2"/>
          </w:tcPr>
          <w:p>
            <w:pPr>
              <w:jc w:val="right"/>
              <w:spacing w:after="0"/>
              <w:rPr>
                <w:sz w:val="20"/>
                <w:szCs w:val="20"/>
                <w:color w:val="auto"/>
              </w:rPr>
            </w:pPr>
            <w:r>
              <w:rPr>
                <w:rFonts w:ascii="Arial" w:cs="Arial" w:eastAsia="Arial" w:hAnsi="Arial"/>
                <w:sz w:val="16"/>
                <w:szCs w:val="16"/>
                <w:color w:val="auto"/>
              </w:rPr>
              <w:t>115,120</w:t>
            </w:r>
          </w:p>
        </w:tc>
        <w:tc>
          <w:tcPr>
            <w:tcW w:w="2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106,356</w:t>
            </w:r>
          </w:p>
        </w:tc>
        <w:tc>
          <w:tcPr>
            <w:tcW w:w="1200" w:type="dxa"/>
            <w:vAlign w:val="bottom"/>
          </w:tcPr>
          <w:p>
            <w:pPr>
              <w:jc w:val="right"/>
              <w:spacing w:after="0"/>
              <w:rPr>
                <w:sz w:val="20"/>
                <w:szCs w:val="20"/>
                <w:color w:val="auto"/>
              </w:rPr>
            </w:pPr>
            <w:r>
              <w:rPr>
                <w:rFonts w:ascii="Arial" w:cs="Arial" w:eastAsia="Arial" w:hAnsi="Arial"/>
                <w:sz w:val="16"/>
                <w:szCs w:val="16"/>
                <w:color w:val="auto"/>
              </w:rPr>
              <w:t>104,700</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Short term, low value and variable income lease</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108,357</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91,680</w:t>
            </w:r>
          </w:p>
        </w:tc>
        <w:tc>
          <w:tcPr>
            <w:tcW w:w="1200" w:type="dxa"/>
            <w:vAlign w:val="bottom"/>
          </w:tcPr>
          <w:p>
            <w:pPr>
              <w:jc w:val="right"/>
              <w:spacing w:after="0"/>
              <w:rPr>
                <w:sz w:val="20"/>
                <w:szCs w:val="20"/>
                <w:color w:val="auto"/>
              </w:rPr>
            </w:pPr>
            <w:r>
              <w:rPr>
                <w:rFonts w:ascii="Arial" w:cs="Arial" w:eastAsia="Arial" w:hAnsi="Arial"/>
                <w:sz w:val="16"/>
                <w:szCs w:val="16"/>
                <w:color w:val="auto"/>
              </w:rPr>
              <w:t>86,417</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Security and protection</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64,432</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64,480</w:t>
            </w:r>
          </w:p>
        </w:tc>
        <w:tc>
          <w:tcPr>
            <w:tcW w:w="1200" w:type="dxa"/>
            <w:vAlign w:val="bottom"/>
          </w:tcPr>
          <w:p>
            <w:pPr>
              <w:jc w:val="right"/>
              <w:spacing w:after="0"/>
              <w:rPr>
                <w:sz w:val="20"/>
                <w:szCs w:val="20"/>
                <w:color w:val="auto"/>
              </w:rPr>
            </w:pPr>
            <w:r>
              <w:rPr>
                <w:rFonts w:ascii="Arial" w:cs="Arial" w:eastAsia="Arial" w:hAnsi="Arial"/>
                <w:sz w:val="16"/>
                <w:szCs w:val="16"/>
                <w:color w:val="auto"/>
              </w:rPr>
              <w:t>63,500</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Subscriptions and quotes</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61,945</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55,914</w:t>
            </w:r>
          </w:p>
        </w:tc>
        <w:tc>
          <w:tcPr>
            <w:tcW w:w="1200" w:type="dxa"/>
            <w:vAlign w:val="bottom"/>
          </w:tcPr>
          <w:p>
            <w:pPr>
              <w:jc w:val="right"/>
              <w:spacing w:after="0"/>
              <w:rPr>
                <w:sz w:val="20"/>
                <w:szCs w:val="20"/>
                <w:color w:val="auto"/>
              </w:rPr>
            </w:pPr>
            <w:r>
              <w:rPr>
                <w:rFonts w:ascii="Arial" w:cs="Arial" w:eastAsia="Arial" w:hAnsi="Arial"/>
                <w:sz w:val="16"/>
                <w:szCs w:val="16"/>
                <w:color w:val="auto"/>
              </w:rPr>
              <w:t>55,331</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Electricity and water</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56,359</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50,566</w:t>
            </w:r>
          </w:p>
        </w:tc>
        <w:tc>
          <w:tcPr>
            <w:tcW w:w="1200" w:type="dxa"/>
            <w:vAlign w:val="bottom"/>
          </w:tcPr>
          <w:p>
            <w:pPr>
              <w:jc w:val="right"/>
              <w:spacing w:after="0"/>
              <w:rPr>
                <w:sz w:val="20"/>
                <w:szCs w:val="20"/>
                <w:color w:val="auto"/>
              </w:rPr>
            </w:pPr>
            <w:r>
              <w:rPr>
                <w:rFonts w:ascii="Arial" w:cs="Arial" w:eastAsia="Arial" w:hAnsi="Arial"/>
                <w:sz w:val="16"/>
                <w:szCs w:val="16"/>
                <w:color w:val="auto"/>
              </w:rPr>
              <w:t>48,886</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Insurance</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56,324</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62,994</w:t>
            </w:r>
          </w:p>
        </w:tc>
        <w:tc>
          <w:tcPr>
            <w:tcW w:w="1200" w:type="dxa"/>
            <w:vAlign w:val="bottom"/>
          </w:tcPr>
          <w:p>
            <w:pPr>
              <w:jc w:val="right"/>
              <w:spacing w:after="0"/>
              <w:rPr>
                <w:sz w:val="20"/>
                <w:szCs w:val="20"/>
                <w:color w:val="auto"/>
              </w:rPr>
            </w:pPr>
            <w:r>
              <w:rPr>
                <w:rFonts w:ascii="Arial" w:cs="Arial" w:eastAsia="Arial" w:hAnsi="Arial"/>
                <w:sz w:val="16"/>
                <w:szCs w:val="16"/>
                <w:color w:val="auto"/>
              </w:rPr>
              <w:t>62,142</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Electronic processing</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39,764</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35,896</w:t>
            </w:r>
          </w:p>
        </w:tc>
        <w:tc>
          <w:tcPr>
            <w:tcW w:w="1200" w:type="dxa"/>
            <w:vAlign w:val="bottom"/>
          </w:tcPr>
          <w:p>
            <w:pPr>
              <w:jc w:val="right"/>
              <w:spacing w:after="0"/>
              <w:rPr>
                <w:sz w:val="20"/>
                <w:szCs w:val="20"/>
                <w:color w:val="auto"/>
              </w:rPr>
            </w:pPr>
            <w:r>
              <w:rPr>
                <w:rFonts w:ascii="Arial" w:cs="Arial" w:eastAsia="Arial" w:hAnsi="Arial"/>
                <w:sz w:val="16"/>
                <w:szCs w:val="16"/>
                <w:color w:val="auto"/>
              </w:rPr>
              <w:t>39,528</w:t>
            </w:r>
          </w:p>
        </w:tc>
        <w:tc>
          <w:tcPr>
            <w:tcW w:w="660" w:type="dxa"/>
            <w:vAlign w:val="bottom"/>
          </w:tcPr>
          <w:p>
            <w:pPr>
              <w:spacing w:after="0"/>
              <w:rPr>
                <w:sz w:val="15"/>
                <w:szCs w:val="15"/>
                <w:color w:val="auto"/>
              </w:rPr>
            </w:pPr>
          </w:p>
        </w:tc>
      </w:tr>
      <w:tr>
        <w:trPr>
          <w:trHeight w:val="183"/>
        </w:trPr>
        <w:tc>
          <w:tcPr>
            <w:tcW w:w="4780" w:type="dxa"/>
            <w:vAlign w:val="bottom"/>
          </w:tcPr>
          <w:p>
            <w:pPr>
              <w:ind w:left="640"/>
              <w:spacing w:after="0"/>
              <w:rPr>
                <w:sz w:val="20"/>
                <w:szCs w:val="20"/>
                <w:color w:val="auto"/>
              </w:rPr>
            </w:pPr>
            <w:r>
              <w:rPr>
                <w:rFonts w:ascii="Arial" w:cs="Arial" w:eastAsia="Arial" w:hAnsi="Arial"/>
                <w:sz w:val="16"/>
                <w:szCs w:val="16"/>
                <w:color w:val="auto"/>
              </w:rPr>
              <w:t>Cleaning</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22,677</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20,435</w:t>
            </w:r>
          </w:p>
        </w:tc>
        <w:tc>
          <w:tcPr>
            <w:tcW w:w="1200" w:type="dxa"/>
            <w:vAlign w:val="bottom"/>
          </w:tcPr>
          <w:p>
            <w:pPr>
              <w:jc w:val="right"/>
              <w:spacing w:after="0"/>
              <w:rPr>
                <w:sz w:val="20"/>
                <w:szCs w:val="20"/>
                <w:color w:val="auto"/>
              </w:rPr>
            </w:pPr>
            <w:r>
              <w:rPr>
                <w:rFonts w:ascii="Arial" w:cs="Arial" w:eastAsia="Arial" w:hAnsi="Arial"/>
                <w:sz w:val="16"/>
                <w:szCs w:val="16"/>
                <w:color w:val="auto"/>
              </w:rPr>
              <w:t>20,105</w:t>
            </w:r>
          </w:p>
        </w:tc>
        <w:tc>
          <w:tcPr>
            <w:tcW w:w="660" w:type="dxa"/>
            <w:vAlign w:val="bottom"/>
          </w:tcPr>
          <w:p>
            <w:pPr>
              <w:spacing w:after="0"/>
              <w:rPr>
                <w:sz w:val="15"/>
                <w:szCs w:val="15"/>
                <w:color w:val="auto"/>
              </w:rPr>
            </w:pPr>
          </w:p>
        </w:tc>
      </w:tr>
      <w:tr>
        <w:trPr>
          <w:trHeight w:val="212"/>
        </w:trPr>
        <w:tc>
          <w:tcPr>
            <w:tcW w:w="4780" w:type="dxa"/>
            <w:vAlign w:val="bottom"/>
          </w:tcPr>
          <w:p>
            <w:pPr>
              <w:ind w:left="640"/>
              <w:spacing w:after="0"/>
              <w:rPr>
                <w:sz w:val="20"/>
                <w:szCs w:val="20"/>
                <w:color w:val="auto"/>
              </w:rPr>
            </w:pPr>
            <w:r>
              <w:rPr>
                <w:rFonts w:ascii="Arial" w:cs="Arial" w:eastAsia="Arial" w:hAnsi="Arial"/>
                <w:sz w:val="16"/>
                <w:szCs w:val="16"/>
                <w:color w:val="auto"/>
              </w:rPr>
              <w:t>Others</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229,434</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188,671</w:t>
            </w:r>
          </w:p>
        </w:tc>
        <w:tc>
          <w:tcPr>
            <w:tcW w:w="1200" w:type="dxa"/>
            <w:vAlign w:val="bottom"/>
          </w:tcPr>
          <w:p>
            <w:pPr>
              <w:jc w:val="right"/>
              <w:spacing w:after="0"/>
              <w:rPr>
                <w:sz w:val="20"/>
                <w:szCs w:val="20"/>
                <w:color w:val="auto"/>
              </w:rPr>
            </w:pPr>
            <w:r>
              <w:rPr>
                <w:rFonts w:ascii="Arial" w:cs="Arial" w:eastAsia="Arial" w:hAnsi="Arial"/>
                <w:sz w:val="16"/>
                <w:szCs w:val="16"/>
                <w:color w:val="auto"/>
              </w:rPr>
              <w:t>154,323</w:t>
            </w:r>
          </w:p>
        </w:tc>
        <w:tc>
          <w:tcPr>
            <w:tcW w:w="660" w:type="dxa"/>
            <w:vAlign w:val="bottom"/>
          </w:tcPr>
          <w:p>
            <w:pPr>
              <w:spacing w:after="0"/>
              <w:rPr>
                <w:sz w:val="18"/>
                <w:szCs w:val="18"/>
                <w:color w:val="auto"/>
              </w:rPr>
            </w:pPr>
          </w:p>
        </w:tc>
      </w:tr>
      <w:tr>
        <w:trPr>
          <w:trHeight w:val="180"/>
        </w:trPr>
        <w:tc>
          <w:tcPr>
            <w:tcW w:w="4780" w:type="dxa"/>
            <w:vAlign w:val="bottom"/>
          </w:tcPr>
          <w:p>
            <w:pPr>
              <w:ind w:left="640"/>
              <w:spacing w:after="0" w:line="175" w:lineRule="exact"/>
              <w:rPr>
                <w:sz w:val="20"/>
                <w:szCs w:val="20"/>
                <w:color w:val="auto"/>
              </w:rPr>
            </w:pPr>
            <w:r>
              <w:rPr>
                <w:rFonts w:ascii="Arial" w:cs="Arial" w:eastAsia="Arial" w:hAnsi="Arial"/>
                <w:sz w:val="16"/>
                <w:szCs w:val="16"/>
                <w:b w:val="1"/>
                <w:bCs w:val="1"/>
                <w:color w:val="auto"/>
              </w:rPr>
              <w:t>Total</w:t>
            </w:r>
          </w:p>
        </w:tc>
        <w:tc>
          <w:tcPr>
            <w:tcW w:w="188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3,803,203</w:t>
            </w:r>
          </w:p>
        </w:tc>
        <w:tc>
          <w:tcPr>
            <w:tcW w:w="20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3,414,065</w:t>
            </w:r>
          </w:p>
        </w:tc>
        <w:tc>
          <w:tcPr>
            <w:tcW w:w="20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2,953,717</w:t>
            </w:r>
          </w:p>
        </w:tc>
        <w:tc>
          <w:tcPr>
            <w:tcW w:w="660" w:type="dxa"/>
            <w:vAlign w:val="bottom"/>
          </w:tcPr>
          <w:p>
            <w:pPr>
              <w:spacing w:after="0"/>
              <w:rPr>
                <w:sz w:val="15"/>
                <w:szCs w:val="15"/>
                <w:color w:val="auto"/>
              </w:rPr>
            </w:pPr>
          </w:p>
        </w:tc>
      </w:tr>
      <w:tr>
        <w:trPr>
          <w:trHeight w:val="357"/>
        </w:trPr>
        <w:tc>
          <w:tcPr>
            <w:tcW w:w="4780" w:type="dxa"/>
            <w:vAlign w:val="bottom"/>
          </w:tcPr>
          <w:p>
            <w:pPr>
              <w:spacing w:after="0"/>
              <w:rPr>
                <w:sz w:val="24"/>
                <w:szCs w:val="24"/>
                <w:color w:val="auto"/>
              </w:rPr>
            </w:pPr>
          </w:p>
        </w:tc>
        <w:tc>
          <w:tcPr>
            <w:tcW w:w="1880" w:type="dxa"/>
            <w:vAlign w:val="bottom"/>
          </w:tcPr>
          <w:p>
            <w:pPr>
              <w:jc w:val="right"/>
              <w:ind w:right="839"/>
              <w:spacing w:after="0"/>
              <w:rPr>
                <w:sz w:val="20"/>
                <w:szCs w:val="20"/>
                <w:color w:val="auto"/>
              </w:rPr>
            </w:pPr>
            <w:r>
              <w:rPr>
                <w:rFonts w:ascii="Arial" w:cs="Arial" w:eastAsia="Arial" w:hAnsi="Arial"/>
                <w:sz w:val="16"/>
                <w:szCs w:val="16"/>
                <w:color w:val="auto"/>
              </w:rPr>
              <w:t>128</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8"/>
        </w:trPr>
        <w:tc>
          <w:tcPr>
            <w:tcW w:w="47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25</w:t>
            </w:r>
          </w:p>
        </w:tc>
        <w:tc>
          <w:tcPr>
            <w:tcW w:w="7640" w:type="dxa"/>
            <w:vAlign w:val="bottom"/>
            <w:gridSpan w:val="3"/>
          </w:tcPr>
          <w:p>
            <w:pPr>
              <w:ind w:left="200"/>
              <w:spacing w:after="0"/>
              <w:rPr>
                <w:sz w:val="20"/>
                <w:szCs w:val="20"/>
                <w:color w:val="auto"/>
              </w:rPr>
            </w:pPr>
            <w:r>
              <w:rPr>
                <w:rFonts w:ascii="Arial" w:cs="Arial" w:eastAsia="Arial" w:hAnsi="Arial"/>
                <w:sz w:val="16"/>
                <w:szCs w:val="16"/>
                <w:b w:val="1"/>
                <w:bCs w:val="1"/>
                <w:color w:val="auto"/>
              </w:rPr>
              <w:t>OTHER INCOME AND EXPENSES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59"/>
        </w:trPr>
        <w:tc>
          <w:tcPr>
            <w:tcW w:w="380" w:type="dxa"/>
            <w:vAlign w:val="bottom"/>
          </w:tcPr>
          <w:p>
            <w:pPr>
              <w:spacing w:after="0"/>
              <w:rPr>
                <w:sz w:val="24"/>
                <w:szCs w:val="24"/>
                <w:color w:val="auto"/>
              </w:rPr>
            </w:pPr>
          </w:p>
        </w:tc>
        <w:tc>
          <w:tcPr>
            <w:tcW w:w="7640" w:type="dxa"/>
            <w:vAlign w:val="bottom"/>
            <w:gridSpan w:val="3"/>
          </w:tcPr>
          <w:p>
            <w:pPr>
              <w:ind w:left="200"/>
              <w:spacing w:after="0"/>
              <w:rPr>
                <w:sz w:val="20"/>
                <w:szCs w:val="20"/>
                <w:color w:val="auto"/>
              </w:rPr>
            </w:pPr>
            <w:r>
              <w:rPr>
                <w:rFonts w:ascii="Arial" w:cs="Arial" w:eastAsia="Arial" w:hAnsi="Arial"/>
                <w:sz w:val="16"/>
                <w:szCs w:val="16"/>
                <w:color w:val="auto"/>
              </w:rPr>
              <w:t>This item consists of the following:</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4"/>
        </w:trPr>
        <w:tc>
          <w:tcPr>
            <w:tcW w:w="3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0"/>
        </w:trPr>
        <w:tc>
          <w:tcPr>
            <w:tcW w:w="380" w:type="dxa"/>
            <w:vAlign w:val="bottom"/>
          </w:tcPr>
          <w:p>
            <w:pPr>
              <w:spacing w:after="0"/>
              <w:rPr>
                <w:sz w:val="17"/>
                <w:szCs w:val="17"/>
                <w:color w:val="auto"/>
              </w:rPr>
            </w:pPr>
          </w:p>
        </w:tc>
        <w:tc>
          <w:tcPr>
            <w:tcW w:w="7440" w:type="dxa"/>
            <w:vAlign w:val="bottom"/>
            <w:gridSpan w:val="2"/>
          </w:tcPr>
          <w:p>
            <w:pPr>
              <w:ind w:left="638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(Restated)</w:t>
            </w:r>
          </w:p>
        </w:tc>
        <w:tc>
          <w:tcPr>
            <w:tcW w:w="1200" w:type="dxa"/>
            <w:vAlign w:val="bottom"/>
          </w:tcPr>
          <w:p>
            <w:pPr>
              <w:ind w:left="100"/>
              <w:spacing w:after="0"/>
              <w:rPr>
                <w:sz w:val="20"/>
                <w:szCs w:val="20"/>
                <w:color w:val="auto"/>
              </w:rPr>
            </w:pPr>
            <w:r>
              <w:rPr>
                <w:rFonts w:ascii="Arial" w:cs="Arial" w:eastAsia="Arial" w:hAnsi="Arial"/>
                <w:sz w:val="16"/>
                <w:szCs w:val="16"/>
                <w:b w:val="1"/>
                <w:bCs w:val="1"/>
                <w:color w:val="auto"/>
              </w:rPr>
              <w:t>2021</w:t>
            </w:r>
          </w:p>
        </w:tc>
      </w:tr>
      <w:tr>
        <w:trPr>
          <w:trHeight w:val="175"/>
        </w:trPr>
        <w:tc>
          <w:tcPr>
            <w:tcW w:w="38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160" w:type="dxa"/>
            <w:vAlign w:val="bottom"/>
            <w:tcBorders>
              <w:top w:val="single" w:sz="8" w:color="auto"/>
            </w:tcBorders>
          </w:tcPr>
          <w:p>
            <w:pPr>
              <w:ind w:left="100"/>
              <w:spacing w:after="0" w:line="175"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5"/>
                <w:szCs w:val="15"/>
                <w:color w:val="auto"/>
              </w:rPr>
            </w:pPr>
          </w:p>
        </w:tc>
        <w:tc>
          <w:tcPr>
            <w:tcW w:w="1180" w:type="dxa"/>
            <w:vAlign w:val="bottom"/>
            <w:tcBorders>
              <w:top w:val="single" w:sz="8" w:color="auto"/>
            </w:tcBorders>
          </w:tcPr>
          <w:p>
            <w:pPr>
              <w:ind w:left="100"/>
              <w:spacing w:after="0" w:line="175"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5"/>
                <w:szCs w:val="15"/>
                <w:color w:val="auto"/>
              </w:rPr>
            </w:pPr>
          </w:p>
        </w:tc>
        <w:tc>
          <w:tcPr>
            <w:tcW w:w="1200" w:type="dxa"/>
            <w:vAlign w:val="bottom"/>
            <w:tcBorders>
              <w:top w:val="single" w:sz="8" w:color="auto"/>
            </w:tcBorders>
          </w:tcPr>
          <w:p>
            <w:pPr>
              <w:ind w:left="100"/>
              <w:spacing w:after="0" w:line="175" w:lineRule="exact"/>
              <w:rPr>
                <w:sz w:val="20"/>
                <w:szCs w:val="20"/>
                <w:color w:val="auto"/>
              </w:rPr>
            </w:pPr>
            <w:r>
              <w:rPr>
                <w:rFonts w:ascii="Arial" w:cs="Arial" w:eastAsia="Arial" w:hAnsi="Arial"/>
                <w:sz w:val="16"/>
                <w:szCs w:val="16"/>
                <w:b w:val="1"/>
                <w:bCs w:val="1"/>
                <w:color w:val="auto"/>
              </w:rPr>
              <w:t>S/(000)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40" w:type="dxa"/>
            <w:vAlign w:val="bottom"/>
          </w:tcPr>
          <w:p>
            <w:pPr>
              <w:ind w:left="580"/>
              <w:spacing w:after="0" w:line="168" w:lineRule="exact"/>
              <w:rPr>
                <w:sz w:val="20"/>
                <w:szCs w:val="20"/>
                <w:color w:val="auto"/>
              </w:rPr>
            </w:pPr>
            <w:r>
              <w:rPr>
                <w:rFonts w:ascii="Arial" w:cs="Arial" w:eastAsia="Arial" w:hAnsi="Arial"/>
                <w:sz w:val="16"/>
                <w:szCs w:val="16"/>
                <w:b w:val="1"/>
                <w:bCs w:val="1"/>
                <w:color w:val="auto"/>
              </w:rPr>
              <w:t>Other income</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Net results from sale of loan portfolio</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83,515</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18,712</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15,700</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Rental income</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46,836</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44,257</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35,218</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Income from previous years</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33,969</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66,531</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33,969</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Contract resolution impact</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6,559</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5,352</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16,817</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Recovery of other accounts receivable and other assets</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1,862</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1,299</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3,728</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Net income from the sale of property, furniture and equipment</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1,654</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14,979</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16,083</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Gain from the sale of adjudicated assets</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11,355</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440" w:type="dxa"/>
            <w:vAlign w:val="bottom"/>
          </w:tcPr>
          <w:p>
            <w:pPr>
              <w:ind w:left="580"/>
              <w:spacing w:after="0"/>
              <w:rPr>
                <w:sz w:val="20"/>
                <w:szCs w:val="20"/>
                <w:color w:val="auto"/>
              </w:rPr>
            </w:pPr>
            <w:r>
              <w:rPr>
                <w:rFonts w:ascii="Arial" w:cs="Arial" w:eastAsia="Arial" w:hAnsi="Arial"/>
                <w:sz w:val="16"/>
                <w:szCs w:val="16"/>
                <w:color w:val="auto"/>
              </w:rPr>
              <w:t>Others</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266,258</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105,561</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145,052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b w:val="1"/>
                <w:bCs w:val="1"/>
                <w:color w:val="auto"/>
              </w:rPr>
              <w:t>Total other income</w:t>
            </w:r>
          </w:p>
        </w:tc>
        <w:tc>
          <w:tcPr>
            <w:tcW w:w="1220" w:type="dxa"/>
            <w:vAlign w:val="bottom"/>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440,653</w:t>
            </w:r>
          </w:p>
        </w:tc>
        <w:tc>
          <w:tcPr>
            <w:tcW w:w="200" w:type="dxa"/>
            <w:vAlign w:val="bottom"/>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268,046</w:t>
            </w:r>
          </w:p>
        </w:tc>
        <w:tc>
          <w:tcPr>
            <w:tcW w:w="200" w:type="dxa"/>
            <w:vAlign w:val="bottom"/>
          </w:tcPr>
          <w:p>
            <w:pPr>
              <w:spacing w:after="0"/>
              <w:rPr>
                <w:sz w:val="15"/>
                <w:szCs w:val="15"/>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266,567</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440" w:type="dxa"/>
            <w:vAlign w:val="bottom"/>
          </w:tcPr>
          <w:p>
            <w:pPr>
              <w:spacing w:after="0"/>
              <w:rPr>
                <w:sz w:val="17"/>
                <w:szCs w:val="17"/>
                <w:color w:val="auto"/>
              </w:rPr>
            </w:pPr>
          </w:p>
        </w:tc>
        <w:tc>
          <w:tcPr>
            <w:tcW w:w="2380" w:type="dxa"/>
            <w:vAlign w:val="bottom"/>
            <w:gridSpan w:val="2"/>
          </w:tcPr>
          <w:p>
            <w:pPr>
              <w:ind w:left="132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(Restated)</w:t>
            </w:r>
          </w:p>
        </w:tc>
        <w:tc>
          <w:tcPr>
            <w:tcW w:w="1200" w:type="dxa"/>
            <w:vAlign w:val="bottom"/>
          </w:tcPr>
          <w:p>
            <w:pPr>
              <w:ind w:left="10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Other expenses</w:t>
            </w:r>
          </w:p>
        </w:tc>
        <w:tc>
          <w:tcPr>
            <w:tcW w:w="1220" w:type="dxa"/>
            <w:vAlign w:val="bottom"/>
          </w:tcPr>
          <w:p>
            <w:pPr>
              <w:spacing w:after="0"/>
              <w:rPr>
                <w:sz w:val="18"/>
                <w:szCs w:val="18"/>
                <w:color w:val="auto"/>
              </w:rPr>
            </w:pPr>
          </w:p>
        </w:tc>
        <w:tc>
          <w:tcPr>
            <w:tcW w:w="11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8"/>
                <w:szCs w:val="18"/>
                <w:color w:val="auto"/>
              </w:rPr>
            </w:pPr>
          </w:p>
        </w:tc>
        <w:tc>
          <w:tcPr>
            <w:tcW w:w="12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44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Reduction of intangibles due to withdrawals and dismissed projects</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96,978</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25,140</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17,630</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Provision for sundry risks, see Note 12(j)</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95,873</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43,846</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70,824</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Losses due to operational risk</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66,302</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74,512</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58,956</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Association in participation</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53,097</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40,955</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47,176</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Administrative and tax penalties</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28,882</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1,626</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1,601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Donations</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23,354</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16,362</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9,949</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Expenses on improvements in building for rent</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17,445</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18,962</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23,814</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Provision for other accounts receivable</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11,975</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18,736</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28,324</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color w:val="auto"/>
              </w:rPr>
              <w:t>Operating expenses due to COVID-19</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7,775</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20,177</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50,107</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440" w:type="dxa"/>
            <w:vAlign w:val="bottom"/>
          </w:tcPr>
          <w:p>
            <w:pPr>
              <w:ind w:left="580"/>
              <w:spacing w:after="0"/>
              <w:rPr>
                <w:sz w:val="20"/>
                <w:szCs w:val="20"/>
                <w:color w:val="auto"/>
              </w:rPr>
            </w:pPr>
            <w:r>
              <w:rPr>
                <w:rFonts w:ascii="Arial" w:cs="Arial" w:eastAsia="Arial" w:hAnsi="Arial"/>
                <w:sz w:val="16"/>
                <w:szCs w:val="16"/>
                <w:color w:val="auto"/>
              </w:rPr>
              <w:t>Others</w:t>
            </w:r>
          </w:p>
        </w:tc>
        <w:tc>
          <w:tcPr>
            <w:tcW w:w="2580" w:type="dxa"/>
            <w:vAlign w:val="bottom"/>
            <w:gridSpan w:val="3"/>
          </w:tcPr>
          <w:p>
            <w:pPr>
              <w:jc w:val="right"/>
              <w:ind w:right="200"/>
              <w:spacing w:after="0"/>
              <w:rPr>
                <w:sz w:val="20"/>
                <w:szCs w:val="20"/>
                <w:color w:val="auto"/>
              </w:rPr>
            </w:pPr>
            <w:r>
              <w:rPr>
                <w:rFonts w:ascii="Arial" w:cs="Arial" w:eastAsia="Arial" w:hAnsi="Arial"/>
                <w:sz w:val="16"/>
                <w:szCs w:val="16"/>
                <w:color w:val="auto"/>
              </w:rPr>
              <w:t>132,920</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103,982</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126,733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40" w:type="dxa"/>
            <w:vAlign w:val="bottom"/>
          </w:tcPr>
          <w:p>
            <w:pPr>
              <w:ind w:left="580"/>
              <w:spacing w:after="0"/>
              <w:rPr>
                <w:sz w:val="20"/>
                <w:szCs w:val="20"/>
                <w:color w:val="auto"/>
              </w:rPr>
            </w:pPr>
            <w:r>
              <w:rPr>
                <w:rFonts w:ascii="Arial" w:cs="Arial" w:eastAsia="Arial" w:hAnsi="Arial"/>
                <w:sz w:val="16"/>
                <w:szCs w:val="16"/>
                <w:b w:val="1"/>
                <w:bCs w:val="1"/>
                <w:color w:val="auto"/>
              </w:rPr>
              <w:t>Total other expenses</w:t>
            </w:r>
          </w:p>
        </w:tc>
        <w:tc>
          <w:tcPr>
            <w:tcW w:w="1220" w:type="dxa"/>
            <w:vAlign w:val="bottom"/>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534,601</w:t>
            </w:r>
          </w:p>
        </w:tc>
        <w:tc>
          <w:tcPr>
            <w:tcW w:w="200" w:type="dxa"/>
            <w:vAlign w:val="bottom"/>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364,298</w:t>
            </w:r>
          </w:p>
        </w:tc>
        <w:tc>
          <w:tcPr>
            <w:tcW w:w="200" w:type="dxa"/>
            <w:vAlign w:val="bottom"/>
          </w:tcPr>
          <w:p>
            <w:pPr>
              <w:spacing w:after="0"/>
              <w:rPr>
                <w:sz w:val="15"/>
                <w:szCs w:val="15"/>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435,114</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440" w:type="dxa"/>
            <w:vAlign w:val="bottom"/>
          </w:tcPr>
          <w:p>
            <w:pPr>
              <w:spacing w:after="0"/>
              <w:rPr>
                <w:sz w:val="24"/>
                <w:szCs w:val="24"/>
                <w:color w:val="auto"/>
              </w:rPr>
            </w:pPr>
          </w:p>
        </w:tc>
        <w:tc>
          <w:tcPr>
            <w:tcW w:w="1220" w:type="dxa"/>
            <w:vAlign w:val="bottom"/>
          </w:tcPr>
          <w:p>
            <w:pPr>
              <w:jc w:val="right"/>
              <w:ind w:right="839"/>
              <w:spacing w:after="0"/>
              <w:rPr>
                <w:sz w:val="20"/>
                <w:szCs w:val="20"/>
                <w:color w:val="auto"/>
              </w:rPr>
            </w:pPr>
            <w:r>
              <w:rPr>
                <w:rFonts w:ascii="Arial" w:cs="Arial" w:eastAsia="Arial" w:hAnsi="Arial"/>
                <w:sz w:val="16"/>
                <w:szCs w:val="16"/>
                <w:color w:val="auto"/>
              </w:rPr>
              <w:t>129</w:t>
            </w: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32" w:name="page133"/>
    <w:bookmarkEnd w:id="132"/>
    <w:p>
      <w:pPr>
        <w:ind w:left="582" w:hanging="582"/>
        <w:spacing w:after="0"/>
        <w:tabs>
          <w:tab w:leader="none" w:pos="582"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EARNING PER SHARE</w:t>
      </w:r>
    </w:p>
    <w:p>
      <w:pPr>
        <w:spacing w:after="0" w:line="18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The net earnings per ordinary share were determined based on the net income attributable to equity holders of the Group as follows:</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6660" w:type="dxa"/>
            <w:vAlign w:val="bottom"/>
          </w:tcPr>
          <w:p>
            <w:pPr>
              <w:spacing w:after="0"/>
              <w:rPr>
                <w:sz w:val="17"/>
                <w:szCs w:val="17"/>
                <w:color w:val="auto"/>
              </w:rPr>
            </w:pPr>
          </w:p>
        </w:tc>
        <w:tc>
          <w:tcPr>
            <w:tcW w:w="11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17"/>
                <w:szCs w:val="17"/>
                <w:color w:val="auto"/>
              </w:rPr>
            </w:pPr>
          </w:p>
        </w:tc>
      </w:tr>
      <w:tr>
        <w:trPr>
          <w:trHeight w:val="342"/>
        </w:trPr>
        <w:tc>
          <w:tcPr>
            <w:tcW w:w="6660" w:type="dxa"/>
            <w:vAlign w:val="bottom"/>
          </w:tcPr>
          <w:p>
            <w:pPr>
              <w:ind w:left="580"/>
              <w:spacing w:after="0"/>
              <w:rPr>
                <w:sz w:val="20"/>
                <w:szCs w:val="20"/>
                <w:color w:val="auto"/>
              </w:rPr>
            </w:pPr>
            <w:r>
              <w:rPr>
                <w:rFonts w:ascii="Arial" w:cs="Arial" w:eastAsia="Arial" w:hAnsi="Arial"/>
                <w:sz w:val="16"/>
                <w:szCs w:val="16"/>
                <w:b w:val="1"/>
                <w:bCs w:val="1"/>
                <w:color w:val="auto"/>
              </w:rPr>
              <w:t>Net income attributable to equity holders of Credicorp (in thousands of</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2"/>
        </w:trPr>
        <w:tc>
          <w:tcPr>
            <w:tcW w:w="6660" w:type="dxa"/>
            <w:vAlign w:val="bottom"/>
          </w:tcPr>
          <w:p>
            <w:pPr>
              <w:ind w:left="740"/>
              <w:spacing w:after="0"/>
              <w:rPr>
                <w:sz w:val="20"/>
                <w:szCs w:val="20"/>
                <w:color w:val="auto"/>
              </w:rPr>
            </w:pPr>
            <w:r>
              <w:rPr>
                <w:rFonts w:ascii="Arial" w:cs="Arial" w:eastAsia="Arial" w:hAnsi="Arial"/>
                <w:sz w:val="16"/>
                <w:szCs w:val="16"/>
                <w:b w:val="1"/>
                <w:bCs w:val="1"/>
                <w:color w:val="auto"/>
              </w:rPr>
              <w:t>Soles)</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4,865,540</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4,647,818</w:t>
            </w:r>
          </w:p>
        </w:tc>
        <w:tc>
          <w:tcPr>
            <w:tcW w:w="1200" w:type="dxa"/>
            <w:vAlign w:val="bottom"/>
          </w:tcPr>
          <w:p>
            <w:pPr>
              <w:jc w:val="right"/>
              <w:spacing w:after="0"/>
              <w:rPr>
                <w:sz w:val="20"/>
                <w:szCs w:val="20"/>
                <w:color w:val="auto"/>
              </w:rPr>
            </w:pPr>
            <w:r>
              <w:rPr>
                <w:rFonts w:ascii="Arial" w:cs="Arial" w:eastAsia="Arial" w:hAnsi="Arial"/>
                <w:sz w:val="16"/>
                <w:szCs w:val="16"/>
                <w:color w:val="auto"/>
              </w:rPr>
              <w:t>3,584,582</w:t>
            </w:r>
          </w:p>
        </w:tc>
        <w:tc>
          <w:tcPr>
            <w:tcW w:w="660" w:type="dxa"/>
            <w:vAlign w:val="bottom"/>
          </w:tcPr>
          <w:p>
            <w:pPr>
              <w:spacing w:after="0"/>
              <w:rPr>
                <w:sz w:val="18"/>
                <w:szCs w:val="18"/>
                <w:color w:val="auto"/>
              </w:rPr>
            </w:pPr>
          </w:p>
        </w:tc>
      </w:tr>
      <w:tr>
        <w:trPr>
          <w:trHeight w:val="342"/>
        </w:trPr>
        <w:tc>
          <w:tcPr>
            <w:tcW w:w="6660" w:type="dxa"/>
            <w:vAlign w:val="bottom"/>
          </w:tcPr>
          <w:p>
            <w:pPr>
              <w:ind w:left="580"/>
              <w:spacing w:after="0"/>
              <w:rPr>
                <w:sz w:val="20"/>
                <w:szCs w:val="20"/>
                <w:color w:val="auto"/>
              </w:rPr>
            </w:pPr>
            <w:r>
              <w:rPr>
                <w:rFonts w:ascii="Arial" w:cs="Arial" w:eastAsia="Arial" w:hAnsi="Arial"/>
                <w:sz w:val="16"/>
                <w:szCs w:val="16"/>
                <w:color w:val="auto"/>
              </w:rPr>
              <w:t>Number of stock</w:t>
            </w: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6660" w:type="dxa"/>
            <w:vAlign w:val="bottom"/>
          </w:tcPr>
          <w:p>
            <w:pPr>
              <w:ind w:left="580"/>
              <w:spacing w:after="0"/>
              <w:rPr>
                <w:sz w:val="20"/>
                <w:szCs w:val="20"/>
                <w:color w:val="auto"/>
              </w:rPr>
            </w:pPr>
            <w:r>
              <w:rPr>
                <w:rFonts w:ascii="Arial" w:cs="Arial" w:eastAsia="Arial" w:hAnsi="Arial"/>
                <w:sz w:val="16"/>
                <w:szCs w:val="16"/>
                <w:color w:val="auto"/>
              </w:rPr>
              <w:t>Ordinary stock, note 16(a)</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94,382,317</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94,382,317</w:t>
            </w:r>
          </w:p>
        </w:tc>
        <w:tc>
          <w:tcPr>
            <w:tcW w:w="1200" w:type="dxa"/>
            <w:vAlign w:val="bottom"/>
          </w:tcPr>
          <w:p>
            <w:pPr>
              <w:jc w:val="right"/>
              <w:spacing w:after="0"/>
              <w:rPr>
                <w:sz w:val="20"/>
                <w:szCs w:val="20"/>
                <w:color w:val="auto"/>
              </w:rPr>
            </w:pPr>
            <w:r>
              <w:rPr>
                <w:rFonts w:ascii="Arial" w:cs="Arial" w:eastAsia="Arial" w:hAnsi="Arial"/>
                <w:sz w:val="16"/>
                <w:szCs w:val="16"/>
                <w:color w:val="auto"/>
              </w:rPr>
              <w:t>94,382,317</w:t>
            </w:r>
          </w:p>
        </w:tc>
        <w:tc>
          <w:tcPr>
            <w:tcW w:w="660" w:type="dxa"/>
            <w:vAlign w:val="bottom"/>
          </w:tcPr>
          <w:p>
            <w:pPr>
              <w:spacing w:after="0"/>
              <w:rPr>
                <w:sz w:val="15"/>
                <w:szCs w:val="15"/>
                <w:color w:val="auto"/>
              </w:rPr>
            </w:pPr>
          </w:p>
        </w:tc>
      </w:tr>
      <w:tr>
        <w:trPr>
          <w:trHeight w:val="183"/>
        </w:trPr>
        <w:tc>
          <w:tcPr>
            <w:tcW w:w="6660" w:type="dxa"/>
            <w:vAlign w:val="bottom"/>
          </w:tcPr>
          <w:p>
            <w:pPr>
              <w:ind w:left="580"/>
              <w:spacing w:after="0"/>
              <w:rPr>
                <w:sz w:val="20"/>
                <w:szCs w:val="20"/>
                <w:color w:val="auto"/>
              </w:rPr>
            </w:pPr>
            <w:r>
              <w:rPr>
                <w:rFonts w:ascii="Arial" w:cs="Arial" w:eastAsia="Arial" w:hAnsi="Arial"/>
                <w:sz w:val="16"/>
                <w:szCs w:val="16"/>
                <w:color w:val="auto"/>
              </w:rPr>
              <w:t>Less – opening balance of treasury stock</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(14,849,223)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(14,850,369)</w:t>
            </w:r>
          </w:p>
        </w:tc>
        <w:tc>
          <w:tcPr>
            <w:tcW w:w="1860" w:type="dxa"/>
            <w:vAlign w:val="bottom"/>
            <w:gridSpan w:val="2"/>
          </w:tcPr>
          <w:p>
            <w:pPr>
              <w:jc w:val="right"/>
              <w:ind w:right="620"/>
              <w:spacing w:after="0"/>
              <w:rPr>
                <w:sz w:val="20"/>
                <w:szCs w:val="20"/>
                <w:color w:val="auto"/>
              </w:rPr>
            </w:pPr>
            <w:r>
              <w:rPr>
                <w:rFonts w:ascii="Arial" w:cs="Arial" w:eastAsia="Arial" w:hAnsi="Arial"/>
                <w:sz w:val="16"/>
                <w:szCs w:val="16"/>
                <w:color w:val="auto"/>
              </w:rPr>
              <w:t>(14,914,734)</w:t>
            </w:r>
          </w:p>
        </w:tc>
      </w:tr>
      <w:tr>
        <w:trPr>
          <w:trHeight w:val="212"/>
        </w:trPr>
        <w:tc>
          <w:tcPr>
            <w:tcW w:w="6660" w:type="dxa"/>
            <w:vAlign w:val="bottom"/>
          </w:tcPr>
          <w:p>
            <w:pPr>
              <w:ind w:left="580"/>
              <w:spacing w:after="0"/>
              <w:rPr>
                <w:sz w:val="20"/>
                <w:szCs w:val="20"/>
                <w:color w:val="auto"/>
              </w:rPr>
            </w:pPr>
            <w:r>
              <w:rPr>
                <w:rFonts w:ascii="Arial" w:cs="Arial" w:eastAsia="Arial" w:hAnsi="Arial"/>
                <w:sz w:val="16"/>
                <w:szCs w:val="16"/>
                <w:color w:val="auto"/>
              </w:rPr>
              <w:t>Sale (acquisition) of treasury stock, net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(55,283)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(3,615)</w:t>
            </w:r>
          </w:p>
        </w:tc>
        <w:tc>
          <w:tcPr>
            <w:tcW w:w="1200" w:type="dxa"/>
            <w:vAlign w:val="bottom"/>
          </w:tcPr>
          <w:p>
            <w:pPr>
              <w:jc w:val="right"/>
              <w:spacing w:after="0"/>
              <w:rPr>
                <w:sz w:val="20"/>
                <w:szCs w:val="20"/>
                <w:color w:val="auto"/>
              </w:rPr>
            </w:pPr>
            <w:r>
              <w:rPr>
                <w:rFonts w:ascii="Arial" w:cs="Arial" w:eastAsia="Arial" w:hAnsi="Arial"/>
                <w:sz w:val="16"/>
                <w:szCs w:val="16"/>
                <w:color w:val="auto"/>
              </w:rPr>
              <w:t>26,604</w:t>
            </w:r>
          </w:p>
        </w:tc>
        <w:tc>
          <w:tcPr>
            <w:tcW w:w="660" w:type="dxa"/>
            <w:vAlign w:val="bottom"/>
          </w:tcPr>
          <w:p>
            <w:pPr>
              <w:spacing w:after="0"/>
              <w:rPr>
                <w:sz w:val="18"/>
                <w:szCs w:val="18"/>
                <w:color w:val="auto"/>
              </w:rPr>
            </w:pPr>
          </w:p>
        </w:tc>
      </w:tr>
      <w:tr>
        <w:trPr>
          <w:trHeight w:val="159"/>
        </w:trPr>
        <w:tc>
          <w:tcPr>
            <w:tcW w:w="6660" w:type="dxa"/>
            <w:vAlign w:val="bottom"/>
          </w:tcPr>
          <w:p>
            <w:pPr>
              <w:ind w:left="580"/>
              <w:spacing w:after="0" w:line="159" w:lineRule="exact"/>
              <w:rPr>
                <w:sz w:val="20"/>
                <w:szCs w:val="20"/>
                <w:color w:val="auto"/>
              </w:rPr>
            </w:pPr>
            <w:r>
              <w:rPr>
                <w:rFonts w:ascii="Arial" w:cs="Arial" w:eastAsia="Arial" w:hAnsi="Arial"/>
                <w:sz w:val="16"/>
                <w:szCs w:val="16"/>
                <w:b w:val="1"/>
                <w:bCs w:val="1"/>
                <w:color w:val="auto"/>
              </w:rPr>
              <w:t>Weighted average number of ordinary shares for basic earnings</w:t>
            </w:r>
          </w:p>
        </w:tc>
        <w:tc>
          <w:tcPr>
            <w:tcW w:w="11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79,477,811</w:t>
            </w:r>
          </w:p>
        </w:tc>
        <w:tc>
          <w:tcPr>
            <w:tcW w:w="200" w:type="dxa"/>
            <w:vAlign w:val="bottom"/>
          </w:tcPr>
          <w:p>
            <w:pPr>
              <w:spacing w:after="0"/>
              <w:rPr>
                <w:sz w:val="13"/>
                <w:szCs w:val="13"/>
                <w:color w:val="auto"/>
              </w:rPr>
            </w:pPr>
          </w:p>
        </w:tc>
        <w:tc>
          <w:tcPr>
            <w:tcW w:w="11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79,528,333</w:t>
            </w:r>
          </w:p>
        </w:tc>
        <w:tc>
          <w:tcPr>
            <w:tcW w:w="200" w:type="dxa"/>
            <w:vAlign w:val="bottom"/>
          </w:tcPr>
          <w:p>
            <w:pPr>
              <w:spacing w:after="0"/>
              <w:rPr>
                <w:sz w:val="13"/>
                <w:szCs w:val="13"/>
                <w:color w:val="auto"/>
              </w:rPr>
            </w:pPr>
          </w:p>
        </w:tc>
        <w:tc>
          <w:tcPr>
            <w:tcW w:w="12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6"/>
                <w:szCs w:val="16"/>
                <w:color w:val="auto"/>
              </w:rPr>
              <w:t>79,494,187</w:t>
            </w:r>
          </w:p>
        </w:tc>
        <w:tc>
          <w:tcPr>
            <w:tcW w:w="660" w:type="dxa"/>
            <w:vAlign w:val="bottom"/>
          </w:tcPr>
          <w:p>
            <w:pPr>
              <w:spacing w:after="0"/>
              <w:rPr>
                <w:sz w:val="13"/>
                <w:szCs w:val="13"/>
                <w:color w:val="auto"/>
              </w:rPr>
            </w:pPr>
          </w:p>
        </w:tc>
      </w:tr>
      <w:tr>
        <w:trPr>
          <w:trHeight w:val="212"/>
        </w:trPr>
        <w:tc>
          <w:tcPr>
            <w:tcW w:w="6660" w:type="dxa"/>
            <w:vAlign w:val="bottom"/>
          </w:tcPr>
          <w:p>
            <w:pPr>
              <w:ind w:left="580"/>
              <w:spacing w:after="0"/>
              <w:rPr>
                <w:sz w:val="20"/>
                <w:szCs w:val="20"/>
                <w:color w:val="auto"/>
              </w:rPr>
            </w:pPr>
            <w:r>
              <w:rPr>
                <w:rFonts w:ascii="Arial" w:cs="Arial" w:eastAsia="Arial" w:hAnsi="Arial"/>
                <w:sz w:val="16"/>
                <w:szCs w:val="16"/>
                <w:color w:val="auto"/>
              </w:rPr>
              <w:t>Plus - dilution effect - stock awards</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177,709</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168,462</w:t>
            </w:r>
          </w:p>
        </w:tc>
        <w:tc>
          <w:tcPr>
            <w:tcW w:w="1200" w:type="dxa"/>
            <w:vAlign w:val="bottom"/>
          </w:tcPr>
          <w:p>
            <w:pPr>
              <w:jc w:val="right"/>
              <w:spacing w:after="0"/>
              <w:rPr>
                <w:sz w:val="20"/>
                <w:szCs w:val="20"/>
                <w:color w:val="auto"/>
              </w:rPr>
            </w:pPr>
            <w:r>
              <w:rPr>
                <w:rFonts w:ascii="Arial" w:cs="Arial" w:eastAsia="Arial" w:hAnsi="Arial"/>
                <w:sz w:val="16"/>
                <w:szCs w:val="16"/>
                <w:color w:val="auto"/>
              </w:rPr>
              <w:t>182,208</w:t>
            </w:r>
          </w:p>
        </w:tc>
        <w:tc>
          <w:tcPr>
            <w:tcW w:w="660" w:type="dxa"/>
            <w:vAlign w:val="bottom"/>
          </w:tcPr>
          <w:p>
            <w:pPr>
              <w:spacing w:after="0"/>
              <w:rPr>
                <w:sz w:val="18"/>
                <w:szCs w:val="18"/>
                <w:color w:val="auto"/>
              </w:rPr>
            </w:pPr>
          </w:p>
        </w:tc>
      </w:tr>
      <w:tr>
        <w:trPr>
          <w:trHeight w:val="208"/>
        </w:trPr>
        <w:tc>
          <w:tcPr>
            <w:tcW w:w="6660" w:type="dxa"/>
            <w:vAlign w:val="bottom"/>
          </w:tcPr>
          <w:p>
            <w:pPr>
              <w:ind w:left="580"/>
              <w:spacing w:after="0"/>
              <w:rPr>
                <w:sz w:val="20"/>
                <w:szCs w:val="20"/>
                <w:color w:val="auto"/>
              </w:rPr>
            </w:pPr>
            <w:r>
              <w:rPr>
                <w:rFonts w:ascii="Arial" w:cs="Arial" w:eastAsia="Arial" w:hAnsi="Arial"/>
                <w:sz w:val="16"/>
                <w:szCs w:val="16"/>
                <w:color w:val="auto"/>
              </w:rPr>
              <w:t>Weighted average number of ordinary shares adjusted for the effect of dilution</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79,655,520</w:t>
            </w:r>
          </w:p>
        </w:tc>
        <w:tc>
          <w:tcPr>
            <w:tcW w:w="20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79,696,795</w:t>
            </w:r>
          </w:p>
        </w:tc>
        <w:tc>
          <w:tcPr>
            <w:tcW w:w="2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79,676,395</w:t>
            </w:r>
          </w:p>
        </w:tc>
        <w:tc>
          <w:tcPr>
            <w:tcW w:w="660" w:type="dxa"/>
            <w:vAlign w:val="bottom"/>
          </w:tcPr>
          <w:p>
            <w:pPr>
              <w:spacing w:after="0"/>
              <w:rPr>
                <w:sz w:val="18"/>
                <w:szCs w:val="18"/>
                <w:color w:val="auto"/>
              </w:rPr>
            </w:pPr>
          </w:p>
        </w:tc>
      </w:tr>
      <w:tr>
        <w:trPr>
          <w:trHeight w:val="318"/>
        </w:trPr>
        <w:tc>
          <w:tcPr>
            <w:tcW w:w="6660" w:type="dxa"/>
            <w:vAlign w:val="bottom"/>
          </w:tcPr>
          <w:p>
            <w:pPr>
              <w:ind w:left="580"/>
              <w:spacing w:after="0"/>
              <w:rPr>
                <w:sz w:val="20"/>
                <w:szCs w:val="20"/>
                <w:color w:val="auto"/>
              </w:rPr>
            </w:pPr>
            <w:r>
              <w:rPr>
                <w:rFonts w:ascii="Arial" w:cs="Arial" w:eastAsia="Arial" w:hAnsi="Arial"/>
                <w:sz w:val="16"/>
                <w:szCs w:val="16"/>
                <w:color w:val="auto"/>
              </w:rPr>
              <w:t>Basic earnings per share (in Soles)</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61.22</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58.44</w:t>
            </w:r>
          </w:p>
        </w:tc>
        <w:tc>
          <w:tcPr>
            <w:tcW w:w="1200" w:type="dxa"/>
            <w:vAlign w:val="bottom"/>
          </w:tcPr>
          <w:p>
            <w:pPr>
              <w:jc w:val="right"/>
              <w:spacing w:after="0"/>
              <w:rPr>
                <w:sz w:val="20"/>
                <w:szCs w:val="20"/>
                <w:color w:val="auto"/>
              </w:rPr>
            </w:pPr>
            <w:r>
              <w:rPr>
                <w:rFonts w:ascii="Arial" w:cs="Arial" w:eastAsia="Arial" w:hAnsi="Arial"/>
                <w:sz w:val="16"/>
                <w:szCs w:val="16"/>
                <w:color w:val="auto"/>
              </w:rPr>
              <w:t>45.09</w:t>
            </w:r>
          </w:p>
        </w:tc>
        <w:tc>
          <w:tcPr>
            <w:tcW w:w="660" w:type="dxa"/>
            <w:vAlign w:val="bottom"/>
          </w:tcPr>
          <w:p>
            <w:pPr>
              <w:spacing w:after="0"/>
              <w:rPr>
                <w:sz w:val="24"/>
                <w:szCs w:val="24"/>
                <w:color w:val="auto"/>
              </w:rPr>
            </w:pPr>
          </w:p>
        </w:tc>
      </w:tr>
      <w:tr>
        <w:trPr>
          <w:trHeight w:val="215"/>
        </w:trPr>
        <w:tc>
          <w:tcPr>
            <w:tcW w:w="6660" w:type="dxa"/>
            <w:vAlign w:val="bottom"/>
          </w:tcPr>
          <w:p>
            <w:pPr>
              <w:ind w:left="580"/>
              <w:spacing w:after="0"/>
              <w:rPr>
                <w:sz w:val="20"/>
                <w:szCs w:val="20"/>
                <w:color w:val="auto"/>
              </w:rPr>
            </w:pPr>
            <w:r>
              <w:rPr>
                <w:rFonts w:ascii="Arial" w:cs="Arial" w:eastAsia="Arial" w:hAnsi="Arial"/>
                <w:sz w:val="16"/>
                <w:szCs w:val="16"/>
                <w:color w:val="auto"/>
              </w:rPr>
              <w:t>Diluted earnings per share (in Soles)</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61.08</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58.32</w:t>
            </w:r>
          </w:p>
        </w:tc>
        <w:tc>
          <w:tcPr>
            <w:tcW w:w="1200" w:type="dxa"/>
            <w:vAlign w:val="bottom"/>
          </w:tcPr>
          <w:p>
            <w:pPr>
              <w:jc w:val="right"/>
              <w:spacing w:after="0"/>
              <w:rPr>
                <w:sz w:val="20"/>
                <w:szCs w:val="20"/>
                <w:color w:val="auto"/>
              </w:rPr>
            </w:pPr>
            <w:r>
              <w:rPr>
                <w:rFonts w:ascii="Arial" w:cs="Arial" w:eastAsia="Arial" w:hAnsi="Arial"/>
                <w:sz w:val="16"/>
                <w:szCs w:val="16"/>
                <w:color w:val="auto"/>
              </w:rPr>
              <w:t>44.99</w:t>
            </w:r>
          </w:p>
        </w:tc>
        <w:tc>
          <w:tcPr>
            <w:tcW w:w="660" w:type="dxa"/>
            <w:vAlign w:val="bottom"/>
          </w:tcPr>
          <w:p>
            <w:pPr>
              <w:spacing w:after="0"/>
              <w:rPr>
                <w:sz w:val="18"/>
                <w:szCs w:val="18"/>
                <w:color w:val="auto"/>
              </w:rPr>
            </w:pPr>
          </w:p>
        </w:tc>
      </w:tr>
      <w:tr>
        <w:trPr>
          <w:trHeight w:val="342"/>
        </w:trPr>
        <w:tc>
          <w:tcPr>
            <w:tcW w:w="6660" w:type="dxa"/>
            <w:vAlign w:val="bottom"/>
          </w:tcPr>
          <w:p>
            <w:pPr>
              <w:ind w:left="5460"/>
              <w:spacing w:after="0"/>
              <w:rPr>
                <w:sz w:val="20"/>
                <w:szCs w:val="20"/>
                <w:color w:val="auto"/>
              </w:rPr>
            </w:pPr>
            <w:r>
              <w:rPr>
                <w:rFonts w:ascii="Arial" w:cs="Arial" w:eastAsia="Arial" w:hAnsi="Arial"/>
                <w:sz w:val="16"/>
                <w:szCs w:val="16"/>
                <w:color w:val="auto"/>
              </w:rPr>
              <w:t>130</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8"/>
        </w:trPr>
        <w:tc>
          <w:tcPr>
            <w:tcW w:w="66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bl>
    <w:p>
      <w:pPr>
        <w:sectPr>
          <w:pgSz w:w="11900" w:h="16838" w:orient="portrait"/>
          <w:cols w:equalWidth="0" w:num="1">
            <w:col w:w="11262"/>
          </w:cols>
          <w:pgMar w:left="318" w:top="124" w:right="319" w:bottom="1440" w:gutter="0" w:footer="0" w:header="0"/>
        </w:sectPr>
      </w:pPr>
    </w:p>
    <w:bookmarkStart w:id="133" w:name="page134"/>
    <w:bookmarkEnd w:id="133"/>
    <w:p>
      <w:pPr>
        <w:ind w:left="582" w:hanging="582"/>
        <w:spacing w:after="0"/>
        <w:tabs>
          <w:tab w:leader="none" w:pos="582"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SEGMENTS</w:t>
      </w:r>
    </w:p>
    <w:p>
      <w:pPr>
        <w:spacing w:after="0" w:line="181" w:lineRule="exact"/>
        <w:rPr>
          <w:rFonts w:ascii="Arial" w:cs="Arial" w:eastAsia="Arial" w:hAnsi="Arial"/>
          <w:sz w:val="16"/>
          <w:szCs w:val="16"/>
          <w:b w:val="1"/>
          <w:bCs w:val="1"/>
          <w:color w:val="auto"/>
        </w:rPr>
      </w:pPr>
    </w:p>
    <w:p>
      <w:pPr>
        <w:ind w:left="582" w:right="10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The Credicorp Board of Directors organized the Group’s subsidiaries according to the types of financial services provided and the sectors on which they are focused; with the objective of optimizing the management thereof. Next, we present the Group´s business lines:</w:t>
      </w:r>
    </w:p>
    <w:p>
      <w:pPr>
        <w:spacing w:after="0" w:line="120" w:lineRule="exact"/>
        <w:rPr>
          <w:rFonts w:ascii="Arial" w:cs="Arial" w:eastAsia="Arial" w:hAnsi="Arial"/>
          <w:sz w:val="16"/>
          <w:szCs w:val="16"/>
          <w:b w:val="1"/>
          <w:bCs w:val="1"/>
          <w:color w:val="auto"/>
        </w:rPr>
      </w:pPr>
    </w:p>
    <w:p>
      <w:pPr>
        <w:ind w:left="882" w:hanging="296"/>
        <w:spacing w:after="0"/>
        <w:tabs>
          <w:tab w:leader="none" w:pos="88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Universal Banking -</w:t>
      </w:r>
    </w:p>
    <w:p>
      <w:pPr>
        <w:spacing w:after="0" w:line="182" w:lineRule="exact"/>
        <w:rPr>
          <w:rFonts w:ascii="Arial" w:cs="Arial" w:eastAsia="Arial" w:hAnsi="Arial"/>
          <w:sz w:val="16"/>
          <w:szCs w:val="16"/>
          <w:color w:val="auto"/>
        </w:rPr>
      </w:pPr>
    </w:p>
    <w:p>
      <w:pPr>
        <w:ind w:left="882" w:right="20"/>
        <w:spacing w:after="0" w:line="252" w:lineRule="auto"/>
        <w:rPr>
          <w:rFonts w:ascii="Arial" w:cs="Arial" w:eastAsia="Arial" w:hAnsi="Arial"/>
          <w:sz w:val="16"/>
          <w:szCs w:val="16"/>
          <w:color w:val="auto"/>
        </w:rPr>
      </w:pPr>
      <w:r>
        <w:rPr>
          <w:rFonts w:ascii="Arial" w:cs="Arial" w:eastAsia="Arial" w:hAnsi="Arial"/>
          <w:sz w:val="16"/>
          <w:szCs w:val="16"/>
          <w:color w:val="auto"/>
        </w:rPr>
        <w:t>Includes the operations related to the granting of various credits and financial instruments to individuals and legal entities, from the segments of wholesale and retail banking, such as the obtaining of funds from the public through deposits and current accounts, obtaining of funding by means of initial public offerings and direct indebtedness with other financial institutions. This business line incorporates the results and balances of the Banco de Crédito del Perú (BCP) and Banco de Crédito de Bolivia (BCB).</w:t>
      </w:r>
    </w:p>
    <w:p>
      <w:pPr>
        <w:spacing w:after="0" w:line="143" w:lineRule="exact"/>
        <w:rPr>
          <w:rFonts w:ascii="Arial" w:cs="Arial" w:eastAsia="Arial" w:hAnsi="Arial"/>
          <w:sz w:val="16"/>
          <w:szCs w:val="16"/>
          <w:color w:val="auto"/>
        </w:rPr>
      </w:pPr>
    </w:p>
    <w:p>
      <w:pPr>
        <w:ind w:left="882" w:hanging="296"/>
        <w:spacing w:after="0"/>
        <w:tabs>
          <w:tab w:leader="none" w:pos="88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Insurance and Pensions -</w:t>
      </w:r>
    </w:p>
    <w:p>
      <w:pPr>
        <w:spacing w:after="0" w:line="182" w:lineRule="exact"/>
        <w:rPr>
          <w:rFonts w:ascii="Arial" w:cs="Arial" w:eastAsia="Arial" w:hAnsi="Arial"/>
          <w:sz w:val="16"/>
          <w:szCs w:val="16"/>
          <w:color w:val="auto"/>
        </w:rPr>
      </w:pPr>
    </w:p>
    <w:p>
      <w:pPr>
        <w:ind w:left="1182" w:right="120" w:hanging="303"/>
        <w:spacing w:after="0" w:line="280" w:lineRule="auto"/>
        <w:tabs>
          <w:tab w:leader="none" w:pos="1182"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Insurance: includes, mainly, the issue of insurance policies to cover losses in commercial property, transport, marine vessels, automobiles, life, health and pensions, operations carried out through Pacífico Compañía de Seguros y Reaseguros.</w:t>
      </w:r>
    </w:p>
    <w:p>
      <w:pPr>
        <w:spacing w:after="0" w:line="120" w:lineRule="exact"/>
        <w:rPr>
          <w:rFonts w:ascii="Arial" w:cs="Arial" w:eastAsia="Arial" w:hAnsi="Arial"/>
          <w:sz w:val="16"/>
          <w:szCs w:val="16"/>
          <w:color w:val="auto"/>
        </w:rPr>
      </w:pPr>
    </w:p>
    <w:p>
      <w:pPr>
        <w:ind w:left="1182" w:hanging="303"/>
        <w:spacing w:after="0"/>
        <w:tabs>
          <w:tab w:leader="none" w:pos="1182" w:val="left"/>
        </w:tabs>
        <w:numPr>
          <w:ilvl w:val="2"/>
          <w:numId w:val="145"/>
        </w:numPr>
        <w:rPr>
          <w:rFonts w:ascii="Arial" w:cs="Arial" w:eastAsia="Arial" w:hAnsi="Arial"/>
          <w:sz w:val="16"/>
          <w:szCs w:val="16"/>
          <w:color w:val="auto"/>
        </w:rPr>
      </w:pPr>
      <w:r>
        <w:rPr>
          <w:rFonts w:ascii="Arial" w:cs="Arial" w:eastAsia="Arial" w:hAnsi="Arial"/>
          <w:sz w:val="16"/>
          <w:szCs w:val="16"/>
          <w:color w:val="auto"/>
        </w:rPr>
        <w:t>Pensions: provides Management Service of private pension funds to the affiliates, operation carried out from Prima AFP.</w:t>
      </w:r>
    </w:p>
    <w:p>
      <w:pPr>
        <w:spacing w:after="0" w:line="182" w:lineRule="exact"/>
        <w:rPr>
          <w:rFonts w:ascii="Arial" w:cs="Arial" w:eastAsia="Arial" w:hAnsi="Arial"/>
          <w:sz w:val="16"/>
          <w:szCs w:val="16"/>
          <w:color w:val="auto"/>
        </w:rPr>
      </w:pPr>
    </w:p>
    <w:p>
      <w:pPr>
        <w:ind w:left="882" w:hanging="296"/>
        <w:spacing w:after="0"/>
        <w:tabs>
          <w:tab w:leader="none" w:pos="88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Microfinance -</w:t>
      </w:r>
    </w:p>
    <w:p>
      <w:pPr>
        <w:spacing w:after="0" w:line="182" w:lineRule="exact"/>
        <w:rPr>
          <w:rFonts w:ascii="Arial" w:cs="Arial" w:eastAsia="Arial" w:hAnsi="Arial"/>
          <w:sz w:val="16"/>
          <w:szCs w:val="16"/>
          <w:color w:val="auto"/>
        </w:rPr>
      </w:pPr>
    </w:p>
    <w:p>
      <w:pPr>
        <w:ind w:left="882" w:right="440"/>
        <w:spacing w:after="0" w:line="280" w:lineRule="auto"/>
        <w:rPr>
          <w:rFonts w:ascii="Arial" w:cs="Arial" w:eastAsia="Arial" w:hAnsi="Arial"/>
          <w:sz w:val="16"/>
          <w:szCs w:val="16"/>
          <w:color w:val="auto"/>
        </w:rPr>
      </w:pPr>
      <w:r>
        <w:rPr>
          <w:rFonts w:ascii="Arial" w:cs="Arial" w:eastAsia="Arial" w:hAnsi="Arial"/>
          <w:sz w:val="16"/>
          <w:szCs w:val="16"/>
          <w:color w:val="auto"/>
        </w:rPr>
        <w:t>Includes the management of loans, credits, deposits and current accounts of the small and microenterprises: carried out through Mibanco, Banco de la Microempresa S.A. and Mibanco – Banco de la Microempresa de Colombia S.A.</w:t>
      </w:r>
    </w:p>
    <w:p>
      <w:pPr>
        <w:spacing w:after="0" w:line="120" w:lineRule="exact"/>
        <w:rPr>
          <w:rFonts w:ascii="Arial" w:cs="Arial" w:eastAsia="Arial" w:hAnsi="Arial"/>
          <w:sz w:val="16"/>
          <w:szCs w:val="16"/>
          <w:color w:val="auto"/>
        </w:rPr>
      </w:pPr>
    </w:p>
    <w:p>
      <w:pPr>
        <w:ind w:left="882" w:hanging="296"/>
        <w:spacing w:after="0"/>
        <w:tabs>
          <w:tab w:leader="none" w:pos="88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Investment Banking and Wealth Management -</w:t>
      </w:r>
    </w:p>
    <w:p>
      <w:pPr>
        <w:spacing w:after="0" w:line="183" w:lineRule="exact"/>
        <w:rPr>
          <w:sz w:val="20"/>
          <w:szCs w:val="20"/>
          <w:color w:val="auto"/>
        </w:rPr>
      </w:pPr>
    </w:p>
    <w:p>
      <w:pPr>
        <w:ind w:left="882" w:right="260"/>
        <w:spacing w:after="0" w:line="252" w:lineRule="auto"/>
        <w:rPr>
          <w:sz w:val="20"/>
          <w:szCs w:val="20"/>
          <w:color w:val="auto"/>
        </w:rPr>
      </w:pPr>
      <w:r>
        <w:rPr>
          <w:rFonts w:ascii="Arial" w:cs="Arial" w:eastAsia="Arial" w:hAnsi="Arial"/>
          <w:sz w:val="16"/>
          <w:szCs w:val="16"/>
          <w:color w:val="auto"/>
        </w:rPr>
        <w:t>Brokerage service and investment management services offered to a broad and diverse clientele, which includes corporations, institutional investors, governments and foundations; also, the structuring and placement of issues in the primary market, as well as the execution and negotiation of transactions in the secondary market. Additionally, it structures securitization processes for corporate customers and manages mutual funds.</w:t>
      </w:r>
    </w:p>
    <w:p>
      <w:pPr>
        <w:spacing w:after="0" w:line="144" w:lineRule="exact"/>
        <w:rPr>
          <w:sz w:val="20"/>
          <w:szCs w:val="20"/>
          <w:color w:val="auto"/>
        </w:rPr>
      </w:pPr>
    </w:p>
    <w:p>
      <w:pPr>
        <w:ind w:left="882"/>
        <w:spacing w:after="0"/>
        <w:rPr>
          <w:sz w:val="20"/>
          <w:szCs w:val="20"/>
          <w:color w:val="auto"/>
        </w:rPr>
      </w:pPr>
      <w:r>
        <w:rPr>
          <w:rFonts w:ascii="Arial" w:cs="Arial" w:eastAsia="Arial" w:hAnsi="Arial"/>
          <w:sz w:val="16"/>
          <w:szCs w:val="16"/>
          <w:color w:val="auto"/>
        </w:rPr>
        <w:t>All of these services are provided through Credicorp Capital Ltd. and subsidiaries and ASB Bank Corp.</w:t>
      </w:r>
    </w:p>
    <w:p>
      <w:pPr>
        <w:spacing w:after="0" w:line="18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Management of these business lines is designed to:</w:t>
      </w:r>
    </w:p>
    <w:p>
      <w:pPr>
        <w:spacing w:after="0" w:line="183" w:lineRule="exact"/>
        <w:rPr>
          <w:sz w:val="20"/>
          <w:szCs w:val="20"/>
          <w:color w:val="auto"/>
        </w:rPr>
      </w:pPr>
    </w:p>
    <w:p>
      <w:pPr>
        <w:ind w:left="882" w:hanging="296"/>
        <w:spacing w:after="0"/>
        <w:tabs>
          <w:tab w:leader="none" w:pos="88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Promote the joint action of our businesses in order to take advantage of the synergies which result from the diversification of our portfolio.</w:t>
      </w:r>
    </w:p>
    <w:p>
      <w:pPr>
        <w:spacing w:after="0" w:line="182" w:lineRule="exact"/>
        <w:rPr>
          <w:rFonts w:ascii="Arial" w:cs="Arial" w:eastAsia="Arial" w:hAnsi="Arial"/>
          <w:sz w:val="16"/>
          <w:szCs w:val="16"/>
          <w:color w:val="auto"/>
        </w:rPr>
      </w:pPr>
    </w:p>
    <w:p>
      <w:pPr>
        <w:jc w:val="both"/>
        <w:ind w:left="882" w:hanging="296"/>
        <w:spacing w:after="0" w:line="259" w:lineRule="auto"/>
        <w:tabs>
          <w:tab w:leader="none" w:pos="88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Strengthening our leadership in the financial sector through our growth in new businesses, and the establishment of an investment banking platform available not only to the corporate world, but also to the retail segment, especially to the Small and Medium Enterprise (SME) and Consumer sectors.</w:t>
      </w:r>
    </w:p>
    <w:p>
      <w:pPr>
        <w:spacing w:after="0" w:line="137" w:lineRule="exact"/>
        <w:rPr>
          <w:rFonts w:ascii="Arial" w:cs="Arial" w:eastAsia="Arial" w:hAnsi="Arial"/>
          <w:sz w:val="16"/>
          <w:szCs w:val="16"/>
          <w:color w:val="auto"/>
        </w:rPr>
      </w:pPr>
    </w:p>
    <w:p>
      <w:pPr>
        <w:ind w:left="882" w:hanging="296"/>
        <w:spacing w:after="0"/>
        <w:tabs>
          <w:tab w:leader="none" w:pos="88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Improve the ongoing search to adapt our business models, processes and procedures into line with best practices worldwide.</w:t>
      </w:r>
    </w:p>
    <w:p>
      <w:pPr>
        <w:spacing w:after="0" w:line="158"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124" w:right="339" w:bottom="1440" w:gutter="0" w:footer="0" w:header="0"/>
        </w:sectPr>
      </w:pPr>
    </w:p>
    <w:bookmarkStart w:id="134" w:name="page135"/>
    <w:bookmarkEnd w:id="134"/>
    <w:p>
      <w:pPr>
        <w:spacing w:after="0" w:line="249" w:lineRule="auto"/>
        <w:rPr>
          <w:sz w:val="20"/>
          <w:szCs w:val="20"/>
          <w:color w:val="auto"/>
        </w:rPr>
      </w:pPr>
      <w:r>
        <w:rPr>
          <w:rFonts w:ascii="Arial" w:cs="Arial" w:eastAsia="Arial" w:hAnsi="Arial"/>
          <w:sz w:val="16"/>
          <w:szCs w:val="16"/>
          <w:color w:val="auto"/>
        </w:rPr>
        <w:t>The operating results of the Group’s new business lines are monitored separately by the Board of Directors and Senior Management on a monthly basis, in order to make decisions regarding the allocation of resources and the evaluation of the performance of each one of the segments. The Chief Operating Decision Maker (CODM) of Credicorp is the Chief Executive Officer (CEO). The performance of the segments is evaluated based on the operating profits or losses and is measured consistently with the operating profits and losses presented in the consolidated statement of income.</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Financial information by segment is prepared subject to the minimum controls necessary and on a uniform basis, with coherent grouping according to the type of activity and customer. The transfer prices used for determining income and expenses generated among the operating segments are similar to the prices that would be applicable to transactions carried out at arm’s length.</w:t>
      </w:r>
    </w:p>
    <w:p>
      <w:pPr>
        <w:spacing w:after="0" w:line="13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None of the income derives from transactions carried out with a single customer or counterparty which is equal to or greater than 10 percent or more of the total income of the Group as of December 31, 2023, 2022 and 2021.</w:t>
      </w:r>
    </w:p>
    <w:p>
      <w:pPr>
        <w:spacing w:after="0" w:line="96"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41275</wp:posOffset>
            </wp:positionV>
            <wp:extent cx="714565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40"/>
          </w:cols>
          <w:pgMar w:left="1200" w:top="124" w:right="359" w:bottom="1440" w:gutter="0" w:footer="0" w:header="0"/>
        </w:sectPr>
      </w:pPr>
    </w:p>
    <w:bookmarkStart w:id="135" w:name="page136"/>
    <w:bookmarkEnd w:id="135"/>
    <w:p>
      <w:pPr>
        <w:ind w:left="302" w:right="20" w:hanging="302"/>
        <w:spacing w:after="0" w:line="279" w:lineRule="auto"/>
        <w:tabs>
          <w:tab w:leader="none" w:pos="30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following table presents information recorded in the results and for certain items of the assets corresponding to the Group’s reportable segments (in millions of soles) as of December 31, 2023, 2022 and 2021:</w:t>
      </w:r>
    </w:p>
    <w:p>
      <w:pPr>
        <w:spacing w:after="0" w:line="130" w:lineRule="exact"/>
        <w:rPr>
          <w:sz w:val="20"/>
          <w:szCs w:val="20"/>
          <w:color w:val="auto"/>
        </w:rPr>
      </w:pPr>
    </w:p>
    <w:tbl>
      <w:tblPr>
        <w:tblLayout w:type="fixed"/>
        <w:tblInd w:w="2" w:type="dxa"/>
        <w:tblCellMar>
          <w:top w:w="0" w:type="dxa"/>
          <w:left w:w="0" w:type="dxa"/>
          <w:bottom w:w="0" w:type="dxa"/>
          <w:right w:w="0" w:type="dxa"/>
        </w:tblCellMar>
      </w:tblPr>
      <w:tr>
        <w:trPr>
          <w:trHeight w:val="154"/>
        </w:trPr>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Income (*)</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Net</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Additions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interest,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Provision</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of fixed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w:t>
            </w:r>
          </w:p>
        </w:tc>
        <w:tc>
          <w:tcPr>
            <w:tcW w:w="7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similar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for credit</w:t>
            </w:r>
          </w:p>
        </w:tc>
        <w:tc>
          <w:tcPr>
            <w:tcW w:w="10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Depreciation,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assets,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other</w:t>
            </w:r>
          </w:p>
        </w:tc>
        <w:tc>
          <w:tcPr>
            <w:tcW w:w="7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income</w:t>
            </w:r>
          </w:p>
        </w:tc>
        <w:tc>
          <w:tcPr>
            <w:tcW w:w="820" w:type="dxa"/>
            <w:vAlign w:val="bottom"/>
            <w:gridSpan w:val="2"/>
          </w:tcPr>
          <w:p>
            <w:pPr>
              <w:ind w:left="100"/>
              <w:spacing w:after="0" w:line="147" w:lineRule="exact"/>
              <w:rPr>
                <w:sz w:val="20"/>
                <w:szCs w:val="20"/>
                <w:color w:val="auto"/>
              </w:rPr>
            </w:pPr>
            <w:r>
              <w:rPr>
                <w:rFonts w:ascii="Arial" w:cs="Arial" w:eastAsia="Arial" w:hAnsi="Arial"/>
                <w:sz w:val="13"/>
                <w:szCs w:val="13"/>
                <w:b w:val="1"/>
                <w:bCs w:val="1"/>
                <w:color w:val="auto"/>
              </w:rPr>
              <w:t>Other</w:t>
            </w:r>
          </w:p>
        </w:tc>
        <w:tc>
          <w:tcPr>
            <w:tcW w:w="8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losses</w:t>
            </w:r>
          </w:p>
        </w:tc>
        <w:tc>
          <w:tcPr>
            <w:tcW w:w="10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amortization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intangibles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segments</w:t>
            </w:r>
          </w:p>
        </w:tc>
        <w:tc>
          <w:tcPr>
            <w:tcW w:w="74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ind w:left="100"/>
              <w:spacing w:after="0" w:line="147" w:lineRule="exact"/>
              <w:rPr>
                <w:sz w:val="20"/>
                <w:szCs w:val="20"/>
                <w:color w:val="auto"/>
              </w:rPr>
            </w:pPr>
            <w:r>
              <w:rPr>
                <w:rFonts w:ascii="Arial" w:cs="Arial" w:eastAsia="Arial" w:hAnsi="Arial"/>
                <w:sz w:val="13"/>
                <w:szCs w:val="13"/>
                <w:b w:val="1"/>
                <w:bCs w:val="1"/>
                <w:color w:val="auto"/>
              </w:rPr>
              <w:t>income</w:t>
            </w:r>
          </w:p>
        </w:tc>
        <w:tc>
          <w:tcPr>
            <w:tcW w:w="8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on loan</w:t>
            </w:r>
          </w:p>
        </w:tc>
        <w:tc>
          <w:tcPr>
            <w:tcW w:w="10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and right in</w:t>
            </w:r>
          </w:p>
        </w:tc>
        <w:tc>
          <w:tcPr>
            <w:tcW w:w="7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Income</w:t>
            </w:r>
          </w:p>
        </w:tc>
        <w:tc>
          <w:tcPr>
            <w:tcW w:w="7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Net</w:t>
            </w:r>
          </w:p>
        </w:tc>
        <w:tc>
          <w:tcPr>
            <w:tcW w:w="9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w:t>
            </w:r>
          </w:p>
        </w:tc>
        <w:tc>
          <w:tcPr>
            <w:tcW w:w="7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Total</w:t>
            </w:r>
          </w:p>
        </w:tc>
        <w:tc>
          <w:tcPr>
            <w:tcW w:w="68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4"/>
        </w:trPr>
        <w:tc>
          <w:tcPr>
            <w:tcW w:w="2280" w:type="dxa"/>
            <w:vAlign w:val="bottom"/>
          </w:tcPr>
          <w:p>
            <w:pPr>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External</w:t>
            </w:r>
          </w:p>
        </w:tc>
        <w:tc>
          <w:tcPr>
            <w:tcW w:w="7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rPr>
              <w:t>expenses</w:t>
            </w:r>
          </w:p>
        </w:tc>
        <w:tc>
          <w:tcPr>
            <w:tcW w:w="72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portfolio</w:t>
            </w: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use</w:t>
            </w: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Tax</w:t>
            </w: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Profit</w:t>
            </w: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goodwill</w:t>
            </w: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assets</w:t>
            </w: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64"/>
        </w:trPr>
        <w:tc>
          <w:tcPr>
            <w:tcW w:w="22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Universal Banking</w:t>
            </w: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400" w:type="dxa"/>
            <w:vAlign w:val="bottom"/>
            <w:gridSpan w:val="2"/>
          </w:tcPr>
          <w:p>
            <w:pPr>
              <w:ind w:left="140"/>
              <w:spacing w:after="0"/>
              <w:rPr>
                <w:sz w:val="20"/>
                <w:szCs w:val="20"/>
                <w:color w:val="auto"/>
              </w:rPr>
            </w:pPr>
            <w:r>
              <w:rPr>
                <w:rFonts w:ascii="Arial" w:cs="Arial" w:eastAsia="Arial" w:hAnsi="Arial"/>
                <w:sz w:val="13"/>
                <w:szCs w:val="13"/>
                <w:color w:val="auto"/>
              </w:rPr>
              <w:t>Banco de Crédito del Perú</w:t>
            </w:r>
          </w:p>
        </w:tc>
        <w:tc>
          <w:tcPr>
            <w:tcW w:w="660" w:type="dxa"/>
            <w:vAlign w:val="bottom"/>
          </w:tcPr>
          <w:p>
            <w:pPr>
              <w:jc w:val="right"/>
              <w:spacing w:after="0"/>
              <w:rPr>
                <w:sz w:val="20"/>
                <w:szCs w:val="20"/>
                <w:color w:val="auto"/>
              </w:rPr>
            </w:pPr>
            <w:r>
              <w:rPr>
                <w:rFonts w:ascii="Arial" w:cs="Arial" w:eastAsia="Arial" w:hAnsi="Arial"/>
                <w:sz w:val="13"/>
                <w:szCs w:val="13"/>
                <w:color w:val="auto"/>
              </w:rPr>
              <w:t>16,987</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22"/>
                <w:szCs w:val="22"/>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10,090</w:t>
            </w:r>
          </w:p>
        </w:tc>
        <w:tc>
          <w:tcPr>
            <w:tcW w:w="720" w:type="dxa"/>
            <w:vAlign w:val="bottom"/>
          </w:tcPr>
          <w:p>
            <w:pPr>
              <w:jc w:val="right"/>
              <w:spacing w:after="0"/>
              <w:rPr>
                <w:sz w:val="20"/>
                <w:szCs w:val="20"/>
                <w:color w:val="auto"/>
              </w:rPr>
            </w:pPr>
            <w:r>
              <w:rPr>
                <w:rFonts w:ascii="Arial" w:cs="Arial" w:eastAsia="Arial" w:hAnsi="Arial"/>
                <w:sz w:val="13"/>
                <w:szCs w:val="13"/>
                <w:color w:val="auto"/>
              </w:rPr>
              <w:t>4,511</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(2,846)</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(459)</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(1,497)</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4,203</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178,834</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155,913</w:t>
            </w:r>
          </w:p>
        </w:tc>
        <w:tc>
          <w:tcPr>
            <w:tcW w:w="0" w:type="dxa"/>
            <w:vAlign w:val="bottom"/>
          </w:tcPr>
          <w:p>
            <w:pPr>
              <w:spacing w:after="0"/>
              <w:rPr>
                <w:sz w:val="1"/>
                <w:szCs w:val="1"/>
                <w:color w:val="auto"/>
              </w:rPr>
            </w:pPr>
          </w:p>
        </w:tc>
      </w:tr>
      <w:tr>
        <w:trPr>
          <w:trHeight w:val="154"/>
        </w:trPr>
        <w:tc>
          <w:tcPr>
            <w:tcW w:w="2400" w:type="dxa"/>
            <w:vAlign w:val="bottom"/>
            <w:gridSpan w:val="2"/>
          </w:tcPr>
          <w:p>
            <w:pPr>
              <w:ind w:left="140"/>
              <w:spacing w:after="0"/>
              <w:rPr>
                <w:sz w:val="20"/>
                <w:szCs w:val="20"/>
                <w:color w:val="auto"/>
              </w:rPr>
            </w:pPr>
            <w:r>
              <w:rPr>
                <w:rFonts w:ascii="Arial" w:cs="Arial" w:eastAsia="Arial" w:hAnsi="Arial"/>
                <w:sz w:val="13"/>
                <w:szCs w:val="13"/>
                <w:color w:val="auto"/>
              </w:rPr>
              <w:t>Banco de Crédito de Bolivia</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920</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13,465</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12,612</w:t>
            </w:r>
          </w:p>
        </w:tc>
        <w:tc>
          <w:tcPr>
            <w:tcW w:w="0" w:type="dxa"/>
            <w:vAlign w:val="bottom"/>
          </w:tcPr>
          <w:p>
            <w:pPr>
              <w:spacing w:after="0"/>
              <w:rPr>
                <w:sz w:val="1"/>
                <w:szCs w:val="1"/>
                <w:color w:val="auto"/>
              </w:rPr>
            </w:pPr>
          </w:p>
        </w:tc>
      </w:tr>
      <w:tr>
        <w:trPr>
          <w:trHeight w:val="164"/>
        </w:trPr>
        <w:tc>
          <w:tcPr>
            <w:tcW w:w="2400" w:type="dxa"/>
            <w:vAlign w:val="bottom"/>
            <w:gridSpan w:val="2"/>
            <w:vMerge w:val="restart"/>
          </w:tcPr>
          <w:p>
            <w:pPr>
              <w:spacing w:after="0"/>
              <w:rPr>
                <w:sz w:val="20"/>
                <w:szCs w:val="20"/>
                <w:color w:val="auto"/>
              </w:rPr>
            </w:pPr>
            <w:r>
              <w:rPr>
                <w:rFonts w:ascii="Arial" w:cs="Arial" w:eastAsia="Arial" w:hAnsi="Arial"/>
                <w:sz w:val="13"/>
                <w:szCs w:val="13"/>
                <w:color w:val="auto"/>
              </w:rPr>
              <w:t>Insurance and Pensión funds</w:t>
            </w:r>
          </w:p>
        </w:tc>
        <w:tc>
          <w:tcPr>
            <w:tcW w:w="660" w:type="dxa"/>
            <w:vAlign w:val="bottom"/>
          </w:tcPr>
          <w:p>
            <w:pPr>
              <w:jc w:val="right"/>
              <w:spacing w:after="0"/>
              <w:rPr>
                <w:sz w:val="20"/>
                <w:szCs w:val="20"/>
                <w:color w:val="auto"/>
              </w:rPr>
            </w:pPr>
            <w:r>
              <w:rPr>
                <w:rFonts w:ascii="Arial" w:cs="Arial" w:eastAsia="Arial" w:hAnsi="Arial"/>
                <w:sz w:val="13"/>
                <w:szCs w:val="13"/>
                <w:color w:val="auto"/>
              </w:rPr>
              <w:t>17,907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4"/>
                <w:szCs w:val="14"/>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10,090</w:t>
            </w:r>
          </w:p>
        </w:tc>
        <w:tc>
          <w:tcPr>
            <w:tcW w:w="720" w:type="dxa"/>
            <w:vAlign w:val="bottom"/>
          </w:tcPr>
          <w:p>
            <w:pPr>
              <w:jc w:val="right"/>
              <w:spacing w:after="0"/>
              <w:rPr>
                <w:sz w:val="20"/>
                <w:szCs w:val="20"/>
                <w:color w:val="auto"/>
              </w:rPr>
            </w:pPr>
            <w:r>
              <w:rPr>
                <w:rFonts w:ascii="Arial" w:cs="Arial" w:eastAsia="Arial" w:hAnsi="Arial"/>
                <w:sz w:val="13"/>
                <w:szCs w:val="13"/>
                <w:color w:val="auto"/>
              </w:rPr>
              <w:t>4,722</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(2,896)</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(484)</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(1,559)</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4,286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781</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192,299</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168,525</w:t>
            </w:r>
          </w:p>
        </w:tc>
        <w:tc>
          <w:tcPr>
            <w:tcW w:w="0" w:type="dxa"/>
            <w:vAlign w:val="bottom"/>
          </w:tcPr>
          <w:p>
            <w:pPr>
              <w:spacing w:after="0"/>
              <w:rPr>
                <w:sz w:val="1"/>
                <w:szCs w:val="1"/>
                <w:color w:val="auto"/>
              </w:rPr>
            </w:pPr>
          </w:p>
        </w:tc>
      </w:tr>
      <w:tr>
        <w:trPr>
          <w:trHeight w:val="114"/>
        </w:trPr>
        <w:tc>
          <w:tcPr>
            <w:tcW w:w="24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40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Pacífico Seguros y subsidiarias</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2,233</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tcPr>
          <w:p>
            <w:pPr>
              <w:jc w:val="right"/>
              <w:ind w:right="35"/>
              <w:spacing w:after="0" w:line="147" w:lineRule="exact"/>
              <w:rPr>
                <w:sz w:val="20"/>
                <w:szCs w:val="20"/>
                <w:color w:val="auto"/>
              </w:rPr>
            </w:pPr>
            <w:r>
              <w:rPr>
                <w:rFonts w:ascii="Arial" w:cs="Arial" w:eastAsia="Arial" w:hAnsi="Arial"/>
                <w:sz w:val="13"/>
                <w:szCs w:val="13"/>
                <w:color w:val="auto"/>
              </w:rPr>
              <w:t>285</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951</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(40)</w:t>
            </w:r>
          </w:p>
        </w:tc>
        <w:tc>
          <w:tcPr>
            <w:tcW w:w="12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818</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79</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15,865</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13,446</w:t>
            </w:r>
          </w:p>
        </w:tc>
        <w:tc>
          <w:tcPr>
            <w:tcW w:w="0" w:type="dxa"/>
            <w:vAlign w:val="bottom"/>
          </w:tcPr>
          <w:p>
            <w:pPr>
              <w:spacing w:after="0"/>
              <w:rPr>
                <w:sz w:val="1"/>
                <w:szCs w:val="1"/>
                <w:color w:val="auto"/>
              </w:rPr>
            </w:pPr>
          </w:p>
        </w:tc>
      </w:tr>
      <w:tr>
        <w:trPr>
          <w:trHeight w:val="154"/>
        </w:trPr>
        <w:tc>
          <w:tcPr>
            <w:tcW w:w="2400" w:type="dxa"/>
            <w:vAlign w:val="bottom"/>
            <w:gridSpan w:val="2"/>
          </w:tcPr>
          <w:p>
            <w:pPr>
              <w:ind w:left="140"/>
              <w:spacing w:after="0"/>
              <w:rPr>
                <w:sz w:val="20"/>
                <w:szCs w:val="20"/>
                <w:color w:val="auto"/>
              </w:rPr>
            </w:pPr>
            <w:r>
              <w:rPr>
                <w:rFonts w:ascii="Arial" w:cs="Arial" w:eastAsia="Arial" w:hAnsi="Arial"/>
                <w:sz w:val="13"/>
                <w:szCs w:val="13"/>
                <w:color w:val="auto"/>
              </w:rPr>
              <w:t>Prima AFP</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64"/>
        </w:trPr>
        <w:tc>
          <w:tcPr>
            <w:tcW w:w="2400" w:type="dxa"/>
            <w:vAlign w:val="bottom"/>
            <w:gridSpan w:val="2"/>
            <w:vMerge w:val="restart"/>
          </w:tcPr>
          <w:p>
            <w:pPr>
              <w:spacing w:after="0"/>
              <w:rPr>
                <w:sz w:val="20"/>
                <w:szCs w:val="20"/>
                <w:color w:val="auto"/>
              </w:rPr>
            </w:pPr>
            <w:r>
              <w:rPr>
                <w:rFonts w:ascii="Arial" w:cs="Arial" w:eastAsia="Arial" w:hAnsi="Arial"/>
                <w:sz w:val="13"/>
                <w:szCs w:val="13"/>
                <w:color w:val="auto"/>
              </w:rPr>
              <w:t>Microfinance</w:t>
            </w:r>
          </w:p>
        </w:tc>
        <w:tc>
          <w:tcPr>
            <w:tcW w:w="660" w:type="dxa"/>
            <w:vAlign w:val="bottom"/>
          </w:tcPr>
          <w:p>
            <w:pPr>
              <w:jc w:val="right"/>
              <w:spacing w:after="0"/>
              <w:rPr>
                <w:sz w:val="20"/>
                <w:szCs w:val="20"/>
                <w:color w:val="auto"/>
              </w:rPr>
            </w:pPr>
            <w:r>
              <w:rPr>
                <w:rFonts w:ascii="Arial" w:cs="Arial" w:eastAsia="Arial" w:hAnsi="Arial"/>
                <w:sz w:val="13"/>
                <w:szCs w:val="13"/>
                <w:color w:val="auto"/>
              </w:rPr>
              <w:t>2,628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289</w:t>
            </w:r>
          </w:p>
        </w:tc>
        <w:tc>
          <w:tcPr>
            <w:tcW w:w="720" w:type="dxa"/>
            <w:vAlign w:val="bottom"/>
          </w:tcPr>
          <w:p>
            <w:pPr>
              <w:jc w:val="right"/>
              <w:spacing w:after="0"/>
              <w:rPr>
                <w:sz w:val="20"/>
                <w:szCs w:val="20"/>
                <w:color w:val="auto"/>
              </w:rPr>
            </w:pPr>
            <w:r>
              <w:rPr>
                <w:rFonts w:ascii="Arial" w:cs="Arial" w:eastAsia="Arial" w:hAnsi="Arial"/>
                <w:sz w:val="13"/>
                <w:szCs w:val="13"/>
                <w:color w:val="auto"/>
              </w:rPr>
              <w:t>1,339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16,606</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13,687</w:t>
            </w:r>
          </w:p>
        </w:tc>
        <w:tc>
          <w:tcPr>
            <w:tcW w:w="0" w:type="dxa"/>
            <w:vAlign w:val="bottom"/>
          </w:tcPr>
          <w:p>
            <w:pPr>
              <w:spacing w:after="0"/>
              <w:rPr>
                <w:sz w:val="1"/>
                <w:szCs w:val="1"/>
                <w:color w:val="auto"/>
              </w:rPr>
            </w:pPr>
          </w:p>
        </w:tc>
      </w:tr>
      <w:tr>
        <w:trPr>
          <w:trHeight w:val="139"/>
        </w:trPr>
        <w:tc>
          <w:tcPr>
            <w:tcW w:w="24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2400" w:type="dxa"/>
            <w:vAlign w:val="bottom"/>
            <w:gridSpan w:val="2"/>
          </w:tcPr>
          <w:p>
            <w:pPr>
              <w:ind w:left="140"/>
              <w:spacing w:after="0"/>
              <w:rPr>
                <w:sz w:val="20"/>
                <w:szCs w:val="20"/>
                <w:color w:val="auto"/>
              </w:rPr>
            </w:pPr>
            <w:r>
              <w:rPr>
                <w:rFonts w:ascii="Arial" w:cs="Arial" w:eastAsia="Arial" w:hAnsi="Arial"/>
                <w:sz w:val="13"/>
                <w:szCs w:val="13"/>
                <w:color w:val="auto"/>
              </w:rPr>
              <w:t>MiBanco</w:t>
            </w:r>
          </w:p>
        </w:tc>
        <w:tc>
          <w:tcPr>
            <w:tcW w:w="660" w:type="dxa"/>
            <w:vAlign w:val="bottom"/>
          </w:tcPr>
          <w:p>
            <w:pPr>
              <w:jc w:val="right"/>
              <w:spacing w:after="0"/>
              <w:rPr>
                <w:sz w:val="20"/>
                <w:szCs w:val="20"/>
                <w:color w:val="auto"/>
              </w:rPr>
            </w:pPr>
            <w:r>
              <w:rPr>
                <w:rFonts w:ascii="Arial" w:cs="Arial" w:eastAsia="Arial" w:hAnsi="Arial"/>
                <w:sz w:val="13"/>
                <w:szCs w:val="13"/>
                <w:color w:val="auto"/>
              </w:rPr>
              <w:t>3,238</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23"/>
                <w:szCs w:val="23"/>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2,160</w:t>
            </w:r>
          </w:p>
        </w:tc>
        <w:tc>
          <w:tcPr>
            <w:tcW w:w="720" w:type="dxa"/>
            <w:vAlign w:val="bottom"/>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(923)</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16,898</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13,902</w:t>
            </w:r>
          </w:p>
        </w:tc>
        <w:tc>
          <w:tcPr>
            <w:tcW w:w="0" w:type="dxa"/>
            <w:vAlign w:val="bottom"/>
          </w:tcPr>
          <w:p>
            <w:pPr>
              <w:spacing w:after="0"/>
              <w:rPr>
                <w:sz w:val="1"/>
                <w:szCs w:val="1"/>
                <w:color w:val="auto"/>
              </w:rPr>
            </w:pPr>
          </w:p>
        </w:tc>
      </w:tr>
      <w:tr>
        <w:trPr>
          <w:trHeight w:val="154"/>
        </w:trPr>
        <w:tc>
          <w:tcPr>
            <w:tcW w:w="2400" w:type="dxa"/>
            <w:vAlign w:val="bottom"/>
            <w:gridSpan w:val="2"/>
          </w:tcPr>
          <w:p>
            <w:pPr>
              <w:ind w:left="140"/>
              <w:spacing w:after="0"/>
              <w:rPr>
                <w:sz w:val="20"/>
                <w:szCs w:val="20"/>
                <w:color w:val="auto"/>
              </w:rPr>
            </w:pPr>
            <w:r>
              <w:rPr>
                <w:rFonts w:ascii="Arial" w:cs="Arial" w:eastAsia="Arial" w:hAnsi="Arial"/>
                <w:sz w:val="13"/>
                <w:szCs w:val="13"/>
                <w:color w:val="auto"/>
              </w:rPr>
              <w:t>Mibanco Colombia</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255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2,113</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1,849</w:t>
            </w: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3,727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4"/>
                <w:szCs w:val="14"/>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2,415</w:t>
            </w:r>
          </w:p>
        </w:tc>
        <w:tc>
          <w:tcPr>
            <w:tcW w:w="720" w:type="dxa"/>
            <w:vAlign w:val="bottom"/>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(1,048)</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19,011</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15,751</w:t>
            </w:r>
          </w:p>
        </w:tc>
        <w:tc>
          <w:tcPr>
            <w:tcW w:w="0" w:type="dxa"/>
            <w:vAlign w:val="bottom"/>
          </w:tcPr>
          <w:p>
            <w:pPr>
              <w:spacing w:after="0"/>
              <w:rPr>
                <w:sz w:val="1"/>
                <w:szCs w:val="1"/>
                <w:color w:val="auto"/>
              </w:rPr>
            </w:pPr>
          </w:p>
        </w:tc>
      </w:tr>
      <w:tr>
        <w:trPr>
          <w:trHeight w:val="260"/>
        </w:trPr>
        <w:tc>
          <w:tcPr>
            <w:tcW w:w="2400" w:type="dxa"/>
            <w:vAlign w:val="bottom"/>
            <w:gridSpan w:val="2"/>
          </w:tcPr>
          <w:p>
            <w:pPr>
              <w:spacing w:after="0"/>
              <w:rPr>
                <w:sz w:val="20"/>
                <w:szCs w:val="20"/>
                <w:color w:val="auto"/>
              </w:rPr>
            </w:pPr>
            <w:r>
              <w:rPr>
                <w:rFonts w:ascii="Arial" w:cs="Arial" w:eastAsia="Arial" w:hAnsi="Arial"/>
                <w:sz w:val="13"/>
                <w:szCs w:val="13"/>
                <w:color w:val="auto"/>
              </w:rPr>
              <w:t>Investment Banking and Wealth</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400" w:type="dxa"/>
            <w:vAlign w:val="bottom"/>
            <w:gridSpan w:val="2"/>
          </w:tcPr>
          <w:p>
            <w:pPr>
              <w:spacing w:after="0" w:line="147" w:lineRule="exact"/>
              <w:rPr>
                <w:sz w:val="20"/>
                <w:szCs w:val="20"/>
                <w:color w:val="auto"/>
              </w:rPr>
            </w:pPr>
            <w:r>
              <w:rPr>
                <w:rFonts w:ascii="Arial" w:cs="Arial" w:eastAsia="Arial" w:hAnsi="Arial"/>
                <w:sz w:val="13"/>
                <w:szCs w:val="13"/>
                <w:color w:val="auto"/>
              </w:rPr>
              <w:t>Management</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1,026</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39</w:t>
            </w:r>
          </w:p>
        </w:tc>
        <w:tc>
          <w:tcPr>
            <w:tcW w:w="100" w:type="dxa"/>
            <w:vAlign w:val="bottom"/>
          </w:tcPr>
          <w:p>
            <w:pPr>
              <w:spacing w:after="0"/>
              <w:rPr>
                <w:sz w:val="12"/>
                <w:szCs w:val="12"/>
                <w:color w:val="auto"/>
              </w:rPr>
            </w:pPr>
          </w:p>
        </w:tc>
        <w:tc>
          <w:tcPr>
            <w:tcW w:w="740" w:type="dxa"/>
            <w:vAlign w:val="bottom"/>
          </w:tcPr>
          <w:p>
            <w:pPr>
              <w:jc w:val="right"/>
              <w:ind w:right="35"/>
              <w:spacing w:after="0" w:line="147" w:lineRule="exact"/>
              <w:rPr>
                <w:sz w:val="20"/>
                <w:szCs w:val="20"/>
                <w:color w:val="auto"/>
              </w:rPr>
            </w:pPr>
            <w:r>
              <w:rPr>
                <w:rFonts w:ascii="Arial" w:cs="Arial" w:eastAsia="Arial" w:hAnsi="Arial"/>
                <w:sz w:val="13"/>
                <w:szCs w:val="13"/>
                <w:color w:val="auto"/>
              </w:rPr>
              <w:t>114</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591</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(43)</w:t>
            </w:r>
          </w:p>
        </w:tc>
        <w:tc>
          <w:tcPr>
            <w:tcW w:w="12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(167)</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10,144</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8,484</w:t>
            </w:r>
          </w:p>
        </w:tc>
        <w:tc>
          <w:tcPr>
            <w:tcW w:w="0" w:type="dxa"/>
            <w:vAlign w:val="bottom"/>
          </w:tcPr>
          <w:p>
            <w:pPr>
              <w:spacing w:after="0"/>
              <w:rPr>
                <w:sz w:val="1"/>
                <w:szCs w:val="1"/>
                <w:color w:val="auto"/>
              </w:rPr>
            </w:pPr>
          </w:p>
        </w:tc>
      </w:tr>
      <w:tr>
        <w:trPr>
          <w:trHeight w:val="147"/>
        </w:trPr>
        <w:tc>
          <w:tcPr>
            <w:tcW w:w="2400" w:type="dxa"/>
            <w:vAlign w:val="bottom"/>
            <w:gridSpan w:val="2"/>
          </w:tcPr>
          <w:p>
            <w:pPr>
              <w:spacing w:after="0" w:line="147" w:lineRule="exact"/>
              <w:rPr>
                <w:sz w:val="20"/>
                <w:szCs w:val="20"/>
                <w:color w:val="auto"/>
              </w:rPr>
            </w:pPr>
            <w:r>
              <w:rPr>
                <w:rFonts w:ascii="Arial" w:cs="Arial" w:eastAsia="Arial" w:hAnsi="Arial"/>
                <w:sz w:val="13"/>
                <w:szCs w:val="13"/>
                <w:color w:val="auto"/>
              </w:rPr>
              <w:t>Other segments</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377</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740" w:type="dxa"/>
            <w:vAlign w:val="bottom"/>
          </w:tcPr>
          <w:p>
            <w:pPr>
              <w:jc w:val="right"/>
              <w:ind w:right="35"/>
              <w:spacing w:after="0" w:line="147" w:lineRule="exact"/>
              <w:rPr>
                <w:sz w:val="20"/>
                <w:szCs w:val="20"/>
                <w:color w:val="auto"/>
              </w:rPr>
            </w:pPr>
            <w:r>
              <w:rPr>
                <w:rFonts w:ascii="Arial" w:cs="Arial" w:eastAsia="Arial" w:hAnsi="Arial"/>
                <w:sz w:val="13"/>
                <w:szCs w:val="13"/>
                <w:color w:val="auto"/>
              </w:rPr>
              <w:t>30</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(168)</w:t>
            </w:r>
          </w:p>
        </w:tc>
        <w:tc>
          <w:tcPr>
            <w:tcW w:w="12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(258)</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151</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4,274</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2,935</w:t>
            </w:r>
          </w:p>
        </w:tc>
        <w:tc>
          <w:tcPr>
            <w:tcW w:w="0" w:type="dxa"/>
            <w:vAlign w:val="bottom"/>
          </w:tcPr>
          <w:p>
            <w:pPr>
              <w:spacing w:after="0"/>
              <w:rPr>
                <w:sz w:val="1"/>
                <w:szCs w:val="1"/>
                <w:color w:val="auto"/>
              </w:rPr>
            </w:pPr>
          </w:p>
        </w:tc>
      </w:tr>
      <w:tr>
        <w:trPr>
          <w:trHeight w:val="154"/>
        </w:trPr>
        <w:tc>
          <w:tcPr>
            <w:tcW w:w="2400" w:type="dxa"/>
            <w:vAlign w:val="bottom"/>
            <w:gridSpan w:val="2"/>
          </w:tcPr>
          <w:p>
            <w:pPr>
              <w:spacing w:after="0"/>
              <w:rPr>
                <w:sz w:val="20"/>
                <w:szCs w:val="20"/>
                <w:color w:val="auto"/>
              </w:rPr>
            </w:pPr>
            <w:r>
              <w:rPr>
                <w:rFonts w:ascii="Arial" w:cs="Arial" w:eastAsia="Arial" w:hAnsi="Arial"/>
                <w:sz w:val="13"/>
                <w:szCs w:val="13"/>
                <w:color w:val="auto"/>
              </w:rPr>
              <w:t>Eliminations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(3,494)</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(3,649)</w:t>
            </w:r>
          </w:p>
        </w:tc>
        <w:tc>
          <w:tcPr>
            <w:tcW w:w="0" w:type="dxa"/>
            <w:vAlign w:val="bottom"/>
          </w:tcPr>
          <w:p>
            <w:pPr>
              <w:spacing w:after="0"/>
              <w:rPr>
                <w:sz w:val="1"/>
                <w:szCs w:val="1"/>
                <w:color w:val="auto"/>
              </w:rPr>
            </w:pPr>
          </w:p>
        </w:tc>
      </w:tr>
      <w:tr>
        <w:trPr>
          <w:trHeight w:val="143"/>
        </w:trPr>
        <w:tc>
          <w:tcPr>
            <w:tcW w:w="24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Total consolidated</w:t>
            </w: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25,665</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752</w:t>
            </w:r>
          </w:p>
        </w:tc>
        <w:tc>
          <w:tcPr>
            <w:tcW w:w="100" w:type="dxa"/>
            <w:vAlign w:val="bottom"/>
          </w:tcPr>
          <w:p>
            <w:pPr>
              <w:spacing w:after="0"/>
              <w:rPr>
                <w:sz w:val="12"/>
                <w:szCs w:val="12"/>
                <w:color w:val="auto"/>
              </w:rPr>
            </w:pPr>
          </w:p>
        </w:tc>
        <w:tc>
          <w:tcPr>
            <w:tcW w:w="740" w:type="dxa"/>
            <w:vAlign w:val="bottom"/>
            <w:tcBorders>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12,938</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6,867</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(3,957)</w:t>
            </w:r>
          </w:p>
        </w:tc>
        <w:tc>
          <w:tcPr>
            <w:tcW w:w="1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(659)</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(1,888)</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4,960</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1,214</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238,840</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205,733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182" w:right="20" w:hanging="596"/>
        <w:spacing w:after="0" w:line="249" w:lineRule="auto"/>
        <w:tabs>
          <w:tab w:leader="none" w:pos="118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Corresponds to total interest and similar income, other income (includes income and expenses on commissions) and technical insurance results.</w:t>
      </w:r>
    </w:p>
    <w:p>
      <w:pPr>
        <w:ind w:left="1182" w:hanging="596"/>
        <w:spacing w:after="0"/>
        <w:tabs>
          <w:tab w:leader="none" w:pos="118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Corresponds to income derived from transactions with other segments, which were eliminated in the consolidated statement of income.</w:t>
      </w:r>
    </w:p>
    <w:p>
      <w:pPr>
        <w:ind w:left="5462" w:right="2140" w:hanging="4876"/>
        <w:spacing w:after="0" w:line="466" w:lineRule="auto"/>
        <w:tabs>
          <w:tab w:leader="none" w:pos="116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Corresponds to other income (include income and expenses for commissions) and technical insurance results.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14565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2"/>
          </w:cols>
          <w:pgMar w:left="318" w:top="124"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54"/>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8"/>
              </w:rPr>
              <w:t>Income (*)</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Net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Additions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interest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Provision</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of fixed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similar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for credit</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assets,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other</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income</w:t>
            </w:r>
          </w:p>
        </w:tc>
        <w:tc>
          <w:tcPr>
            <w:tcW w:w="7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Other</w:t>
            </w:r>
          </w:p>
        </w:tc>
        <w:tc>
          <w:tcPr>
            <w:tcW w:w="8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losses</w:t>
            </w:r>
          </w:p>
        </w:tc>
        <w:tc>
          <w:tcPr>
            <w:tcW w:w="10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Depreciation,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intangibles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segments</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and</w:t>
            </w:r>
          </w:p>
        </w:tc>
        <w:tc>
          <w:tcPr>
            <w:tcW w:w="7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Income</w:t>
            </w:r>
          </w:p>
        </w:tc>
        <w:tc>
          <w:tcPr>
            <w:tcW w:w="8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on loan</w:t>
            </w:r>
          </w:p>
        </w:tc>
        <w:tc>
          <w:tcPr>
            <w:tcW w:w="10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amortization</w:t>
            </w:r>
          </w:p>
        </w:tc>
        <w:tc>
          <w:tcPr>
            <w:tcW w:w="7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Income</w:t>
            </w:r>
          </w:p>
        </w:tc>
        <w:tc>
          <w:tcPr>
            <w:tcW w:w="7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Net</w:t>
            </w:r>
          </w:p>
        </w:tc>
        <w:tc>
          <w:tcPr>
            <w:tcW w:w="9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w:t>
            </w:r>
          </w:p>
        </w:tc>
        <w:tc>
          <w:tcPr>
            <w:tcW w:w="7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Total</w:t>
            </w:r>
          </w:p>
        </w:tc>
        <w:tc>
          <w:tcPr>
            <w:tcW w:w="68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4"/>
        </w:trPr>
        <w:tc>
          <w:tcPr>
            <w:tcW w:w="2280" w:type="dxa"/>
            <w:vAlign w:val="bottom"/>
          </w:tcPr>
          <w:p>
            <w:pPr>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External</w:t>
            </w:r>
          </w:p>
        </w:tc>
        <w:tc>
          <w:tcPr>
            <w:tcW w:w="7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expensese</w:t>
            </w:r>
          </w:p>
        </w:tc>
        <w:tc>
          <w:tcPr>
            <w:tcW w:w="6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portfolio</w:t>
            </w: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right use</w:t>
            </w: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Tax</w:t>
            </w: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profit</w:t>
            </w: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goodwill</w:t>
            </w: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assets</w:t>
            </w: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31"/>
        </w:trPr>
        <w:tc>
          <w:tcPr>
            <w:tcW w:w="22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Universal Banking</w:t>
            </w: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38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Banco de Crédito del Perú</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13,510</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518</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7,828</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3,139</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(1,448)</w:t>
            </w: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(452)</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(1,625)</w:t>
            </w:r>
          </w:p>
        </w:tc>
        <w:tc>
          <w:tcPr>
            <w:tcW w:w="1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4,258</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590</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177,907</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157,485</w:t>
            </w:r>
          </w:p>
        </w:tc>
        <w:tc>
          <w:tcPr>
            <w:tcW w:w="0" w:type="dxa"/>
            <w:vAlign w:val="bottom"/>
          </w:tcPr>
          <w:p>
            <w:pPr>
              <w:spacing w:after="0"/>
              <w:rPr>
                <w:sz w:val="1"/>
                <w:szCs w:val="1"/>
                <w:color w:val="auto"/>
              </w:rPr>
            </w:pPr>
          </w:p>
        </w:tc>
      </w:tr>
      <w:tr>
        <w:trPr>
          <w:trHeight w:val="167"/>
        </w:trPr>
        <w:tc>
          <w:tcPr>
            <w:tcW w:w="2380" w:type="dxa"/>
            <w:vAlign w:val="bottom"/>
            <w:gridSpan w:val="2"/>
          </w:tcPr>
          <w:p>
            <w:pPr>
              <w:ind w:left="140"/>
              <w:spacing w:after="0"/>
              <w:rPr>
                <w:sz w:val="20"/>
                <w:szCs w:val="20"/>
                <w:color w:val="auto"/>
              </w:rPr>
            </w:pPr>
            <w:r>
              <w:rPr>
                <w:rFonts w:ascii="Arial" w:cs="Arial" w:eastAsia="Arial" w:hAnsi="Arial"/>
                <w:sz w:val="13"/>
                <w:szCs w:val="13"/>
                <w:color w:val="auto"/>
              </w:rPr>
              <w:t>Banco de Crédito de Bolivia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12,698</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11,838</w:t>
            </w:r>
          </w:p>
        </w:tc>
        <w:tc>
          <w:tcPr>
            <w:tcW w:w="0" w:type="dxa"/>
            <w:vAlign w:val="bottom"/>
          </w:tcPr>
          <w:p>
            <w:pPr>
              <w:spacing w:after="0"/>
              <w:rPr>
                <w:sz w:val="1"/>
                <w:szCs w:val="1"/>
                <w:color w:val="auto"/>
              </w:rPr>
            </w:pPr>
          </w:p>
        </w:tc>
      </w:tr>
      <w:tr>
        <w:trPr>
          <w:trHeight w:val="164"/>
        </w:trPr>
        <w:tc>
          <w:tcPr>
            <w:tcW w:w="2380" w:type="dxa"/>
            <w:vAlign w:val="bottom"/>
            <w:gridSpan w:val="2"/>
            <w:vMerge w:val="restart"/>
          </w:tcPr>
          <w:p>
            <w:pPr>
              <w:spacing w:after="0"/>
              <w:rPr>
                <w:sz w:val="20"/>
                <w:szCs w:val="20"/>
                <w:color w:val="auto"/>
              </w:rPr>
            </w:pPr>
            <w:r>
              <w:rPr>
                <w:rFonts w:ascii="Arial" w:cs="Arial" w:eastAsia="Arial" w:hAnsi="Arial"/>
                <w:sz w:val="13"/>
                <w:szCs w:val="13"/>
                <w:color w:val="auto"/>
              </w:rPr>
              <w:t>Insurance and Pensión funds</w:t>
            </w:r>
          </w:p>
        </w:tc>
        <w:tc>
          <w:tcPr>
            <w:tcW w:w="680" w:type="dxa"/>
            <w:vAlign w:val="bottom"/>
          </w:tcPr>
          <w:p>
            <w:pPr>
              <w:jc w:val="right"/>
              <w:spacing w:after="0"/>
              <w:rPr>
                <w:sz w:val="20"/>
                <w:szCs w:val="20"/>
                <w:color w:val="auto"/>
              </w:rPr>
            </w:pPr>
            <w:r>
              <w:rPr>
                <w:rFonts w:ascii="Arial" w:cs="Arial" w:eastAsia="Arial" w:hAnsi="Arial"/>
                <w:sz w:val="13"/>
                <w:szCs w:val="13"/>
                <w:color w:val="auto"/>
              </w:rPr>
              <w:t>14,375</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8,153</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3,306</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(1,517)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(476)</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(1,737)</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4,326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190,605</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169,323</w:t>
            </w:r>
          </w:p>
        </w:tc>
        <w:tc>
          <w:tcPr>
            <w:tcW w:w="0" w:type="dxa"/>
            <w:vAlign w:val="bottom"/>
          </w:tcPr>
          <w:p>
            <w:pPr>
              <w:spacing w:after="0"/>
              <w:rPr>
                <w:sz w:val="1"/>
                <w:szCs w:val="1"/>
                <w:color w:val="auto"/>
              </w:rPr>
            </w:pPr>
          </w:p>
        </w:tc>
      </w:tr>
      <w:tr>
        <w:trPr>
          <w:trHeight w:val="114"/>
        </w:trPr>
        <w:tc>
          <w:tcPr>
            <w:tcW w:w="238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38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Pacífico Seguros y subsidiarias</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1,689</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63</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301</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758</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467</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80</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14,565</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12,149</w:t>
            </w:r>
          </w:p>
        </w:tc>
        <w:tc>
          <w:tcPr>
            <w:tcW w:w="0" w:type="dxa"/>
            <w:vAlign w:val="bottom"/>
          </w:tcPr>
          <w:p>
            <w:pPr>
              <w:spacing w:after="0"/>
              <w:rPr>
                <w:sz w:val="1"/>
                <w:szCs w:val="1"/>
                <w:color w:val="auto"/>
              </w:rPr>
            </w:pPr>
          </w:p>
        </w:tc>
      </w:tr>
      <w:tr>
        <w:trPr>
          <w:trHeight w:val="167"/>
        </w:trPr>
        <w:tc>
          <w:tcPr>
            <w:tcW w:w="2380" w:type="dxa"/>
            <w:vAlign w:val="bottom"/>
            <w:gridSpan w:val="2"/>
          </w:tcPr>
          <w:p>
            <w:pPr>
              <w:ind w:left="140"/>
              <w:spacing w:after="0"/>
              <w:rPr>
                <w:sz w:val="20"/>
                <w:szCs w:val="20"/>
                <w:color w:val="auto"/>
              </w:rPr>
            </w:pPr>
            <w:r>
              <w:rPr>
                <w:rFonts w:ascii="Arial" w:cs="Arial" w:eastAsia="Arial" w:hAnsi="Arial"/>
                <w:sz w:val="13"/>
                <w:szCs w:val="13"/>
                <w:color w:val="auto"/>
              </w:rPr>
              <w:t>Prima AFP</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735</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64"/>
        </w:trPr>
        <w:tc>
          <w:tcPr>
            <w:tcW w:w="2380" w:type="dxa"/>
            <w:vAlign w:val="bottom"/>
            <w:gridSpan w:val="2"/>
            <w:vMerge w:val="restart"/>
          </w:tcPr>
          <w:p>
            <w:pPr>
              <w:spacing w:after="0"/>
              <w:rPr>
                <w:sz w:val="20"/>
                <w:szCs w:val="20"/>
                <w:color w:val="auto"/>
              </w:rPr>
            </w:pPr>
            <w:r>
              <w:rPr>
                <w:rFonts w:ascii="Arial" w:cs="Arial" w:eastAsia="Arial" w:hAnsi="Arial"/>
                <w:sz w:val="13"/>
                <w:szCs w:val="13"/>
                <w:color w:val="auto"/>
              </w:rPr>
              <w:t>Microfinance</w:t>
            </w:r>
          </w:p>
        </w:tc>
        <w:tc>
          <w:tcPr>
            <w:tcW w:w="680" w:type="dxa"/>
            <w:vAlign w:val="bottom"/>
          </w:tcPr>
          <w:p>
            <w:pPr>
              <w:jc w:val="right"/>
              <w:spacing w:after="0"/>
              <w:rPr>
                <w:sz w:val="20"/>
                <w:szCs w:val="20"/>
                <w:color w:val="auto"/>
              </w:rPr>
            </w:pPr>
            <w:r>
              <w:rPr>
                <w:rFonts w:ascii="Arial" w:cs="Arial" w:eastAsia="Arial" w:hAnsi="Arial"/>
                <w:sz w:val="13"/>
                <w:szCs w:val="13"/>
                <w:color w:val="auto"/>
              </w:rPr>
              <w:t>2,043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301</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1,112</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577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15,300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12,387</w:t>
            </w:r>
          </w:p>
        </w:tc>
        <w:tc>
          <w:tcPr>
            <w:tcW w:w="0" w:type="dxa"/>
            <w:vAlign w:val="bottom"/>
          </w:tcPr>
          <w:p>
            <w:pPr>
              <w:spacing w:after="0"/>
              <w:rPr>
                <w:sz w:val="1"/>
                <w:szCs w:val="1"/>
                <w:color w:val="auto"/>
              </w:rPr>
            </w:pPr>
          </w:p>
        </w:tc>
      </w:tr>
      <w:tr>
        <w:trPr>
          <w:trHeight w:val="114"/>
        </w:trPr>
        <w:tc>
          <w:tcPr>
            <w:tcW w:w="238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38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MiBanco</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2,750</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2,139</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(597)</w:t>
            </w: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(76)</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(165)</w:t>
            </w:r>
          </w:p>
        </w:tc>
        <w:tc>
          <w:tcPr>
            <w:tcW w:w="1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425</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96</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17,226</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14,444</w:t>
            </w:r>
          </w:p>
        </w:tc>
        <w:tc>
          <w:tcPr>
            <w:tcW w:w="0" w:type="dxa"/>
            <w:vAlign w:val="bottom"/>
          </w:tcPr>
          <w:p>
            <w:pPr>
              <w:spacing w:after="0"/>
              <w:rPr>
                <w:sz w:val="1"/>
                <w:szCs w:val="1"/>
                <w:color w:val="auto"/>
              </w:rPr>
            </w:pPr>
          </w:p>
        </w:tc>
      </w:tr>
      <w:tr>
        <w:trPr>
          <w:trHeight w:val="167"/>
        </w:trPr>
        <w:tc>
          <w:tcPr>
            <w:tcW w:w="2380" w:type="dxa"/>
            <w:vAlign w:val="bottom"/>
            <w:gridSpan w:val="2"/>
          </w:tcPr>
          <w:p>
            <w:pPr>
              <w:ind w:left="140"/>
              <w:spacing w:after="0"/>
              <w:rPr>
                <w:sz w:val="20"/>
                <w:szCs w:val="20"/>
                <w:color w:val="auto"/>
              </w:rPr>
            </w:pPr>
            <w:r>
              <w:rPr>
                <w:rFonts w:ascii="Arial" w:cs="Arial" w:eastAsia="Arial" w:hAnsi="Arial"/>
                <w:sz w:val="13"/>
                <w:szCs w:val="13"/>
                <w:color w:val="auto"/>
              </w:rPr>
              <w:t>Mibanco Colombia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1,530</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1,290</w:t>
            </w: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3,125</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2,375</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(642)</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18,756</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15,734</w:t>
            </w:r>
          </w:p>
        </w:tc>
        <w:tc>
          <w:tcPr>
            <w:tcW w:w="0" w:type="dxa"/>
            <w:vAlign w:val="bottom"/>
          </w:tcPr>
          <w:p>
            <w:pPr>
              <w:spacing w:after="0"/>
              <w:rPr>
                <w:sz w:val="1"/>
                <w:szCs w:val="1"/>
                <w:color w:val="auto"/>
              </w:rPr>
            </w:pPr>
          </w:p>
        </w:tc>
      </w:tr>
      <w:tr>
        <w:trPr>
          <w:trHeight w:val="260"/>
        </w:trPr>
        <w:tc>
          <w:tcPr>
            <w:tcW w:w="2380" w:type="dxa"/>
            <w:vAlign w:val="bottom"/>
            <w:gridSpan w:val="2"/>
          </w:tcPr>
          <w:p>
            <w:pPr>
              <w:spacing w:after="0"/>
              <w:rPr>
                <w:sz w:val="20"/>
                <w:szCs w:val="20"/>
                <w:color w:val="auto"/>
              </w:rPr>
            </w:pPr>
            <w:r>
              <w:rPr>
                <w:rFonts w:ascii="Arial" w:cs="Arial" w:eastAsia="Arial" w:hAnsi="Arial"/>
                <w:sz w:val="13"/>
                <w:szCs w:val="13"/>
                <w:color w:val="auto"/>
              </w:rPr>
              <w:t>Investment Banking and Wealth</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380" w:type="dxa"/>
            <w:vAlign w:val="bottom"/>
            <w:gridSpan w:val="2"/>
          </w:tcPr>
          <w:p>
            <w:pPr>
              <w:spacing w:after="0" w:line="147" w:lineRule="exact"/>
              <w:rPr>
                <w:sz w:val="20"/>
                <w:szCs w:val="20"/>
                <w:color w:val="auto"/>
              </w:rPr>
            </w:pPr>
            <w:r>
              <w:rPr>
                <w:rFonts w:ascii="Arial" w:cs="Arial" w:eastAsia="Arial" w:hAnsi="Arial"/>
                <w:sz w:val="13"/>
                <w:szCs w:val="13"/>
                <w:color w:val="auto"/>
              </w:rPr>
              <w:t>Management</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923</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98</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666</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(41)</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41</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14,051</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10,670</w:t>
            </w:r>
          </w:p>
        </w:tc>
        <w:tc>
          <w:tcPr>
            <w:tcW w:w="0" w:type="dxa"/>
            <w:vAlign w:val="bottom"/>
          </w:tcPr>
          <w:p>
            <w:pPr>
              <w:spacing w:after="0"/>
              <w:rPr>
                <w:sz w:val="1"/>
                <w:szCs w:val="1"/>
                <w:color w:val="auto"/>
              </w:rPr>
            </w:pPr>
          </w:p>
        </w:tc>
      </w:tr>
      <w:tr>
        <w:trPr>
          <w:trHeight w:val="147"/>
        </w:trPr>
        <w:tc>
          <w:tcPr>
            <w:tcW w:w="2380" w:type="dxa"/>
            <w:vAlign w:val="bottom"/>
            <w:gridSpan w:val="2"/>
          </w:tcPr>
          <w:p>
            <w:pPr>
              <w:spacing w:after="0" w:line="147" w:lineRule="exact"/>
              <w:rPr>
                <w:sz w:val="20"/>
                <w:szCs w:val="20"/>
                <w:color w:val="auto"/>
              </w:rPr>
            </w:pPr>
            <w:r>
              <w:rPr>
                <w:rFonts w:ascii="Arial" w:cs="Arial" w:eastAsia="Arial" w:hAnsi="Arial"/>
                <w:sz w:val="13"/>
                <w:szCs w:val="13"/>
                <w:color w:val="auto"/>
              </w:rPr>
              <w:t>Other segments</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453</w:t>
            </w:r>
          </w:p>
        </w:tc>
        <w:tc>
          <w:tcPr>
            <w:tcW w:w="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41</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165</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748</w:t>
            </w: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(127)</w:t>
            </w:r>
          </w:p>
        </w:tc>
        <w:tc>
          <w:tcPr>
            <w:tcW w:w="1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(603)</w:t>
            </w:r>
          </w:p>
        </w:tc>
        <w:tc>
          <w:tcPr>
            <w:tcW w:w="10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3"/>
                <w:szCs w:val="13"/>
                <w:color w:val="auto"/>
              </w:rPr>
              <w:t>61</w:t>
            </w: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3,476</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2,606</w:t>
            </w:r>
          </w:p>
        </w:tc>
        <w:tc>
          <w:tcPr>
            <w:tcW w:w="0" w:type="dxa"/>
            <w:vAlign w:val="bottom"/>
          </w:tcPr>
          <w:p>
            <w:pPr>
              <w:spacing w:after="0"/>
              <w:rPr>
                <w:sz w:val="1"/>
                <w:szCs w:val="1"/>
                <w:color w:val="auto"/>
              </w:rPr>
            </w:pPr>
          </w:p>
        </w:tc>
      </w:tr>
      <w:tr>
        <w:trPr>
          <w:trHeight w:val="167"/>
        </w:trPr>
        <w:tc>
          <w:tcPr>
            <w:tcW w:w="2380" w:type="dxa"/>
            <w:vAlign w:val="bottom"/>
            <w:gridSpan w:val="2"/>
          </w:tcPr>
          <w:p>
            <w:pPr>
              <w:spacing w:after="0"/>
              <w:rPr>
                <w:sz w:val="20"/>
                <w:szCs w:val="20"/>
                <w:color w:val="auto"/>
              </w:rPr>
            </w:pPr>
            <w:r>
              <w:rPr>
                <w:rFonts w:ascii="Arial" w:cs="Arial" w:eastAsia="Arial" w:hAnsi="Arial"/>
                <w:sz w:val="13"/>
                <w:szCs w:val="13"/>
                <w:color w:val="auto"/>
              </w:rPr>
              <w:t>Eliminations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(6,774)</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(4,901)</w:t>
            </w:r>
          </w:p>
        </w:tc>
        <w:tc>
          <w:tcPr>
            <w:tcW w:w="0" w:type="dxa"/>
            <w:vAlign w:val="bottom"/>
          </w:tcPr>
          <w:p>
            <w:pPr>
              <w:spacing w:after="0"/>
              <w:rPr>
                <w:sz w:val="1"/>
                <w:szCs w:val="1"/>
                <w:color w:val="auto"/>
              </w:rPr>
            </w:pPr>
          </w:p>
        </w:tc>
      </w:tr>
      <w:tr>
        <w:trPr>
          <w:trHeight w:val="143"/>
        </w:trPr>
        <w:tc>
          <w:tcPr>
            <w:tcW w:w="238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Total consolidated</w:t>
            </w: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20,919</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725</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11,092</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5,908</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(2,159)</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(636)</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(2,111)</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4,760</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920</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235,414</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205,819</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180" w:hanging="596"/>
        <w:spacing w:after="0"/>
        <w:tabs>
          <w:tab w:leader="none" w:pos="11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Corresponds to total interest and similar income, other income (includes income and expenses on commissions) and technical results.</w:t>
      </w:r>
    </w:p>
    <w:p>
      <w:pPr>
        <w:spacing w:after="0" w:line="15" w:lineRule="exact"/>
        <w:rPr>
          <w:sz w:val="20"/>
          <w:szCs w:val="20"/>
          <w:color w:val="auto"/>
        </w:rPr>
      </w:pPr>
    </w:p>
    <w:p>
      <w:pPr>
        <w:ind w:left="1180" w:hanging="596"/>
        <w:spacing w:after="0"/>
        <w:tabs>
          <w:tab w:leader="none" w:pos="11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Corresponds to income derived from transactions with other segments, which were eliminated in the consolidated statement of income.</w:t>
      </w:r>
    </w:p>
    <w:p>
      <w:pPr>
        <w:ind w:left="5460" w:right="2900" w:hanging="4876"/>
        <w:spacing w:after="0" w:line="466" w:lineRule="auto"/>
        <w:tabs>
          <w:tab w:leader="none" w:pos="116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Corresponds to other income (include income and expenses for commissions) and technical results.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-87630</wp:posOffset>
            </wp:positionV>
            <wp:extent cx="714565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37" w:name="page138"/>
    <w:bookmarkEnd w:id="137"/>
    <w:tbl>
      <w:tblPr>
        <w:tblLayout w:type="fixed"/>
        <w:tblInd w:w="2" w:type="dxa"/>
        <w:tblCellMar>
          <w:top w:w="0" w:type="dxa"/>
          <w:left w:w="0" w:type="dxa"/>
          <w:bottom w:w="0" w:type="dxa"/>
          <w:right w:w="0" w:type="dxa"/>
        </w:tblCellMar>
      </w:tblPr>
      <w:tr>
        <w:trPr>
          <w:trHeight w:val="154"/>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Income (*)</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Net</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interest</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Provision</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Additions of</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From</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similar,</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for credit</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fixed asset,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other</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income</w:t>
            </w:r>
          </w:p>
        </w:tc>
        <w:tc>
          <w:tcPr>
            <w:tcW w:w="8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Other</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losses on</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Depreciation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intangibles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segments</w:t>
            </w:r>
          </w:p>
        </w:tc>
        <w:tc>
          <w:tcPr>
            <w:tcW w:w="86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w:t>
            </w:r>
          </w:p>
        </w:tc>
        <w:tc>
          <w:tcPr>
            <w:tcW w:w="8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income</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loan</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and</w:t>
            </w:r>
          </w:p>
        </w:tc>
        <w:tc>
          <w:tcPr>
            <w:tcW w:w="8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Income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and</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Total</w:t>
            </w:r>
          </w:p>
        </w:tc>
        <w:tc>
          <w:tcPr>
            <w:tcW w:w="76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4"/>
        </w:trPr>
        <w:tc>
          <w:tcPr>
            <w:tcW w:w="1560" w:type="dxa"/>
            <w:vAlign w:val="bottom"/>
          </w:tcPr>
          <w:p>
            <w:pPr>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External</w:t>
            </w:r>
          </w:p>
        </w:tc>
        <w:tc>
          <w:tcPr>
            <w:tcW w:w="7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expenses</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net (***)</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portfolio</w:t>
            </w: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Tax</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Net profit</w:t>
            </w: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goodwill</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assets</w:t>
            </w:r>
          </w:p>
        </w:tc>
        <w:tc>
          <w:tcPr>
            <w:tcW w:w="760" w:type="dxa"/>
            <w:vAlign w:val="bottom"/>
          </w:tcPr>
          <w:p>
            <w:pPr>
              <w:ind w:left="6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31"/>
        </w:trPr>
        <w:tc>
          <w:tcPr>
            <w:tcW w:w="15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Universal Banking</w:t>
            </w: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68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Banco de Crédito del</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8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Perú</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11,143</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368</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6,192</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3,262</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(1,034)</w:t>
            </w: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(441)</w:t>
            </w:r>
          </w:p>
        </w:tc>
        <w:tc>
          <w:tcPr>
            <w:tcW w:w="1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(1,275)</w:t>
            </w:r>
          </w:p>
        </w:tc>
        <w:tc>
          <w:tcPr>
            <w:tcW w:w="1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3,391</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449</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184,740</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166,411</w:t>
            </w:r>
          </w:p>
        </w:tc>
        <w:tc>
          <w:tcPr>
            <w:tcW w:w="0" w:type="dxa"/>
            <w:vAlign w:val="bottom"/>
          </w:tcPr>
          <w:p>
            <w:pPr>
              <w:spacing w:after="0"/>
              <w:rPr>
                <w:sz w:val="1"/>
                <w:szCs w:val="1"/>
                <w:color w:val="auto"/>
              </w:rPr>
            </w:pPr>
          </w:p>
        </w:tc>
      </w:tr>
      <w:tr>
        <w:trPr>
          <w:trHeight w:val="147"/>
        </w:trPr>
        <w:tc>
          <w:tcPr>
            <w:tcW w:w="168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Banco de Crédito de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300"/>
              <w:spacing w:after="0"/>
              <w:rPr>
                <w:sz w:val="20"/>
                <w:szCs w:val="20"/>
                <w:color w:val="auto"/>
              </w:rPr>
            </w:pPr>
            <w:r>
              <w:rPr>
                <w:rFonts w:ascii="Arial" w:cs="Arial" w:eastAsia="Arial" w:hAnsi="Arial"/>
                <w:sz w:val="13"/>
                <w:szCs w:val="13"/>
                <w:color w:val="auto"/>
              </w:rPr>
              <w:t>Bolivia</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13,800</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12,965</w:t>
            </w:r>
          </w:p>
        </w:tc>
        <w:tc>
          <w:tcPr>
            <w:tcW w:w="0" w:type="dxa"/>
            <w:vAlign w:val="bottom"/>
          </w:tcPr>
          <w:p>
            <w:pPr>
              <w:spacing w:after="0"/>
              <w:rPr>
                <w:sz w:val="1"/>
                <w:szCs w:val="1"/>
                <w:color w:val="auto"/>
              </w:rPr>
            </w:pPr>
          </w:p>
        </w:tc>
      </w:tr>
      <w:tr>
        <w:trPr>
          <w:trHeight w:val="164"/>
        </w:trPr>
        <w:tc>
          <w:tcPr>
            <w:tcW w:w="1680" w:type="dxa"/>
            <w:vAlign w:val="bottom"/>
            <w:gridSpan w:val="2"/>
            <w:vMerge w:val="restart"/>
          </w:tcPr>
          <w:p>
            <w:pPr>
              <w:spacing w:after="0"/>
              <w:rPr>
                <w:sz w:val="20"/>
                <w:szCs w:val="20"/>
                <w:color w:val="auto"/>
              </w:rPr>
            </w:pPr>
            <w:r>
              <w:rPr>
                <w:rFonts w:ascii="Arial" w:cs="Arial" w:eastAsia="Arial" w:hAnsi="Arial"/>
                <w:sz w:val="13"/>
                <w:szCs w:val="13"/>
                <w:color w:val="auto"/>
              </w:rPr>
              <w:t>Insurance and Pensions</w:t>
            </w:r>
          </w:p>
        </w:tc>
        <w:tc>
          <w:tcPr>
            <w:tcW w:w="720" w:type="dxa"/>
            <w:vAlign w:val="bottom"/>
          </w:tcPr>
          <w:p>
            <w:pPr>
              <w:jc w:val="right"/>
              <w:spacing w:after="0"/>
              <w:rPr>
                <w:sz w:val="20"/>
                <w:szCs w:val="20"/>
                <w:color w:val="auto"/>
              </w:rPr>
            </w:pPr>
            <w:r>
              <w:rPr>
                <w:rFonts w:ascii="Arial" w:cs="Arial" w:eastAsia="Arial" w:hAnsi="Arial"/>
                <w:sz w:val="13"/>
                <w:szCs w:val="13"/>
                <w:color w:val="auto"/>
              </w:rPr>
              <w:t>12,034</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6,529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3,419</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(1,051)</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3,463</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476</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198,540</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179,376</w:t>
            </w:r>
          </w:p>
        </w:tc>
        <w:tc>
          <w:tcPr>
            <w:tcW w:w="0" w:type="dxa"/>
            <w:vAlign w:val="bottom"/>
          </w:tcPr>
          <w:p>
            <w:pPr>
              <w:spacing w:after="0"/>
              <w:rPr>
                <w:sz w:val="1"/>
                <w:szCs w:val="1"/>
                <w:color w:val="auto"/>
              </w:rPr>
            </w:pPr>
          </w:p>
        </w:tc>
      </w:tr>
      <w:tr>
        <w:trPr>
          <w:trHeight w:val="114"/>
        </w:trPr>
        <w:tc>
          <w:tcPr>
            <w:tcW w:w="16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68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Pacífico Seguros y</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80" w:type="dxa"/>
            <w:vAlign w:val="bottom"/>
            <w:gridSpan w:val="2"/>
          </w:tcPr>
          <w:p>
            <w:pPr>
              <w:ind w:left="300"/>
              <w:spacing w:after="0" w:line="147" w:lineRule="exact"/>
              <w:rPr>
                <w:sz w:val="20"/>
                <w:szCs w:val="20"/>
                <w:color w:val="auto"/>
              </w:rPr>
            </w:pPr>
            <w:r>
              <w:rPr>
                <w:rFonts w:ascii="Arial" w:cs="Arial" w:eastAsia="Arial" w:hAnsi="Arial"/>
                <w:sz w:val="13"/>
                <w:szCs w:val="13"/>
                <w:color w:val="auto"/>
              </w:rPr>
              <w:t>subsidiarias</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3,544</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64</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610</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228</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(57)</w:t>
            </w:r>
          </w:p>
        </w:tc>
        <w:tc>
          <w:tcPr>
            <w:tcW w:w="1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(130)</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81</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16,491</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14,194</w:t>
            </w:r>
          </w:p>
        </w:tc>
        <w:tc>
          <w:tcPr>
            <w:tcW w:w="0" w:type="dxa"/>
            <w:vAlign w:val="bottom"/>
          </w:tcPr>
          <w:p>
            <w:pPr>
              <w:spacing w:after="0"/>
              <w:rPr>
                <w:sz w:val="1"/>
                <w:szCs w:val="1"/>
                <w:color w:val="auto"/>
              </w:rPr>
            </w:pPr>
          </w:p>
        </w:tc>
      </w:tr>
      <w:tr>
        <w:trPr>
          <w:trHeight w:val="167"/>
        </w:trPr>
        <w:tc>
          <w:tcPr>
            <w:tcW w:w="1680" w:type="dxa"/>
            <w:vAlign w:val="bottom"/>
            <w:gridSpan w:val="2"/>
          </w:tcPr>
          <w:p>
            <w:pPr>
              <w:ind w:left="140"/>
              <w:spacing w:after="0"/>
              <w:rPr>
                <w:sz w:val="20"/>
                <w:szCs w:val="20"/>
                <w:color w:val="auto"/>
              </w:rPr>
            </w:pPr>
            <w:r>
              <w:rPr>
                <w:rFonts w:ascii="Arial" w:cs="Arial" w:eastAsia="Arial" w:hAnsi="Arial"/>
                <w:sz w:val="13"/>
                <w:szCs w:val="13"/>
                <w:color w:val="auto"/>
              </w:rPr>
              <w:t>Prima AFP</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840</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64"/>
        </w:trPr>
        <w:tc>
          <w:tcPr>
            <w:tcW w:w="1680" w:type="dxa"/>
            <w:vAlign w:val="bottom"/>
            <w:gridSpan w:val="2"/>
            <w:vMerge w:val="restart"/>
          </w:tcPr>
          <w:p>
            <w:pPr>
              <w:spacing w:after="0"/>
              <w:rPr>
                <w:sz w:val="20"/>
                <w:szCs w:val="20"/>
                <w:color w:val="auto"/>
              </w:rPr>
            </w:pPr>
            <w:r>
              <w:rPr>
                <w:rFonts w:ascii="Arial" w:cs="Arial" w:eastAsia="Arial" w:hAnsi="Arial"/>
                <w:sz w:val="13"/>
                <w:szCs w:val="13"/>
                <w:color w:val="auto"/>
              </w:rPr>
              <w:t>Microfinance</w:t>
            </w:r>
          </w:p>
        </w:tc>
        <w:tc>
          <w:tcPr>
            <w:tcW w:w="720" w:type="dxa"/>
            <w:vAlign w:val="bottom"/>
          </w:tcPr>
          <w:p>
            <w:pPr>
              <w:jc w:val="right"/>
              <w:spacing w:after="0"/>
              <w:rPr>
                <w:sz w:val="20"/>
                <w:szCs w:val="20"/>
                <w:color w:val="auto"/>
              </w:rPr>
            </w:pPr>
            <w:r>
              <w:rPr>
                <w:rFonts w:ascii="Arial" w:cs="Arial" w:eastAsia="Arial" w:hAnsi="Arial"/>
                <w:sz w:val="13"/>
                <w:szCs w:val="13"/>
                <w:color w:val="auto"/>
              </w:rPr>
              <w:t>3,951</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634</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17,331</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14,459</w:t>
            </w:r>
          </w:p>
        </w:tc>
        <w:tc>
          <w:tcPr>
            <w:tcW w:w="0" w:type="dxa"/>
            <w:vAlign w:val="bottom"/>
          </w:tcPr>
          <w:p>
            <w:pPr>
              <w:spacing w:after="0"/>
              <w:rPr>
                <w:sz w:val="1"/>
                <w:szCs w:val="1"/>
                <w:color w:val="auto"/>
              </w:rPr>
            </w:pPr>
          </w:p>
        </w:tc>
      </w:tr>
      <w:tr>
        <w:trPr>
          <w:trHeight w:val="114"/>
        </w:trPr>
        <w:tc>
          <w:tcPr>
            <w:tcW w:w="16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68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Mibanco</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2,114</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1,860</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(504)</w:t>
            </w: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(78)</w:t>
            </w:r>
          </w:p>
        </w:tc>
        <w:tc>
          <w:tcPr>
            <w:tcW w:w="1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(143)</w:t>
            </w:r>
          </w:p>
        </w:tc>
        <w:tc>
          <w:tcPr>
            <w:tcW w:w="1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266</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50</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16,163</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13,800</w:t>
            </w:r>
          </w:p>
        </w:tc>
        <w:tc>
          <w:tcPr>
            <w:tcW w:w="0" w:type="dxa"/>
            <w:vAlign w:val="bottom"/>
          </w:tcPr>
          <w:p>
            <w:pPr>
              <w:spacing w:after="0"/>
              <w:rPr>
                <w:sz w:val="1"/>
                <w:szCs w:val="1"/>
                <w:color w:val="auto"/>
              </w:rPr>
            </w:pPr>
          </w:p>
        </w:tc>
      </w:tr>
      <w:tr>
        <w:trPr>
          <w:trHeight w:val="167"/>
        </w:trPr>
        <w:tc>
          <w:tcPr>
            <w:tcW w:w="1680" w:type="dxa"/>
            <w:vAlign w:val="bottom"/>
            <w:gridSpan w:val="2"/>
          </w:tcPr>
          <w:p>
            <w:pPr>
              <w:ind w:left="140"/>
              <w:spacing w:after="0"/>
              <w:rPr>
                <w:sz w:val="20"/>
                <w:szCs w:val="20"/>
                <w:color w:val="auto"/>
              </w:rPr>
            </w:pPr>
            <w:r>
              <w:rPr>
                <w:rFonts w:ascii="Arial" w:cs="Arial" w:eastAsia="Arial" w:hAnsi="Arial"/>
                <w:sz w:val="13"/>
                <w:szCs w:val="13"/>
                <w:color w:val="auto"/>
              </w:rPr>
              <w:t>Mibanco Colombia (****)</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1,393</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1,159</w:t>
            </w:r>
          </w:p>
        </w:tc>
        <w:tc>
          <w:tcPr>
            <w:tcW w:w="0" w:type="dxa"/>
            <w:vAlign w:val="bottom"/>
          </w:tcPr>
          <w:p>
            <w:pPr>
              <w:spacing w:after="0"/>
              <w:rPr>
                <w:sz w:val="1"/>
                <w:szCs w:val="1"/>
                <w:color w:val="auto"/>
              </w:rPr>
            </w:pPr>
          </w:p>
        </w:tc>
      </w:tr>
      <w:tr>
        <w:trPr>
          <w:trHeight w:val="164"/>
        </w:trPr>
        <w:tc>
          <w:tcPr>
            <w:tcW w:w="1680" w:type="dxa"/>
            <w:vAlign w:val="bottom"/>
            <w:gridSpan w:val="2"/>
            <w:vMerge w:val="restart"/>
          </w:tcPr>
          <w:p>
            <w:pPr>
              <w:spacing w:after="0"/>
              <w:rPr>
                <w:sz w:val="20"/>
                <w:szCs w:val="20"/>
                <w:color w:val="auto"/>
              </w:rPr>
            </w:pPr>
            <w:r>
              <w:rPr>
                <w:rFonts w:ascii="Arial" w:cs="Arial" w:eastAsia="Arial" w:hAnsi="Arial"/>
                <w:sz w:val="13"/>
                <w:szCs w:val="13"/>
                <w:color w:val="auto"/>
              </w:rPr>
              <w:t>Investment Banking and</w:t>
            </w:r>
          </w:p>
        </w:tc>
        <w:tc>
          <w:tcPr>
            <w:tcW w:w="720" w:type="dxa"/>
            <w:vAlign w:val="bottom"/>
          </w:tcPr>
          <w:p>
            <w:pPr>
              <w:jc w:val="right"/>
              <w:spacing w:after="0"/>
              <w:rPr>
                <w:sz w:val="20"/>
                <w:szCs w:val="20"/>
                <w:color w:val="auto"/>
              </w:rPr>
            </w:pPr>
            <w:r>
              <w:rPr>
                <w:rFonts w:ascii="Arial" w:cs="Arial" w:eastAsia="Arial" w:hAnsi="Arial"/>
                <w:sz w:val="13"/>
                <w:szCs w:val="13"/>
                <w:color w:val="auto"/>
              </w:rPr>
              <w:t>2,416</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2,089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(508)</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17,556</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14,959</w:t>
            </w:r>
          </w:p>
        </w:tc>
        <w:tc>
          <w:tcPr>
            <w:tcW w:w="0" w:type="dxa"/>
            <w:vAlign w:val="bottom"/>
          </w:tcPr>
          <w:p>
            <w:pPr>
              <w:spacing w:after="0"/>
              <w:rPr>
                <w:sz w:val="1"/>
                <w:szCs w:val="1"/>
                <w:color w:val="auto"/>
              </w:rPr>
            </w:pPr>
          </w:p>
        </w:tc>
      </w:tr>
      <w:tr>
        <w:trPr>
          <w:trHeight w:val="114"/>
        </w:trPr>
        <w:tc>
          <w:tcPr>
            <w:tcW w:w="16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680" w:type="dxa"/>
            <w:vAlign w:val="bottom"/>
            <w:gridSpan w:val="2"/>
          </w:tcPr>
          <w:p>
            <w:pPr>
              <w:spacing w:after="0" w:line="147" w:lineRule="exact"/>
              <w:rPr>
                <w:sz w:val="20"/>
                <w:szCs w:val="20"/>
                <w:color w:val="auto"/>
              </w:rPr>
            </w:pPr>
            <w:r>
              <w:rPr>
                <w:rFonts w:ascii="Arial" w:cs="Arial" w:eastAsia="Arial" w:hAnsi="Arial"/>
                <w:sz w:val="13"/>
                <w:szCs w:val="13"/>
                <w:color w:val="auto"/>
              </w:rPr>
              <w:t>Wealth Management</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866</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73</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89</w:t>
            </w:r>
          </w:p>
        </w:tc>
        <w:tc>
          <w:tcPr>
            <w:tcW w:w="10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767</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3"/>
                <w:szCs w:val="13"/>
                <w:color w:val="auto"/>
              </w:rPr>
              <w:t>(45)</w:t>
            </w:r>
          </w:p>
        </w:tc>
        <w:tc>
          <w:tcPr>
            <w:tcW w:w="1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147</w:t>
            </w: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14,744</w:t>
            </w: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12,990</w:t>
            </w:r>
          </w:p>
        </w:tc>
        <w:tc>
          <w:tcPr>
            <w:tcW w:w="0" w:type="dxa"/>
            <w:vAlign w:val="bottom"/>
          </w:tcPr>
          <w:p>
            <w:pPr>
              <w:spacing w:after="0"/>
              <w:rPr>
                <w:sz w:val="1"/>
                <w:szCs w:val="1"/>
                <w:color w:val="auto"/>
              </w:rPr>
            </w:pPr>
          </w:p>
        </w:tc>
      </w:tr>
      <w:tr>
        <w:trPr>
          <w:trHeight w:val="138"/>
        </w:trPr>
        <w:tc>
          <w:tcPr>
            <w:tcW w:w="1680" w:type="dxa"/>
            <w:vAlign w:val="bottom"/>
            <w:gridSpan w:val="2"/>
          </w:tcPr>
          <w:p>
            <w:pPr>
              <w:spacing w:after="0" w:line="138" w:lineRule="exact"/>
              <w:rPr>
                <w:sz w:val="20"/>
                <w:szCs w:val="20"/>
                <w:color w:val="auto"/>
              </w:rPr>
            </w:pPr>
            <w:r>
              <w:rPr>
                <w:rFonts w:ascii="Arial" w:cs="Arial" w:eastAsia="Arial" w:hAnsi="Arial"/>
                <w:sz w:val="13"/>
                <w:szCs w:val="13"/>
                <w:color w:val="auto"/>
              </w:rPr>
              <w:t>Other segments</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182</w:t>
            </w:r>
          </w:p>
        </w:tc>
        <w:tc>
          <w:tcPr>
            <w:tcW w:w="10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33</w:t>
            </w:r>
          </w:p>
        </w:tc>
        <w:tc>
          <w:tcPr>
            <w:tcW w:w="10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47</w:t>
            </w:r>
          </w:p>
        </w:tc>
        <w:tc>
          <w:tcPr>
            <w:tcW w:w="1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80</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(69)</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(263)</w:t>
            </w:r>
          </w:p>
        </w:tc>
        <w:tc>
          <w:tcPr>
            <w:tcW w:w="10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3,377</w:t>
            </w:r>
          </w:p>
        </w:tc>
        <w:tc>
          <w:tcPr>
            <w:tcW w:w="12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2,634</w:t>
            </w:r>
          </w:p>
        </w:tc>
        <w:tc>
          <w:tcPr>
            <w:tcW w:w="0" w:type="dxa"/>
            <w:vAlign w:val="bottom"/>
          </w:tcPr>
          <w:p>
            <w:pPr>
              <w:spacing w:after="0"/>
              <w:rPr>
                <w:sz w:val="1"/>
                <w:szCs w:val="1"/>
                <w:color w:val="auto"/>
              </w:rPr>
            </w:pPr>
          </w:p>
        </w:tc>
      </w:tr>
      <w:tr>
        <w:trPr>
          <w:trHeight w:val="200"/>
        </w:trPr>
        <w:tc>
          <w:tcPr>
            <w:tcW w:w="1680" w:type="dxa"/>
            <w:vAlign w:val="bottom"/>
            <w:gridSpan w:val="2"/>
          </w:tcPr>
          <w:p>
            <w:pPr>
              <w:spacing w:after="0"/>
              <w:rPr>
                <w:sz w:val="20"/>
                <w:szCs w:val="20"/>
                <w:color w:val="auto"/>
              </w:rPr>
            </w:pPr>
            <w:r>
              <w:rPr>
                <w:rFonts w:ascii="Arial" w:cs="Arial" w:eastAsia="Arial" w:hAnsi="Arial"/>
                <w:sz w:val="13"/>
                <w:szCs w:val="13"/>
                <w:color w:val="auto"/>
              </w:rPr>
              <w:t>Eliminations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(6,701)</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(6,609</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3"/>
        </w:trPr>
        <w:tc>
          <w:tcPr>
            <w:tcW w:w="168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Total consolidated</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19,449</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549</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9,360</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4,923</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(1,559)</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(683)</w:t>
            </w:r>
          </w:p>
        </w:tc>
        <w:tc>
          <w:tcPr>
            <w:tcW w:w="1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(1,661)</w:t>
            </w:r>
          </w:p>
        </w:tc>
        <w:tc>
          <w:tcPr>
            <w:tcW w:w="1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3,672</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640</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244,847</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217,809</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702" w:hanging="409"/>
        <w:spacing w:after="0"/>
        <w:tabs>
          <w:tab w:leader="none" w:pos="70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Corresponds to total interest and similar income, other income (includes income and expenses on commissions) and technical results.</w:t>
      </w:r>
    </w:p>
    <w:p>
      <w:pPr>
        <w:spacing w:after="0" w:line="15" w:lineRule="exact"/>
        <w:rPr>
          <w:sz w:val="20"/>
          <w:szCs w:val="20"/>
          <w:color w:val="auto"/>
        </w:rPr>
      </w:pPr>
    </w:p>
    <w:p>
      <w:pPr>
        <w:ind w:left="302" w:right="860" w:hanging="9"/>
        <w:spacing w:after="0" w:line="259" w:lineRule="auto"/>
        <w:tabs>
          <w:tab w:leader="none" w:pos="705" w:val="left"/>
        </w:tabs>
        <w:numPr>
          <w:ilvl w:val="1"/>
          <w:numId w:val="155"/>
        </w:numPr>
        <w:rPr>
          <w:rFonts w:ascii="Arial" w:cs="Arial" w:eastAsia="Arial" w:hAnsi="Arial"/>
          <w:sz w:val="16"/>
          <w:szCs w:val="16"/>
          <w:color w:val="auto"/>
        </w:rPr>
      </w:pPr>
      <w:r>
        <w:rPr>
          <w:rFonts w:ascii="Arial" w:cs="Arial" w:eastAsia="Arial" w:hAnsi="Arial"/>
          <w:sz w:val="16"/>
          <w:szCs w:val="16"/>
          <w:color w:val="auto"/>
        </w:rPr>
        <w:t>Corresponds to income derived from transactions with other segments, which were eliminated in the consolidated statement of income. (***) Corresponds to other income (include income and expenses for commissions) and technical results.</w:t>
      </w:r>
    </w:p>
    <w:p>
      <w:pPr>
        <w:spacing w:after="0" w:line="136" w:lineRule="exact"/>
        <w:rPr>
          <w:rFonts w:ascii="Arial" w:cs="Arial" w:eastAsia="Arial" w:hAnsi="Arial"/>
          <w:sz w:val="16"/>
          <w:szCs w:val="16"/>
          <w:color w:val="auto"/>
        </w:rPr>
      </w:pPr>
    </w:p>
    <w:p>
      <w:pPr>
        <w:ind w:left="302" w:right="600" w:hanging="302"/>
        <w:spacing w:after="0" w:line="280" w:lineRule="auto"/>
        <w:tabs>
          <w:tab w:leader="none" w:pos="30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following table presents (in millions of soles) the distribution of the total revenue, operating revenue and non-current assets of the Group; all assigned based on the location of the clients and assets, respectively, as of December 31, 2023, 2022 and 2021:</w:t>
      </w:r>
    </w:p>
    <w:p>
      <w:pPr>
        <w:spacing w:after="0" w:line="142" w:lineRule="exact"/>
        <w:rPr>
          <w:sz w:val="20"/>
          <w:szCs w:val="20"/>
          <w:color w:val="auto"/>
        </w:rPr>
      </w:pPr>
    </w:p>
    <w:tbl>
      <w:tblPr>
        <w:tblLayout w:type="fixed"/>
        <w:tblInd w:w="2" w:type="dxa"/>
        <w:tblCellMar>
          <w:top w:w="0" w:type="dxa"/>
          <w:left w:w="0" w:type="dxa"/>
          <w:bottom w:w="0" w:type="dxa"/>
          <w:right w:w="0" w:type="dxa"/>
        </w:tblCellMar>
      </w:tblPr>
      <w:tr>
        <w:trPr>
          <w:trHeight w:val="154"/>
        </w:trPr>
        <w:tc>
          <w:tcPr>
            <w:tcW w:w="1840" w:type="dxa"/>
            <w:vAlign w:val="bottom"/>
          </w:tcPr>
          <w:p>
            <w:pPr>
              <w:spacing w:after="0"/>
              <w:rPr>
                <w:sz w:val="13"/>
                <w:szCs w:val="13"/>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Total</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Total</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Total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current</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40" w:type="dxa"/>
            <w:vAlign w:val="bottom"/>
          </w:tcPr>
          <w:p>
            <w:pPr>
              <w:spacing w:after="0"/>
              <w:rPr>
                <w:sz w:val="12"/>
                <w:szCs w:val="12"/>
                <w:color w:val="auto"/>
              </w:rPr>
            </w:pP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Operate</w:t>
            </w:r>
          </w:p>
        </w:tc>
        <w:tc>
          <w:tcPr>
            <w:tcW w:w="8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current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Operate</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current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Operate</w:t>
            </w: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non</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40" w:type="dxa"/>
            <w:vAlign w:val="bottom"/>
          </w:tcPr>
          <w:p>
            <w:pPr>
              <w:spacing w:after="0"/>
              <w:rPr>
                <w:sz w:val="12"/>
                <w:szCs w:val="12"/>
                <w:color w:val="auto"/>
              </w:rPr>
            </w:pP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income</w:t>
            </w: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Income</w:t>
            </w:r>
          </w:p>
        </w:tc>
        <w:tc>
          <w:tcPr>
            <w:tcW w:w="8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non</w:t>
            </w:r>
          </w:p>
        </w:tc>
        <w:tc>
          <w:tcPr>
            <w:tcW w:w="8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income</w:t>
            </w: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Income</w:t>
            </w:r>
          </w:p>
        </w:tc>
        <w:tc>
          <w:tcPr>
            <w:tcW w:w="86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non</w:t>
            </w: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income</w:t>
            </w: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Income</w:t>
            </w:r>
          </w:p>
        </w:tc>
        <w:tc>
          <w:tcPr>
            <w:tcW w:w="78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assets</w:t>
            </w:r>
          </w:p>
        </w:tc>
        <w:tc>
          <w:tcPr>
            <w:tcW w:w="680" w:type="dxa"/>
            <w:vAlign w:val="bottom"/>
          </w:tcPr>
          <w:p>
            <w:pPr>
              <w:ind w:left="40"/>
              <w:spacing w:after="0" w:line="147"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4"/>
        </w:trPr>
        <w:tc>
          <w:tcPr>
            <w:tcW w:w="1840" w:type="dxa"/>
            <w:vAlign w:val="bottom"/>
            <w:vMerge w:val="restart"/>
          </w:tcPr>
          <w:p>
            <w:pPr>
              <w:spacing w:after="0"/>
              <w:rPr>
                <w:sz w:val="20"/>
                <w:szCs w:val="20"/>
                <w:color w:val="auto"/>
              </w:rPr>
            </w:pPr>
            <w:r>
              <w:rPr>
                <w:rFonts w:ascii="Arial" w:cs="Arial" w:eastAsia="Arial" w:hAnsi="Arial"/>
                <w:sz w:val="13"/>
                <w:szCs w:val="13"/>
                <w:color w:val="auto"/>
              </w:rPr>
              <w:t>Perú</w:t>
            </w: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assets(***)</w:t>
            </w: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assets(***)</w:t>
            </w: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liabilities</w:t>
            </w: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31"/>
        </w:trPr>
        <w:tc>
          <w:tcPr>
            <w:tcW w:w="1840" w:type="dxa"/>
            <w:vAlign w:val="bottom"/>
            <w:vMerge w:val="continue"/>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17,279</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11,922</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4,648</w:t>
            </w:r>
          </w:p>
        </w:tc>
        <w:tc>
          <w:tcPr>
            <w:tcW w:w="100" w:type="dxa"/>
            <w:vAlign w:val="bottom"/>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180,268</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14,053</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10,430</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4,325</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179,855</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17,330</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8,682</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3,773</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188,505</w:t>
            </w:r>
          </w:p>
        </w:tc>
        <w:tc>
          <w:tcPr>
            <w:tcW w:w="0" w:type="dxa"/>
            <w:vAlign w:val="bottom"/>
          </w:tcPr>
          <w:p>
            <w:pPr>
              <w:spacing w:after="0"/>
              <w:rPr>
                <w:sz w:val="1"/>
                <w:szCs w:val="1"/>
                <w:color w:val="auto"/>
              </w:rPr>
            </w:pPr>
          </w:p>
        </w:tc>
      </w:tr>
      <w:tr>
        <w:trPr>
          <w:trHeight w:val="147"/>
        </w:trPr>
        <w:tc>
          <w:tcPr>
            <w:tcW w:w="1840" w:type="dxa"/>
            <w:vAlign w:val="bottom"/>
          </w:tcPr>
          <w:p>
            <w:pPr>
              <w:spacing w:after="0" w:line="147" w:lineRule="exact"/>
              <w:rPr>
                <w:sz w:val="20"/>
                <w:szCs w:val="20"/>
                <w:color w:val="auto"/>
              </w:rPr>
            </w:pPr>
            <w:r>
              <w:rPr>
                <w:rFonts w:ascii="Arial" w:cs="Arial" w:eastAsia="Arial" w:hAnsi="Arial"/>
                <w:sz w:val="13"/>
                <w:szCs w:val="13"/>
                <w:color w:val="auto"/>
              </w:rPr>
              <w:t>Bermudas</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5,394</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(45)</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2,086</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5,151</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(28)</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134</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2,123</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18</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(17)</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134</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2,174</w:t>
            </w:r>
          </w:p>
        </w:tc>
        <w:tc>
          <w:tcPr>
            <w:tcW w:w="0" w:type="dxa"/>
            <w:vAlign w:val="bottom"/>
          </w:tcPr>
          <w:p>
            <w:pPr>
              <w:spacing w:after="0"/>
              <w:rPr>
                <w:sz w:val="1"/>
                <w:szCs w:val="1"/>
                <w:color w:val="auto"/>
              </w:rPr>
            </w:pPr>
          </w:p>
        </w:tc>
      </w:tr>
      <w:tr>
        <w:trPr>
          <w:trHeight w:val="147"/>
        </w:trPr>
        <w:tc>
          <w:tcPr>
            <w:tcW w:w="1840" w:type="dxa"/>
            <w:vAlign w:val="bottom"/>
          </w:tcPr>
          <w:p>
            <w:pPr>
              <w:spacing w:after="0" w:line="147" w:lineRule="exact"/>
              <w:rPr>
                <w:sz w:val="20"/>
                <w:szCs w:val="20"/>
                <w:color w:val="auto"/>
              </w:rPr>
            </w:pPr>
            <w:r>
              <w:rPr>
                <w:rFonts w:ascii="Arial" w:cs="Arial" w:eastAsia="Arial" w:hAnsi="Arial"/>
                <w:sz w:val="13"/>
                <w:szCs w:val="13"/>
                <w:color w:val="auto"/>
              </w:rPr>
              <w:t>Panamá</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384</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174</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5,580</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295</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105</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8,384</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309</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103</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30</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10,389</w:t>
            </w:r>
          </w:p>
        </w:tc>
        <w:tc>
          <w:tcPr>
            <w:tcW w:w="0" w:type="dxa"/>
            <w:vAlign w:val="bottom"/>
          </w:tcPr>
          <w:p>
            <w:pPr>
              <w:spacing w:after="0"/>
              <w:rPr>
                <w:sz w:val="1"/>
                <w:szCs w:val="1"/>
                <w:color w:val="auto"/>
              </w:rPr>
            </w:pPr>
          </w:p>
        </w:tc>
      </w:tr>
      <w:tr>
        <w:trPr>
          <w:trHeight w:val="147"/>
        </w:trPr>
        <w:tc>
          <w:tcPr>
            <w:tcW w:w="1840" w:type="dxa"/>
            <w:vAlign w:val="bottom"/>
          </w:tcPr>
          <w:p>
            <w:pPr>
              <w:spacing w:after="0" w:line="147" w:lineRule="exact"/>
              <w:rPr>
                <w:sz w:val="20"/>
                <w:szCs w:val="20"/>
                <w:color w:val="auto"/>
              </w:rPr>
            </w:pPr>
            <w:r>
              <w:rPr>
                <w:rFonts w:ascii="Arial" w:cs="Arial" w:eastAsia="Arial" w:hAnsi="Arial"/>
                <w:sz w:val="13"/>
                <w:szCs w:val="13"/>
                <w:color w:val="auto"/>
              </w:rPr>
              <w:t>Cayman Islands</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502</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358</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154</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72</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72</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139</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17</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7"/>
        </w:trPr>
        <w:tc>
          <w:tcPr>
            <w:tcW w:w="1840" w:type="dxa"/>
            <w:vAlign w:val="bottom"/>
          </w:tcPr>
          <w:p>
            <w:pPr>
              <w:spacing w:after="0" w:line="147" w:lineRule="exact"/>
              <w:rPr>
                <w:sz w:val="20"/>
                <w:szCs w:val="20"/>
                <w:color w:val="auto"/>
              </w:rPr>
            </w:pPr>
            <w:r>
              <w:rPr>
                <w:rFonts w:ascii="Arial" w:cs="Arial" w:eastAsia="Arial" w:hAnsi="Arial"/>
                <w:sz w:val="13"/>
                <w:szCs w:val="13"/>
                <w:color w:val="auto"/>
              </w:rPr>
              <w:t>Bolivia</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1,082</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328</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122</w:t>
            </w:r>
          </w:p>
        </w:tc>
        <w:tc>
          <w:tcPr>
            <w:tcW w:w="1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12,784</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960</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377</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113</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11,885</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978</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373</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121</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13,012</w:t>
            </w:r>
          </w:p>
        </w:tc>
        <w:tc>
          <w:tcPr>
            <w:tcW w:w="0" w:type="dxa"/>
            <w:vAlign w:val="bottom"/>
          </w:tcPr>
          <w:p>
            <w:pPr>
              <w:spacing w:after="0"/>
              <w:rPr>
                <w:sz w:val="1"/>
                <w:szCs w:val="1"/>
                <w:color w:val="auto"/>
              </w:rPr>
            </w:pPr>
          </w:p>
        </w:tc>
      </w:tr>
      <w:tr>
        <w:trPr>
          <w:trHeight w:val="147"/>
        </w:trPr>
        <w:tc>
          <w:tcPr>
            <w:tcW w:w="1840" w:type="dxa"/>
            <w:vAlign w:val="bottom"/>
          </w:tcPr>
          <w:p>
            <w:pPr>
              <w:spacing w:after="0" w:line="147" w:lineRule="exact"/>
              <w:rPr>
                <w:sz w:val="20"/>
                <w:szCs w:val="20"/>
                <w:color w:val="auto"/>
              </w:rPr>
            </w:pPr>
            <w:r>
              <w:rPr>
                <w:rFonts w:ascii="Arial" w:cs="Arial" w:eastAsia="Arial" w:hAnsi="Arial"/>
                <w:sz w:val="13"/>
                <w:szCs w:val="13"/>
                <w:color w:val="auto"/>
              </w:rPr>
              <w:t>Colombia</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855</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199</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193</w:t>
            </w:r>
          </w:p>
        </w:tc>
        <w:tc>
          <w:tcPr>
            <w:tcW w:w="1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4,060</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193</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132</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22</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2,283</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601</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213</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415</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2,610</w:t>
            </w:r>
          </w:p>
        </w:tc>
        <w:tc>
          <w:tcPr>
            <w:tcW w:w="0" w:type="dxa"/>
            <w:vAlign w:val="bottom"/>
          </w:tcPr>
          <w:p>
            <w:pPr>
              <w:spacing w:after="0"/>
              <w:rPr>
                <w:sz w:val="1"/>
                <w:szCs w:val="1"/>
                <w:color w:val="auto"/>
              </w:rPr>
            </w:pPr>
          </w:p>
        </w:tc>
      </w:tr>
      <w:tr>
        <w:trPr>
          <w:trHeight w:val="147"/>
        </w:trPr>
        <w:tc>
          <w:tcPr>
            <w:tcW w:w="1840" w:type="dxa"/>
            <w:vAlign w:val="bottom"/>
          </w:tcPr>
          <w:p>
            <w:pPr>
              <w:spacing w:after="0" w:line="147" w:lineRule="exact"/>
              <w:rPr>
                <w:sz w:val="20"/>
                <w:szCs w:val="20"/>
                <w:color w:val="auto"/>
              </w:rPr>
            </w:pPr>
            <w:r>
              <w:rPr>
                <w:rFonts w:ascii="Arial" w:cs="Arial" w:eastAsia="Arial" w:hAnsi="Arial"/>
                <w:sz w:val="13"/>
                <w:szCs w:val="13"/>
                <w:color w:val="auto"/>
              </w:rPr>
              <w:t>United States of America</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33</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7"/>
        </w:trPr>
        <w:tc>
          <w:tcPr>
            <w:tcW w:w="1840" w:type="dxa"/>
            <w:vAlign w:val="bottom"/>
          </w:tcPr>
          <w:p>
            <w:pPr>
              <w:spacing w:after="0" w:line="147" w:lineRule="exact"/>
              <w:rPr>
                <w:sz w:val="20"/>
                <w:szCs w:val="20"/>
                <w:color w:val="auto"/>
              </w:rPr>
            </w:pPr>
            <w:r>
              <w:rPr>
                <w:rFonts w:ascii="Arial" w:cs="Arial" w:eastAsia="Arial" w:hAnsi="Arial"/>
                <w:sz w:val="13"/>
                <w:szCs w:val="13"/>
                <w:color w:val="auto"/>
              </w:rPr>
              <w:t>Chile</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129</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75</w:t>
            </w:r>
          </w:p>
        </w:tc>
        <w:tc>
          <w:tcPr>
            <w:tcW w:w="1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778</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187</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119</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1,132</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166</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131</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1,026</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20"/>
                <w:szCs w:val="20"/>
                <w:color w:val="auto"/>
              </w:rPr>
            </w:pPr>
            <w:r>
              <w:rPr>
                <w:rFonts w:ascii="Arial" w:cs="Arial" w:eastAsia="Arial" w:hAnsi="Arial"/>
                <w:sz w:val="13"/>
                <w:szCs w:val="13"/>
                <w:color w:val="auto"/>
              </w:rPr>
              <w:t>Others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1840" w:type="dxa"/>
            <w:vAlign w:val="bottom"/>
          </w:tcPr>
          <w:p>
            <w:pPr>
              <w:spacing w:after="0" w:line="139" w:lineRule="exact"/>
              <w:rPr>
                <w:sz w:val="20"/>
                <w:szCs w:val="20"/>
                <w:color w:val="auto"/>
              </w:rPr>
            </w:pPr>
            <w:r>
              <w:rPr>
                <w:rFonts w:ascii="Arial" w:cs="Arial" w:eastAsia="Arial" w:hAnsi="Arial"/>
                <w:sz w:val="13"/>
                <w:szCs w:val="13"/>
                <w:b w:val="1"/>
                <w:bCs w:val="1"/>
                <w:color w:val="auto"/>
              </w:rPr>
              <w:t>Total consolidated</w:t>
            </w: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25,665</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12,938</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5,083</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205,733</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20,919</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11,092</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4,724</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205,819</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19,452</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9,356</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4,605</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217,809</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702" w:hanging="409"/>
        <w:spacing w:after="0"/>
        <w:tabs>
          <w:tab w:leader="none" w:pos="70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Including total interest and similar income, other income and net premiums earned from insurance activities.</w:t>
      </w:r>
    </w:p>
    <w:p>
      <w:pPr>
        <w:spacing w:after="0" w:line="15" w:lineRule="exact"/>
        <w:rPr>
          <w:sz w:val="20"/>
          <w:szCs w:val="20"/>
          <w:color w:val="auto"/>
        </w:rPr>
      </w:pPr>
    </w:p>
    <w:p>
      <w:pPr>
        <w:ind w:left="702" w:hanging="409"/>
        <w:spacing w:after="0"/>
        <w:tabs>
          <w:tab w:leader="none" w:pos="70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Operating income includes the income from interest and similar expenses from banking activities and insurance underwriting result.</w:t>
      </w:r>
    </w:p>
    <w:p>
      <w:pPr>
        <w:ind w:left="702" w:hanging="409"/>
        <w:spacing w:after="0"/>
        <w:tabs>
          <w:tab w:leader="none" w:pos="70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Non-current assets consist of property, furniture and equipment (fixed assets), intangible assets and goodwill and right-for-use assets, net.</w:t>
      </w:r>
    </w:p>
    <w:p>
      <w:pPr>
        <w:spacing w:after="0" w:line="142" w:lineRule="exact"/>
        <w:rPr>
          <w:rFonts w:ascii="Arial" w:cs="Arial" w:eastAsia="Arial" w:hAnsi="Arial"/>
          <w:sz w:val="16"/>
          <w:szCs w:val="16"/>
          <w:color w:val="auto"/>
        </w:rPr>
      </w:pPr>
    </w:p>
    <w:p>
      <w:pPr>
        <w:ind w:left="5462"/>
        <w:spacing w:after="0"/>
        <w:rPr>
          <w:rFonts w:ascii="Arial" w:cs="Arial" w:eastAsia="Arial" w:hAnsi="Arial"/>
          <w:sz w:val="16"/>
          <w:szCs w:val="16"/>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2"/>
          </w:cols>
          <w:pgMar w:left="318" w:top="144" w:right="319" w:bottom="1440" w:gutter="0" w:footer="0" w:header="0"/>
        </w:sectPr>
      </w:pPr>
    </w:p>
    <w:bookmarkStart w:id="138" w:name="page139"/>
    <w:bookmarkEnd w:id="138"/>
    <w:p>
      <w:pPr>
        <w:ind w:left="582" w:hanging="582"/>
        <w:spacing w:after="0"/>
        <w:tabs>
          <w:tab w:leader="none" w:pos="582"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TRANSACTIONS AND BALANCES WITH RELATED PARTIES</w:t>
      </w:r>
    </w:p>
    <w:p>
      <w:pPr>
        <w:spacing w:after="0" w:line="181" w:lineRule="exact"/>
        <w:rPr>
          <w:rFonts w:ascii="Arial" w:cs="Arial" w:eastAsia="Arial" w:hAnsi="Arial"/>
          <w:sz w:val="16"/>
          <w:szCs w:val="16"/>
          <w:b w:val="1"/>
          <w:bCs w:val="1"/>
          <w:color w:val="auto"/>
        </w:rPr>
      </w:pPr>
    </w:p>
    <w:p>
      <w:pPr>
        <w:ind w:left="1182" w:right="160" w:hanging="596"/>
        <w:spacing w:after="0" w:line="259" w:lineRule="auto"/>
        <w:tabs>
          <w:tab w:leader="none" w:pos="118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Group’s consolidated financial statements as of December 31, 2023 and 2022 include transactions with related companies, the Board of Directors, the Group’s key executives (defined as the Management of Credicorp) and the companies which are controlled by these individuals through their majority shareholding or their role as Chairman or CEO.</w:t>
      </w:r>
    </w:p>
    <w:p>
      <w:pPr>
        <w:spacing w:after="0" w:line="137" w:lineRule="exact"/>
        <w:rPr>
          <w:rFonts w:ascii="Arial" w:cs="Arial" w:eastAsia="Arial" w:hAnsi="Arial"/>
          <w:sz w:val="16"/>
          <w:szCs w:val="16"/>
          <w:color w:val="auto"/>
        </w:rPr>
      </w:pPr>
    </w:p>
    <w:p>
      <w:pPr>
        <w:ind w:left="1182" w:hanging="596"/>
        <w:spacing w:after="0"/>
        <w:tabs>
          <w:tab w:leader="none" w:pos="118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following table presents the main transactions and balances with related parties and individuals as of December 31, 2023 and 2022:</w:t>
      </w:r>
    </w:p>
    <w:p>
      <w:pPr>
        <w:spacing w:after="0" w:line="195" w:lineRule="exact"/>
        <w:rPr>
          <w:sz w:val="20"/>
          <w:szCs w:val="20"/>
          <w:color w:val="auto"/>
        </w:rPr>
      </w:pPr>
    </w:p>
    <w:tbl>
      <w:tblPr>
        <w:tblLayout w:type="fixed"/>
        <w:tblInd w:w="1022" w:type="dxa"/>
        <w:tblCellMar>
          <w:top w:w="0" w:type="dxa"/>
          <w:left w:w="0" w:type="dxa"/>
          <w:bottom w:w="0" w:type="dxa"/>
          <w:right w:w="0" w:type="dxa"/>
        </w:tblCellMar>
      </w:tblPr>
      <w:tr>
        <w:trPr>
          <w:trHeight w:val="200"/>
        </w:trPr>
        <w:tc>
          <w:tcPr>
            <w:tcW w:w="7020" w:type="dxa"/>
            <w:vAlign w:val="bottom"/>
          </w:tcPr>
          <w:p>
            <w:pPr>
              <w:spacing w:after="0"/>
              <w:rPr>
                <w:sz w:val="17"/>
                <w:szCs w:val="17"/>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7"/>
                <w:szCs w:val="17"/>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7"/>
                <w:szCs w:val="17"/>
                <w:color w:val="auto"/>
              </w:rPr>
            </w:pPr>
          </w:p>
        </w:tc>
      </w:tr>
      <w:tr>
        <w:trPr>
          <w:trHeight w:val="216"/>
        </w:trPr>
        <w:tc>
          <w:tcPr>
            <w:tcW w:w="70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8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8"/>
                <w:szCs w:val="18"/>
                <w:color w:val="auto"/>
              </w:rPr>
            </w:pPr>
          </w:p>
        </w:tc>
      </w:tr>
      <w:tr>
        <w:trPr>
          <w:trHeight w:val="310"/>
        </w:trPr>
        <w:tc>
          <w:tcPr>
            <w:tcW w:w="7020" w:type="dxa"/>
            <w:vAlign w:val="bottom"/>
          </w:tcPr>
          <w:p>
            <w:pPr>
              <w:spacing w:after="0"/>
              <w:rPr>
                <w:sz w:val="20"/>
                <w:szCs w:val="20"/>
                <w:color w:val="auto"/>
              </w:rPr>
            </w:pPr>
            <w:r>
              <w:rPr>
                <w:rFonts w:ascii="Arial" w:cs="Arial" w:eastAsia="Arial" w:hAnsi="Arial"/>
                <w:sz w:val="16"/>
                <w:szCs w:val="16"/>
                <w:b w:val="1"/>
                <w:bCs w:val="1"/>
                <w:color w:val="auto"/>
              </w:rPr>
              <w:t>Statement of financial position -</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7020" w:type="dxa"/>
            <w:vAlign w:val="bottom"/>
          </w:tcPr>
          <w:p>
            <w:pPr>
              <w:spacing w:after="0"/>
              <w:rPr>
                <w:sz w:val="20"/>
                <w:szCs w:val="20"/>
                <w:color w:val="auto"/>
              </w:rPr>
            </w:pPr>
            <w:r>
              <w:rPr>
                <w:rFonts w:ascii="Arial" w:cs="Arial" w:eastAsia="Arial" w:hAnsi="Arial"/>
                <w:sz w:val="16"/>
                <w:szCs w:val="16"/>
                <w:color w:val="auto"/>
              </w:rPr>
              <w:t>Direct loans</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2,063,739</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1,804,837</w:t>
            </w:r>
          </w:p>
        </w:tc>
      </w:tr>
      <w:tr>
        <w:trPr>
          <w:trHeight w:val="183"/>
        </w:trPr>
        <w:tc>
          <w:tcPr>
            <w:tcW w:w="7020" w:type="dxa"/>
            <w:vAlign w:val="bottom"/>
          </w:tcPr>
          <w:p>
            <w:pPr>
              <w:spacing w:after="0"/>
              <w:rPr>
                <w:sz w:val="20"/>
                <w:szCs w:val="20"/>
                <w:color w:val="auto"/>
              </w:rPr>
            </w:pPr>
            <w:r>
              <w:rPr>
                <w:rFonts w:ascii="Arial" w:cs="Arial" w:eastAsia="Arial" w:hAnsi="Arial"/>
                <w:sz w:val="16"/>
                <w:szCs w:val="16"/>
                <w:color w:val="auto"/>
              </w:rPr>
              <w:t>Investments (i)</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806,700</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800,021</w:t>
            </w:r>
          </w:p>
        </w:tc>
      </w:tr>
      <w:tr>
        <w:trPr>
          <w:trHeight w:val="183"/>
        </w:trPr>
        <w:tc>
          <w:tcPr>
            <w:tcW w:w="7020" w:type="dxa"/>
            <w:vAlign w:val="bottom"/>
          </w:tcPr>
          <w:p>
            <w:pPr>
              <w:spacing w:after="0"/>
              <w:rPr>
                <w:sz w:val="20"/>
                <w:szCs w:val="20"/>
                <w:color w:val="auto"/>
              </w:rPr>
            </w:pPr>
            <w:r>
              <w:rPr>
                <w:rFonts w:ascii="Arial" w:cs="Arial" w:eastAsia="Arial" w:hAnsi="Arial"/>
                <w:sz w:val="16"/>
                <w:szCs w:val="16"/>
                <w:color w:val="auto"/>
              </w:rPr>
              <w:t>Deposits (ii)</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(713,503)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(1,138,115)</w:t>
            </w:r>
          </w:p>
        </w:tc>
      </w:tr>
      <w:tr>
        <w:trPr>
          <w:trHeight w:val="215"/>
        </w:trPr>
        <w:tc>
          <w:tcPr>
            <w:tcW w:w="7020" w:type="dxa"/>
            <w:vAlign w:val="bottom"/>
          </w:tcPr>
          <w:p>
            <w:pPr>
              <w:spacing w:after="0"/>
              <w:rPr>
                <w:sz w:val="20"/>
                <w:szCs w:val="20"/>
                <w:color w:val="auto"/>
              </w:rPr>
            </w:pPr>
            <w:r>
              <w:rPr>
                <w:rFonts w:ascii="Arial" w:cs="Arial" w:eastAsia="Arial" w:hAnsi="Arial"/>
                <w:sz w:val="16"/>
                <w:szCs w:val="16"/>
                <w:color w:val="auto"/>
              </w:rPr>
              <w:t>Derivatives at fair value</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516,292</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336,867</w:t>
            </w:r>
          </w:p>
        </w:tc>
      </w:tr>
    </w:tbl>
    <w:p>
      <w:pPr>
        <w:spacing w:after="0" w:line="151" w:lineRule="exact"/>
        <w:rPr>
          <w:sz w:val="20"/>
          <w:szCs w:val="20"/>
          <w:color w:val="auto"/>
        </w:rPr>
      </w:pPr>
    </w:p>
    <w:p>
      <w:pPr>
        <w:ind w:left="1762" w:right="80" w:hanging="296"/>
        <w:spacing w:after="0" w:line="252" w:lineRule="auto"/>
        <w:tabs>
          <w:tab w:leader="none" w:pos="176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As of December 31, 2023, the balance includes mainly S/166.8 million of corporate bonds, S/146.5 million of Alicorp S.A.A. shares; S/135.9 million of Inversiones Centenario shares and S/120.5 million of corporate bonds issued by Corporación Primax. The increase in the balance corresponds mainly to the fluctuation that positively affected the investments in corporate bonds of Alicorp S.A. and Corporación Primax.</w:t>
      </w:r>
    </w:p>
    <w:p>
      <w:pPr>
        <w:spacing w:after="0" w:line="143" w:lineRule="exact"/>
        <w:rPr>
          <w:rFonts w:ascii="Arial" w:cs="Arial" w:eastAsia="Arial" w:hAnsi="Arial"/>
          <w:sz w:val="16"/>
          <w:szCs w:val="16"/>
          <w:color w:val="auto"/>
        </w:rPr>
      </w:pPr>
    </w:p>
    <w:p>
      <w:pPr>
        <w:ind w:left="1762" w:right="80"/>
        <w:spacing w:after="0" w:line="280" w:lineRule="auto"/>
        <w:rPr>
          <w:rFonts w:ascii="Arial" w:cs="Arial" w:eastAsia="Arial" w:hAnsi="Arial"/>
          <w:sz w:val="16"/>
          <w:szCs w:val="16"/>
          <w:color w:val="auto"/>
        </w:rPr>
      </w:pPr>
      <w:r>
        <w:rPr>
          <w:rFonts w:ascii="Arial" w:cs="Arial" w:eastAsia="Arial" w:hAnsi="Arial"/>
          <w:sz w:val="16"/>
          <w:szCs w:val="16"/>
          <w:color w:val="auto"/>
        </w:rPr>
        <w:t>As of December 31, 2022, the balance includes mainly S/158.1 million of corporate bonds, S/157.0 million of Alicorp S.A.A. shares; S/155.3 million of corporate bonds issued by Cementos Pacasmayo S.A. and S/126.8 million of Inversiones Centenario shares.</w:t>
      </w:r>
    </w:p>
    <w:p>
      <w:pPr>
        <w:spacing w:after="0" w:line="120" w:lineRule="exact"/>
        <w:rPr>
          <w:rFonts w:ascii="Arial" w:cs="Arial" w:eastAsia="Arial" w:hAnsi="Arial"/>
          <w:sz w:val="16"/>
          <w:szCs w:val="16"/>
          <w:color w:val="auto"/>
        </w:rPr>
      </w:pPr>
    </w:p>
    <w:p>
      <w:pPr>
        <w:ind w:left="1762" w:right="60" w:hanging="296"/>
        <w:spacing w:after="0" w:line="280" w:lineRule="auto"/>
        <w:tabs>
          <w:tab w:leader="none" w:pos="176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Corresponds to deposits from legal entities and individuals. As of December 31, 2023 and 2022, the balance corresponds mainly to higher deposits held by companies and related persons.</w:t>
      </w:r>
    </w:p>
    <w:p>
      <w:pPr>
        <w:spacing w:after="0" w:line="120"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4620" w:type="dxa"/>
            <w:vAlign w:val="bottom"/>
          </w:tcPr>
          <w:p>
            <w:pPr>
              <w:spacing w:after="0"/>
              <w:rPr>
                <w:sz w:val="17"/>
                <w:szCs w:val="17"/>
                <w:color w:val="auto"/>
              </w:rPr>
            </w:pPr>
          </w:p>
        </w:tc>
        <w:tc>
          <w:tcPr>
            <w:tcW w:w="4440" w:type="dxa"/>
            <w:vAlign w:val="bottom"/>
            <w:gridSpan w:val="2"/>
          </w:tcPr>
          <w:p>
            <w:pPr>
              <w:ind w:left="332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102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20" w:type="dxa"/>
            <w:vAlign w:val="bottom"/>
          </w:tcPr>
          <w:p>
            <w:pPr>
              <w:spacing w:after="0"/>
              <w:rPr>
                <w:sz w:val="18"/>
                <w:szCs w:val="18"/>
                <w:color w:val="auto"/>
              </w:rPr>
            </w:pPr>
          </w:p>
        </w:tc>
      </w:tr>
      <w:tr>
        <w:trPr>
          <w:trHeight w:val="310"/>
        </w:trPr>
        <w:tc>
          <w:tcPr>
            <w:tcW w:w="4620" w:type="dxa"/>
            <w:vAlign w:val="bottom"/>
          </w:tcPr>
          <w:p>
            <w:pPr>
              <w:ind w:left="1020"/>
              <w:spacing w:after="0"/>
              <w:rPr>
                <w:sz w:val="20"/>
                <w:szCs w:val="20"/>
                <w:color w:val="auto"/>
              </w:rPr>
            </w:pPr>
            <w:r>
              <w:rPr>
                <w:rFonts w:ascii="Arial" w:cs="Arial" w:eastAsia="Arial" w:hAnsi="Arial"/>
                <w:sz w:val="16"/>
                <w:szCs w:val="16"/>
                <w:b w:val="1"/>
                <w:bCs w:val="1"/>
                <w:color w:val="auto"/>
              </w:rPr>
              <w:t>Statement of income</w:t>
            </w:r>
          </w:p>
        </w:tc>
        <w:tc>
          <w:tcPr>
            <w:tcW w:w="3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3"/>
        </w:trPr>
        <w:tc>
          <w:tcPr>
            <w:tcW w:w="4620" w:type="dxa"/>
            <w:vAlign w:val="bottom"/>
          </w:tcPr>
          <w:p>
            <w:pPr>
              <w:ind w:left="1020"/>
              <w:spacing w:after="0"/>
              <w:rPr>
                <w:sz w:val="20"/>
                <w:szCs w:val="20"/>
                <w:color w:val="auto"/>
              </w:rPr>
            </w:pPr>
            <w:r>
              <w:rPr>
                <w:rFonts w:ascii="Arial" w:cs="Arial" w:eastAsia="Arial" w:hAnsi="Arial"/>
                <w:sz w:val="16"/>
                <w:szCs w:val="16"/>
                <w:color w:val="auto"/>
              </w:rPr>
              <w:t>Interest income related to loans</w:t>
            </w:r>
          </w:p>
        </w:tc>
        <w:tc>
          <w:tcPr>
            <w:tcW w:w="4440" w:type="dxa"/>
            <w:vAlign w:val="bottom"/>
            <w:gridSpan w:val="2"/>
          </w:tcPr>
          <w:p>
            <w:pPr>
              <w:jc w:val="right"/>
              <w:ind w:right="19"/>
              <w:spacing w:after="0"/>
              <w:rPr>
                <w:sz w:val="20"/>
                <w:szCs w:val="20"/>
                <w:color w:val="auto"/>
              </w:rPr>
            </w:pPr>
            <w:r>
              <w:rPr>
                <w:rFonts w:ascii="Arial" w:cs="Arial" w:eastAsia="Arial" w:hAnsi="Arial"/>
                <w:sz w:val="16"/>
                <w:szCs w:val="16"/>
                <w:color w:val="auto"/>
              </w:rPr>
              <w:t>31,892</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38,896</w:t>
            </w:r>
          </w:p>
        </w:tc>
        <w:tc>
          <w:tcPr>
            <w:tcW w:w="1020" w:type="dxa"/>
            <w:vAlign w:val="bottom"/>
          </w:tcPr>
          <w:p>
            <w:pPr>
              <w:spacing w:after="0"/>
              <w:rPr>
                <w:sz w:val="15"/>
                <w:szCs w:val="15"/>
                <w:color w:val="auto"/>
              </w:rPr>
            </w:pPr>
          </w:p>
        </w:tc>
      </w:tr>
      <w:tr>
        <w:trPr>
          <w:trHeight w:val="183"/>
        </w:trPr>
        <w:tc>
          <w:tcPr>
            <w:tcW w:w="4620" w:type="dxa"/>
            <w:vAlign w:val="bottom"/>
          </w:tcPr>
          <w:p>
            <w:pPr>
              <w:ind w:left="1020"/>
              <w:spacing w:after="0"/>
              <w:rPr>
                <w:sz w:val="20"/>
                <w:szCs w:val="20"/>
                <w:color w:val="auto"/>
              </w:rPr>
            </w:pPr>
            <w:r>
              <w:rPr>
                <w:rFonts w:ascii="Arial" w:cs="Arial" w:eastAsia="Arial" w:hAnsi="Arial"/>
                <w:sz w:val="16"/>
                <w:szCs w:val="16"/>
                <w:color w:val="auto"/>
              </w:rPr>
              <w:t>Interest expenses related to deposits</w:t>
            </w:r>
          </w:p>
        </w:tc>
        <w:tc>
          <w:tcPr>
            <w:tcW w:w="4440" w:type="dxa"/>
            <w:vAlign w:val="bottom"/>
            <w:gridSpan w:val="2"/>
          </w:tcPr>
          <w:p>
            <w:pPr>
              <w:jc w:val="right"/>
              <w:spacing w:after="0"/>
              <w:rPr>
                <w:sz w:val="20"/>
                <w:szCs w:val="20"/>
                <w:color w:val="auto"/>
              </w:rPr>
            </w:pPr>
            <w:r>
              <w:rPr>
                <w:rFonts w:ascii="Arial" w:cs="Arial" w:eastAsia="Arial" w:hAnsi="Arial"/>
                <w:sz w:val="16"/>
                <w:szCs w:val="16"/>
                <w:color w:val="auto"/>
              </w:rPr>
              <w:t>(30,914)</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(24,143)</w:t>
            </w:r>
          </w:p>
        </w:tc>
        <w:tc>
          <w:tcPr>
            <w:tcW w:w="1020" w:type="dxa"/>
            <w:vAlign w:val="bottom"/>
          </w:tcPr>
          <w:p>
            <w:pPr>
              <w:spacing w:after="0"/>
              <w:rPr>
                <w:sz w:val="15"/>
                <w:szCs w:val="15"/>
                <w:color w:val="auto"/>
              </w:rPr>
            </w:pPr>
          </w:p>
        </w:tc>
      </w:tr>
      <w:tr>
        <w:trPr>
          <w:trHeight w:val="215"/>
        </w:trPr>
        <w:tc>
          <w:tcPr>
            <w:tcW w:w="4620" w:type="dxa"/>
            <w:vAlign w:val="bottom"/>
          </w:tcPr>
          <w:p>
            <w:pPr>
              <w:ind w:left="1020"/>
              <w:spacing w:after="0"/>
              <w:rPr>
                <w:sz w:val="20"/>
                <w:szCs w:val="20"/>
                <w:color w:val="auto"/>
              </w:rPr>
            </w:pPr>
            <w:r>
              <w:rPr>
                <w:rFonts w:ascii="Arial" w:cs="Arial" w:eastAsia="Arial" w:hAnsi="Arial"/>
                <w:sz w:val="16"/>
                <w:szCs w:val="16"/>
                <w:color w:val="auto"/>
              </w:rPr>
              <w:t>Other income</w:t>
            </w:r>
          </w:p>
        </w:tc>
        <w:tc>
          <w:tcPr>
            <w:tcW w:w="4440" w:type="dxa"/>
            <w:vAlign w:val="bottom"/>
            <w:gridSpan w:val="2"/>
          </w:tcPr>
          <w:p>
            <w:pPr>
              <w:jc w:val="right"/>
              <w:ind w:right="19"/>
              <w:spacing w:after="0"/>
              <w:rPr>
                <w:sz w:val="20"/>
                <w:szCs w:val="20"/>
                <w:color w:val="auto"/>
              </w:rPr>
            </w:pPr>
            <w:r>
              <w:rPr>
                <w:rFonts w:ascii="Arial" w:cs="Arial" w:eastAsia="Arial" w:hAnsi="Arial"/>
                <w:sz w:val="16"/>
                <w:szCs w:val="16"/>
                <w:color w:val="auto"/>
              </w:rPr>
              <w:t>9,452</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13,232</w:t>
            </w:r>
          </w:p>
        </w:tc>
        <w:tc>
          <w:tcPr>
            <w:tcW w:w="1020" w:type="dxa"/>
            <w:vAlign w:val="bottom"/>
          </w:tcPr>
          <w:p>
            <w:pPr>
              <w:spacing w:after="0"/>
              <w:rPr>
                <w:sz w:val="18"/>
                <w:szCs w:val="18"/>
                <w:color w:val="auto"/>
              </w:rPr>
            </w:pPr>
          </w:p>
        </w:tc>
      </w:tr>
      <w:tr>
        <w:trPr>
          <w:trHeight w:val="334"/>
        </w:trPr>
        <w:tc>
          <w:tcPr>
            <w:tcW w:w="4620" w:type="dxa"/>
            <w:vAlign w:val="bottom"/>
          </w:tcPr>
          <w:p>
            <w:pPr>
              <w:ind w:left="1020"/>
              <w:spacing w:after="0"/>
              <w:rPr>
                <w:sz w:val="20"/>
                <w:szCs w:val="20"/>
                <w:color w:val="auto"/>
              </w:rPr>
            </w:pPr>
            <w:r>
              <w:rPr>
                <w:rFonts w:ascii="Arial" w:cs="Arial" w:eastAsia="Arial" w:hAnsi="Arial"/>
                <w:sz w:val="16"/>
                <w:szCs w:val="16"/>
                <w:b w:val="1"/>
                <w:bCs w:val="1"/>
                <w:color w:val="auto"/>
              </w:rPr>
              <w:t>Contingent risks and commitments</w:t>
            </w:r>
          </w:p>
        </w:tc>
        <w:tc>
          <w:tcPr>
            <w:tcW w:w="3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5"/>
        </w:trPr>
        <w:tc>
          <w:tcPr>
            <w:tcW w:w="4620" w:type="dxa"/>
            <w:vAlign w:val="bottom"/>
          </w:tcPr>
          <w:p>
            <w:pPr>
              <w:ind w:left="1020"/>
              <w:spacing w:after="0"/>
              <w:rPr>
                <w:sz w:val="20"/>
                <w:szCs w:val="20"/>
                <w:color w:val="auto"/>
              </w:rPr>
            </w:pPr>
            <w:r>
              <w:rPr>
                <w:rFonts w:ascii="Arial" w:cs="Arial" w:eastAsia="Arial" w:hAnsi="Arial"/>
                <w:sz w:val="16"/>
                <w:szCs w:val="16"/>
                <w:color w:val="auto"/>
              </w:rPr>
              <w:t>Indirect loans</w:t>
            </w:r>
          </w:p>
        </w:tc>
        <w:tc>
          <w:tcPr>
            <w:tcW w:w="4440" w:type="dxa"/>
            <w:vAlign w:val="bottom"/>
            <w:gridSpan w:val="2"/>
          </w:tcPr>
          <w:p>
            <w:pPr>
              <w:jc w:val="right"/>
              <w:ind w:right="19"/>
              <w:spacing w:after="0"/>
              <w:rPr>
                <w:sz w:val="20"/>
                <w:szCs w:val="20"/>
                <w:color w:val="auto"/>
              </w:rPr>
            </w:pPr>
            <w:r>
              <w:rPr>
                <w:rFonts w:ascii="Arial" w:cs="Arial" w:eastAsia="Arial" w:hAnsi="Arial"/>
                <w:sz w:val="16"/>
                <w:szCs w:val="16"/>
                <w:color w:val="auto"/>
              </w:rPr>
              <w:t>584,463</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433,639</w:t>
            </w:r>
          </w:p>
        </w:tc>
        <w:tc>
          <w:tcPr>
            <w:tcW w:w="1020" w:type="dxa"/>
            <w:vAlign w:val="bottom"/>
          </w:tcPr>
          <w:p>
            <w:pPr>
              <w:spacing w:after="0"/>
              <w:rPr>
                <w:sz w:val="18"/>
                <w:szCs w:val="18"/>
                <w:color w:val="auto"/>
              </w:rPr>
            </w:pPr>
          </w:p>
        </w:tc>
      </w:tr>
      <w:tr>
        <w:trPr>
          <w:trHeight w:val="342"/>
        </w:trPr>
        <w:tc>
          <w:tcPr>
            <w:tcW w:w="4620" w:type="dxa"/>
            <w:vAlign w:val="bottom"/>
          </w:tcPr>
          <w:p>
            <w:pPr>
              <w:spacing w:after="0"/>
              <w:rPr>
                <w:sz w:val="24"/>
                <w:szCs w:val="24"/>
                <w:color w:val="auto"/>
              </w:rPr>
            </w:pPr>
          </w:p>
        </w:tc>
        <w:tc>
          <w:tcPr>
            <w:tcW w:w="3320" w:type="dxa"/>
            <w:vAlign w:val="bottom"/>
          </w:tcPr>
          <w:p>
            <w:pPr>
              <w:jc w:val="right"/>
              <w:ind w:right="2099"/>
              <w:spacing w:after="0"/>
              <w:rPr>
                <w:sz w:val="20"/>
                <w:szCs w:val="20"/>
                <w:color w:val="auto"/>
              </w:rPr>
            </w:pPr>
            <w:r>
              <w:rPr>
                <w:rFonts w:ascii="Arial" w:cs="Arial" w:eastAsia="Arial" w:hAnsi="Arial"/>
                <w:sz w:val="16"/>
                <w:szCs w:val="16"/>
                <w:color w:val="auto"/>
              </w:rPr>
              <w:t>136</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
        </w:trPr>
        <w:tc>
          <w:tcPr>
            <w:tcW w:w="462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bl>
    <w:p>
      <w:pPr>
        <w:sectPr>
          <w:pgSz w:w="11900" w:h="16838" w:orient="portrait"/>
          <w:cols w:equalWidth="0" w:num="1">
            <w:col w:w="11262"/>
          </w:cols>
          <w:pgMar w:left="318" w:top="124" w:right="319" w:bottom="1440" w:gutter="0" w:footer="0" w:header="0"/>
        </w:sectPr>
      </w:pPr>
    </w:p>
    <w:bookmarkStart w:id="139" w:name="page140"/>
    <w:bookmarkEnd w:id="139"/>
    <w:p>
      <w:pPr>
        <w:ind w:left="1180" w:right="60" w:hanging="596"/>
        <w:spacing w:after="0" w:line="247" w:lineRule="auto"/>
        <w:tabs>
          <w:tab w:leader="none" w:pos="11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All transactions with related parties are made in accordance with normal market conditions available to other customers. As of December 31, 2023, direct loans to related companies are secured by collateral, had maturities between January 2024 and August 2030, at an annual soles average interest rate of 7.70 percent and at an annual foreign currency average interest rate of 6.04 percent (as of December 31, 2022, maturities between January 2023 an June 2029, at an annual soles average interest rate of 6.86 percent and at an annual foreign currency average interest rate of 4.59 percent). Also, as of December 31, 2023 and December 31, 2022, the Group maintains an allowance for loan losses for related parties amounting to S/15.2 million and S/8.5 million, respectively.</w:t>
      </w:r>
    </w:p>
    <w:p>
      <w:pPr>
        <w:spacing w:after="0" w:line="146" w:lineRule="exact"/>
        <w:rPr>
          <w:rFonts w:ascii="Arial" w:cs="Arial" w:eastAsia="Arial" w:hAnsi="Arial"/>
          <w:sz w:val="16"/>
          <w:szCs w:val="16"/>
          <w:color w:val="auto"/>
        </w:rPr>
      </w:pPr>
    </w:p>
    <w:p>
      <w:pPr>
        <w:ind w:left="1180" w:right="220" w:hanging="596"/>
        <w:spacing w:after="0" w:line="249" w:lineRule="auto"/>
        <w:tabs>
          <w:tab w:leader="none" w:pos="11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As of December 31, 2023 and 2022,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As of December 31, 2023 and 2022, direct loans to employees, directors, key management and family members amounted to S/1,383.3 million and S/1,179.2 million, respectively; they are repaid monthly and earn interest at market rates.</w:t>
      </w:r>
    </w:p>
    <w:p>
      <w:pPr>
        <w:spacing w:after="0" w:line="145" w:lineRule="exact"/>
        <w:rPr>
          <w:rFonts w:ascii="Arial" w:cs="Arial" w:eastAsia="Arial" w:hAnsi="Arial"/>
          <w:sz w:val="16"/>
          <w:szCs w:val="16"/>
          <w:color w:val="auto"/>
        </w:rPr>
      </w:pPr>
    </w:p>
    <w:p>
      <w:pPr>
        <w:ind w:left="1180" w:right="80" w:hanging="596"/>
        <w:spacing w:after="0" w:line="280" w:lineRule="auto"/>
        <w:tabs>
          <w:tab w:leader="none" w:pos="11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Group’s key executives’ compensation (including the related income taxes assumed by the Group) as of December 31, 2023 and 2022 was as follows:</w:t>
      </w:r>
    </w:p>
    <w:p>
      <w:pPr>
        <w:spacing w:after="0" w:line="133" w:lineRule="exact"/>
        <w:rPr>
          <w:sz w:val="20"/>
          <w:szCs w:val="20"/>
          <w:color w:val="auto"/>
        </w:rPr>
      </w:pPr>
    </w:p>
    <w:tbl>
      <w:tblPr>
        <w:tblLayout w:type="fixed"/>
        <w:tblInd w:w="1020" w:type="dxa"/>
        <w:tblCellMar>
          <w:top w:w="0" w:type="dxa"/>
          <w:left w:w="0" w:type="dxa"/>
          <w:bottom w:w="0" w:type="dxa"/>
          <w:right w:w="0" w:type="dxa"/>
        </w:tblCellMar>
      </w:tblPr>
      <w:tr>
        <w:trPr>
          <w:trHeight w:val="200"/>
        </w:trPr>
        <w:tc>
          <w:tcPr>
            <w:tcW w:w="4760" w:type="dxa"/>
            <w:vAlign w:val="bottom"/>
          </w:tcPr>
          <w:p>
            <w:pPr>
              <w:spacing w:after="0"/>
              <w:rPr>
                <w:sz w:val="17"/>
                <w:szCs w:val="17"/>
                <w:color w:val="auto"/>
              </w:rPr>
            </w:pPr>
          </w:p>
        </w:tc>
        <w:tc>
          <w:tcPr>
            <w:tcW w:w="3180" w:type="dxa"/>
            <w:vAlign w:val="bottom"/>
            <w:gridSpan w:val="3"/>
          </w:tcPr>
          <w:p>
            <w:pPr>
              <w:ind w:left="21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r>
      <w:tr>
        <w:trPr>
          <w:trHeight w:val="216"/>
        </w:trPr>
        <w:tc>
          <w:tcPr>
            <w:tcW w:w="47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2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Borders>
              <w:top w:val="single" w:sz="8" w:color="auto"/>
            </w:tcBorders>
          </w:tcPr>
          <w:p>
            <w:pPr>
              <w:spacing w:after="0"/>
              <w:rPr>
                <w:sz w:val="18"/>
                <w:szCs w:val="18"/>
                <w:color w:val="auto"/>
              </w:rPr>
            </w:pPr>
          </w:p>
        </w:tc>
      </w:tr>
      <w:tr>
        <w:trPr>
          <w:trHeight w:val="310"/>
        </w:trPr>
        <w:tc>
          <w:tcPr>
            <w:tcW w:w="4760" w:type="dxa"/>
            <w:vAlign w:val="bottom"/>
          </w:tcPr>
          <w:p>
            <w:pPr>
              <w:spacing w:after="0"/>
              <w:rPr>
                <w:sz w:val="20"/>
                <w:szCs w:val="20"/>
                <w:color w:val="auto"/>
              </w:rPr>
            </w:pPr>
            <w:r>
              <w:rPr>
                <w:rFonts w:ascii="Arial" w:cs="Arial" w:eastAsia="Arial" w:hAnsi="Arial"/>
                <w:sz w:val="16"/>
                <w:szCs w:val="16"/>
                <w:color w:val="auto"/>
              </w:rPr>
              <w:t>Director’s compensation</w:t>
            </w:r>
          </w:p>
        </w:tc>
        <w:tc>
          <w:tcPr>
            <w:tcW w:w="3280" w:type="dxa"/>
            <w:vAlign w:val="bottom"/>
            <w:gridSpan w:val="4"/>
          </w:tcPr>
          <w:p>
            <w:pPr>
              <w:jc w:val="right"/>
              <w:ind w:right="100"/>
              <w:spacing w:after="0"/>
              <w:rPr>
                <w:sz w:val="20"/>
                <w:szCs w:val="20"/>
                <w:color w:val="auto"/>
              </w:rPr>
            </w:pPr>
            <w:r>
              <w:rPr>
                <w:rFonts w:ascii="Arial" w:cs="Arial" w:eastAsia="Arial" w:hAnsi="Arial"/>
                <w:sz w:val="16"/>
                <w:szCs w:val="16"/>
                <w:color w:val="auto"/>
              </w:rPr>
              <w:t>7,387</w:t>
            </w: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7,850</w:t>
            </w:r>
          </w:p>
        </w:tc>
        <w:tc>
          <w:tcPr>
            <w:tcW w:w="80" w:type="dxa"/>
            <w:vAlign w:val="bottom"/>
          </w:tcPr>
          <w:p>
            <w:pPr>
              <w:spacing w:after="0"/>
              <w:rPr>
                <w:sz w:val="24"/>
                <w:szCs w:val="24"/>
                <w:color w:val="auto"/>
              </w:rPr>
            </w:pPr>
          </w:p>
        </w:tc>
      </w:tr>
      <w:tr>
        <w:trPr>
          <w:trHeight w:val="183"/>
        </w:trPr>
        <w:tc>
          <w:tcPr>
            <w:tcW w:w="4760" w:type="dxa"/>
            <w:vAlign w:val="bottom"/>
          </w:tcPr>
          <w:p>
            <w:pPr>
              <w:spacing w:after="0"/>
              <w:rPr>
                <w:sz w:val="20"/>
                <w:szCs w:val="20"/>
                <w:color w:val="auto"/>
              </w:rPr>
            </w:pPr>
            <w:r>
              <w:rPr>
                <w:rFonts w:ascii="Arial" w:cs="Arial" w:eastAsia="Arial" w:hAnsi="Arial"/>
                <w:sz w:val="16"/>
                <w:szCs w:val="16"/>
                <w:color w:val="auto"/>
              </w:rPr>
              <w:t>Senior Management Compensation:</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4760" w:type="dxa"/>
            <w:vAlign w:val="bottom"/>
          </w:tcPr>
          <w:p>
            <w:pPr>
              <w:ind w:left="140"/>
              <w:spacing w:after="0"/>
              <w:rPr>
                <w:sz w:val="20"/>
                <w:szCs w:val="20"/>
                <w:color w:val="auto"/>
              </w:rPr>
            </w:pPr>
            <w:r>
              <w:rPr>
                <w:rFonts w:ascii="Arial" w:cs="Arial" w:eastAsia="Arial" w:hAnsi="Arial"/>
                <w:sz w:val="16"/>
                <w:szCs w:val="16"/>
                <w:color w:val="auto"/>
              </w:rPr>
              <w:t>Remuneration</w:t>
            </w:r>
          </w:p>
        </w:tc>
        <w:tc>
          <w:tcPr>
            <w:tcW w:w="3280" w:type="dxa"/>
            <w:vAlign w:val="bottom"/>
            <w:gridSpan w:val="4"/>
          </w:tcPr>
          <w:p>
            <w:pPr>
              <w:jc w:val="right"/>
              <w:ind w:right="100"/>
              <w:spacing w:after="0"/>
              <w:rPr>
                <w:sz w:val="20"/>
                <w:szCs w:val="20"/>
                <w:color w:val="auto"/>
              </w:rPr>
            </w:pPr>
            <w:r>
              <w:rPr>
                <w:rFonts w:ascii="Arial" w:cs="Arial" w:eastAsia="Arial" w:hAnsi="Arial"/>
                <w:sz w:val="16"/>
                <w:szCs w:val="16"/>
                <w:color w:val="auto"/>
              </w:rPr>
              <w:t>49,573</w:t>
            </w:r>
          </w:p>
        </w:tc>
        <w:tc>
          <w:tcPr>
            <w:tcW w:w="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40,201</w:t>
            </w:r>
          </w:p>
        </w:tc>
        <w:tc>
          <w:tcPr>
            <w:tcW w:w="80" w:type="dxa"/>
            <w:vAlign w:val="bottom"/>
          </w:tcPr>
          <w:p>
            <w:pPr>
              <w:spacing w:after="0"/>
              <w:rPr>
                <w:sz w:val="15"/>
                <w:szCs w:val="15"/>
                <w:color w:val="auto"/>
              </w:rPr>
            </w:pPr>
          </w:p>
        </w:tc>
      </w:tr>
      <w:tr>
        <w:trPr>
          <w:trHeight w:val="204"/>
        </w:trPr>
        <w:tc>
          <w:tcPr>
            <w:tcW w:w="4760" w:type="dxa"/>
            <w:vAlign w:val="bottom"/>
          </w:tcPr>
          <w:p>
            <w:pPr>
              <w:ind w:left="140"/>
              <w:spacing w:after="0"/>
              <w:rPr>
                <w:sz w:val="20"/>
                <w:szCs w:val="20"/>
                <w:color w:val="auto"/>
              </w:rPr>
            </w:pPr>
            <w:r>
              <w:rPr>
                <w:rFonts w:ascii="Arial" w:cs="Arial" w:eastAsia="Arial" w:hAnsi="Arial"/>
                <w:sz w:val="16"/>
                <w:szCs w:val="16"/>
                <w:color w:val="auto"/>
              </w:rPr>
              <w:t>Stock awards vested</w:t>
            </w:r>
          </w:p>
        </w:tc>
        <w:tc>
          <w:tcPr>
            <w:tcW w:w="3280" w:type="dxa"/>
            <w:vAlign w:val="bottom"/>
            <w:gridSpan w:val="4"/>
          </w:tcPr>
          <w:p>
            <w:pPr>
              <w:jc w:val="right"/>
              <w:ind w:right="100"/>
              <w:spacing w:after="0"/>
              <w:rPr>
                <w:sz w:val="20"/>
                <w:szCs w:val="20"/>
                <w:color w:val="auto"/>
              </w:rPr>
            </w:pPr>
            <w:r>
              <w:rPr>
                <w:rFonts w:ascii="Arial" w:cs="Arial" w:eastAsia="Arial" w:hAnsi="Arial"/>
                <w:sz w:val="16"/>
                <w:szCs w:val="16"/>
                <w:color w:val="auto"/>
              </w:rPr>
              <w:t>21,444</w:t>
            </w:r>
          </w:p>
        </w:tc>
        <w:tc>
          <w:tcPr>
            <w:tcW w:w="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28,450</w:t>
            </w:r>
          </w:p>
        </w:tc>
        <w:tc>
          <w:tcPr>
            <w:tcW w:w="80" w:type="dxa"/>
            <w:vAlign w:val="bottom"/>
          </w:tcPr>
          <w:p>
            <w:pPr>
              <w:spacing w:after="0"/>
              <w:rPr>
                <w:sz w:val="17"/>
                <w:szCs w:val="17"/>
                <w:color w:val="auto"/>
              </w:rPr>
            </w:pPr>
          </w:p>
        </w:tc>
      </w:tr>
      <w:tr>
        <w:trPr>
          <w:trHeight w:val="188"/>
        </w:trPr>
        <w:tc>
          <w:tcPr>
            <w:tcW w:w="47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78,404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76,501</w:t>
            </w:r>
          </w:p>
        </w:tc>
        <w:tc>
          <w:tcPr>
            <w:tcW w:w="80" w:type="dxa"/>
            <w:vAlign w:val="bottom"/>
          </w:tcPr>
          <w:p>
            <w:pPr>
              <w:spacing w:after="0"/>
              <w:rPr>
                <w:sz w:val="16"/>
                <w:szCs w:val="16"/>
                <w:color w:val="auto"/>
              </w:rPr>
            </w:pPr>
          </w:p>
        </w:tc>
      </w:tr>
    </w:tbl>
    <w:p>
      <w:pPr>
        <w:spacing w:after="0" w:line="166" w:lineRule="exact"/>
        <w:rPr>
          <w:sz w:val="20"/>
          <w:szCs w:val="20"/>
          <w:color w:val="auto"/>
        </w:rPr>
      </w:pPr>
    </w:p>
    <w:p>
      <w:pPr>
        <w:ind w:left="1180" w:right="140" w:hanging="596"/>
        <w:spacing w:after="0" w:line="280" w:lineRule="auto"/>
        <w:tabs>
          <w:tab w:leader="none" w:pos="11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As of December 31, 2023 and 2022 the Group holds interests in various funds managed by certain of the Group’s subsidiaries. The details of the funds are presented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00" w:type="dxa"/>
            <w:vAlign w:val="bottom"/>
          </w:tcPr>
          <w:p>
            <w:pPr>
              <w:spacing w:after="0"/>
              <w:rPr>
                <w:sz w:val="17"/>
                <w:szCs w:val="17"/>
                <w:color w:val="auto"/>
              </w:rPr>
            </w:pPr>
          </w:p>
        </w:tc>
        <w:tc>
          <w:tcPr>
            <w:tcW w:w="3960" w:type="dxa"/>
            <w:vAlign w:val="bottom"/>
            <w:gridSpan w:val="3"/>
          </w:tcPr>
          <w:p>
            <w:pPr>
              <w:ind w:left="294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vMerge w:val="restart"/>
          </w:tcPr>
          <w:p>
            <w:pPr>
              <w:ind w:left="1020"/>
              <w:spacing w:after="0"/>
              <w:rPr>
                <w:sz w:val="20"/>
                <w:szCs w:val="20"/>
                <w:color w:val="auto"/>
              </w:rPr>
            </w:pPr>
            <w:r>
              <w:rPr>
                <w:rFonts w:ascii="Arial" w:cs="Arial" w:eastAsia="Arial" w:hAnsi="Arial"/>
                <w:sz w:val="16"/>
                <w:szCs w:val="16"/>
                <w:b w:val="1"/>
                <w:bCs w:val="1"/>
                <w:color w:val="auto"/>
              </w:rPr>
              <w:t>At fair value through profit or loss:</w:t>
            </w:r>
          </w:p>
        </w:tc>
        <w:tc>
          <w:tcPr>
            <w:tcW w:w="2940" w:type="dxa"/>
            <w:vAlign w:val="bottom"/>
          </w:tcPr>
          <w:p>
            <w:pPr>
              <w:spacing w:after="0"/>
              <w:rPr>
                <w:sz w:val="18"/>
                <w:szCs w:val="18"/>
                <w:color w:val="auto"/>
              </w:rPr>
            </w:pPr>
          </w:p>
        </w:tc>
        <w:tc>
          <w:tcPr>
            <w:tcW w:w="112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000" w:type="dxa"/>
            <w:vAlign w:val="bottom"/>
            <w:vMerge w:val="continue"/>
          </w:tcPr>
          <w:p>
            <w:pPr>
              <w:spacing w:after="0"/>
              <w:rPr>
                <w:sz w:val="10"/>
                <w:szCs w:val="10"/>
                <w:color w:val="auto"/>
              </w:rPr>
            </w:pPr>
          </w:p>
        </w:tc>
        <w:tc>
          <w:tcPr>
            <w:tcW w:w="2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1020"/>
              <w:spacing w:after="0"/>
              <w:rPr>
                <w:sz w:val="20"/>
                <w:szCs w:val="20"/>
                <w:color w:val="auto"/>
              </w:rPr>
            </w:pPr>
            <w:r>
              <w:rPr>
                <w:rFonts w:ascii="Arial" w:cs="Arial" w:eastAsia="Arial" w:hAnsi="Arial"/>
                <w:sz w:val="16"/>
                <w:szCs w:val="16"/>
                <w:color w:val="auto"/>
              </w:rPr>
              <w:t>Mutual funds, investment funds and hedge funds</w:t>
            </w: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1160"/>
              <w:spacing w:after="0"/>
              <w:rPr>
                <w:sz w:val="20"/>
                <w:szCs w:val="20"/>
                <w:color w:val="auto"/>
              </w:rPr>
            </w:pPr>
            <w:r>
              <w:rPr>
                <w:rFonts w:ascii="Arial" w:cs="Arial" w:eastAsia="Arial" w:hAnsi="Arial"/>
                <w:sz w:val="16"/>
                <w:szCs w:val="16"/>
                <w:color w:val="auto"/>
              </w:rPr>
              <w:t>U.S. Dollars (i)</w:t>
            </w:r>
          </w:p>
        </w:tc>
        <w:tc>
          <w:tcPr>
            <w:tcW w:w="4060" w:type="dxa"/>
            <w:vAlign w:val="bottom"/>
            <w:gridSpan w:val="4"/>
          </w:tcPr>
          <w:p>
            <w:pPr>
              <w:jc w:val="right"/>
              <w:ind w:right="100"/>
              <w:spacing w:after="0"/>
              <w:rPr>
                <w:sz w:val="20"/>
                <w:szCs w:val="20"/>
                <w:color w:val="auto"/>
              </w:rPr>
            </w:pPr>
            <w:r>
              <w:rPr>
                <w:rFonts w:ascii="Arial" w:cs="Arial" w:eastAsia="Arial" w:hAnsi="Arial"/>
                <w:sz w:val="16"/>
                <w:szCs w:val="16"/>
                <w:color w:val="auto"/>
              </w:rPr>
              <w:t>516,834</w:t>
            </w:r>
          </w:p>
        </w:tc>
        <w:tc>
          <w:tcPr>
            <w:tcW w:w="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626,404</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1160"/>
              <w:spacing w:after="0"/>
              <w:rPr>
                <w:sz w:val="20"/>
                <w:szCs w:val="20"/>
                <w:color w:val="auto"/>
              </w:rPr>
            </w:pPr>
            <w:r>
              <w:rPr>
                <w:rFonts w:ascii="Arial" w:cs="Arial" w:eastAsia="Arial" w:hAnsi="Arial"/>
                <w:sz w:val="16"/>
                <w:szCs w:val="16"/>
                <w:color w:val="auto"/>
              </w:rPr>
              <w:t>Bolivianos</w:t>
            </w:r>
          </w:p>
        </w:tc>
        <w:tc>
          <w:tcPr>
            <w:tcW w:w="4060" w:type="dxa"/>
            <w:vAlign w:val="bottom"/>
            <w:gridSpan w:val="4"/>
          </w:tcPr>
          <w:p>
            <w:pPr>
              <w:jc w:val="right"/>
              <w:ind w:right="100"/>
              <w:spacing w:after="0"/>
              <w:rPr>
                <w:sz w:val="20"/>
                <w:szCs w:val="20"/>
                <w:color w:val="auto"/>
              </w:rPr>
            </w:pPr>
            <w:r>
              <w:rPr>
                <w:rFonts w:ascii="Arial" w:cs="Arial" w:eastAsia="Arial" w:hAnsi="Arial"/>
                <w:sz w:val="16"/>
                <w:szCs w:val="16"/>
                <w:color w:val="auto"/>
              </w:rPr>
              <w:t>179,131</w:t>
            </w:r>
          </w:p>
        </w:tc>
        <w:tc>
          <w:tcPr>
            <w:tcW w:w="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163,701</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1160"/>
              <w:spacing w:after="0"/>
              <w:rPr>
                <w:sz w:val="20"/>
                <w:szCs w:val="20"/>
                <w:color w:val="auto"/>
              </w:rPr>
            </w:pPr>
            <w:r>
              <w:rPr>
                <w:rFonts w:ascii="Arial" w:cs="Arial" w:eastAsia="Arial" w:hAnsi="Arial"/>
                <w:sz w:val="16"/>
                <w:szCs w:val="16"/>
                <w:color w:val="auto"/>
              </w:rPr>
              <w:t>Colombian pesos</w:t>
            </w:r>
          </w:p>
        </w:tc>
        <w:tc>
          <w:tcPr>
            <w:tcW w:w="4060" w:type="dxa"/>
            <w:vAlign w:val="bottom"/>
            <w:gridSpan w:val="4"/>
          </w:tcPr>
          <w:p>
            <w:pPr>
              <w:jc w:val="right"/>
              <w:ind w:right="100"/>
              <w:spacing w:after="0"/>
              <w:rPr>
                <w:sz w:val="20"/>
                <w:szCs w:val="20"/>
                <w:color w:val="auto"/>
              </w:rPr>
            </w:pPr>
            <w:r>
              <w:rPr>
                <w:rFonts w:ascii="Arial" w:cs="Arial" w:eastAsia="Arial" w:hAnsi="Arial"/>
                <w:sz w:val="16"/>
                <w:szCs w:val="16"/>
                <w:color w:val="auto"/>
              </w:rPr>
              <w:t>170,769</w:t>
            </w:r>
          </w:p>
        </w:tc>
        <w:tc>
          <w:tcPr>
            <w:tcW w:w="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70,987</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1160"/>
              <w:spacing w:after="0"/>
              <w:rPr>
                <w:sz w:val="20"/>
                <w:szCs w:val="20"/>
                <w:color w:val="auto"/>
              </w:rPr>
            </w:pPr>
            <w:r>
              <w:rPr>
                <w:rFonts w:ascii="Arial" w:cs="Arial" w:eastAsia="Arial" w:hAnsi="Arial"/>
                <w:sz w:val="16"/>
                <w:szCs w:val="16"/>
                <w:color w:val="auto"/>
              </w:rPr>
              <w:t>Soles(ii)</w:t>
            </w:r>
          </w:p>
        </w:tc>
        <w:tc>
          <w:tcPr>
            <w:tcW w:w="4060" w:type="dxa"/>
            <w:vAlign w:val="bottom"/>
            <w:gridSpan w:val="4"/>
          </w:tcPr>
          <w:p>
            <w:pPr>
              <w:jc w:val="right"/>
              <w:ind w:right="100"/>
              <w:spacing w:after="0"/>
              <w:rPr>
                <w:sz w:val="20"/>
                <w:szCs w:val="20"/>
                <w:color w:val="auto"/>
              </w:rPr>
            </w:pPr>
            <w:r>
              <w:rPr>
                <w:rFonts w:ascii="Arial" w:cs="Arial" w:eastAsia="Arial" w:hAnsi="Arial"/>
                <w:sz w:val="16"/>
                <w:szCs w:val="16"/>
                <w:color w:val="auto"/>
              </w:rPr>
              <w:t>108,830</w:t>
            </w:r>
          </w:p>
        </w:tc>
        <w:tc>
          <w:tcPr>
            <w:tcW w:w="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76,535</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00" w:type="dxa"/>
            <w:vAlign w:val="bottom"/>
          </w:tcPr>
          <w:p>
            <w:pPr>
              <w:ind w:left="1160"/>
              <w:spacing w:after="0"/>
              <w:rPr>
                <w:sz w:val="20"/>
                <w:szCs w:val="20"/>
                <w:color w:val="auto"/>
              </w:rPr>
            </w:pPr>
            <w:r>
              <w:rPr>
                <w:rFonts w:ascii="Arial" w:cs="Arial" w:eastAsia="Arial" w:hAnsi="Arial"/>
                <w:sz w:val="16"/>
                <w:szCs w:val="16"/>
                <w:color w:val="auto"/>
              </w:rPr>
              <w:t>Chilean pesos</w:t>
            </w:r>
          </w:p>
        </w:tc>
        <w:tc>
          <w:tcPr>
            <w:tcW w:w="4060" w:type="dxa"/>
            <w:vAlign w:val="bottom"/>
            <w:gridSpan w:val="4"/>
          </w:tcPr>
          <w:p>
            <w:pPr>
              <w:jc w:val="right"/>
              <w:ind w:right="100"/>
              <w:spacing w:after="0"/>
              <w:rPr>
                <w:sz w:val="20"/>
                <w:szCs w:val="20"/>
                <w:color w:val="auto"/>
              </w:rPr>
            </w:pPr>
            <w:r>
              <w:rPr>
                <w:rFonts w:ascii="Arial" w:cs="Arial" w:eastAsia="Arial" w:hAnsi="Arial"/>
                <w:sz w:val="16"/>
                <w:szCs w:val="16"/>
                <w:color w:val="auto"/>
              </w:rPr>
              <w:t>7,198</w:t>
            </w:r>
          </w:p>
        </w:tc>
        <w:tc>
          <w:tcPr>
            <w:tcW w:w="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5,735</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00" w:type="dxa"/>
            <w:vAlign w:val="bottom"/>
          </w:tcPr>
          <w:p>
            <w:pPr>
              <w:ind w:left="1020"/>
              <w:spacing w:after="0"/>
              <w:rPr>
                <w:sz w:val="20"/>
                <w:szCs w:val="20"/>
                <w:color w:val="auto"/>
              </w:rPr>
            </w:pPr>
            <w:r>
              <w:rPr>
                <w:rFonts w:ascii="Arial" w:cs="Arial" w:eastAsia="Arial" w:hAnsi="Arial"/>
                <w:sz w:val="16"/>
                <w:szCs w:val="16"/>
                <w:b w:val="1"/>
                <w:bCs w:val="1"/>
                <w:color w:val="auto"/>
              </w:rPr>
              <w:t>Total</w:t>
            </w: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982,762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943,362</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00" w:type="dxa"/>
            <w:vAlign w:val="bottom"/>
            <w:vMerge w:val="restart"/>
          </w:tcPr>
          <w:p>
            <w:pPr>
              <w:ind w:left="1020"/>
              <w:spacing w:after="0"/>
              <w:rPr>
                <w:sz w:val="20"/>
                <w:szCs w:val="20"/>
                <w:color w:val="auto"/>
              </w:rPr>
            </w:pPr>
            <w:r>
              <w:rPr>
                <w:rFonts w:ascii="Arial" w:cs="Arial" w:eastAsia="Arial" w:hAnsi="Arial"/>
                <w:sz w:val="16"/>
                <w:szCs w:val="16"/>
                <w:color w:val="auto"/>
              </w:rPr>
              <w:t>Restricted mutual funds, note 6(a)(iv)</w:t>
            </w:r>
          </w:p>
        </w:tc>
        <w:tc>
          <w:tcPr>
            <w:tcW w:w="294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334,162</w:t>
            </w:r>
          </w:p>
        </w:tc>
        <w:tc>
          <w:tcPr>
            <w:tcW w:w="1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351,317</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1"/>
        </w:trPr>
        <w:tc>
          <w:tcPr>
            <w:tcW w:w="5000" w:type="dxa"/>
            <w:vAlign w:val="bottom"/>
          </w:tcPr>
          <w:p>
            <w:pPr>
              <w:spacing w:after="0"/>
              <w:rPr>
                <w:sz w:val="24"/>
                <w:szCs w:val="24"/>
                <w:color w:val="auto"/>
              </w:rPr>
            </w:pPr>
          </w:p>
        </w:tc>
        <w:tc>
          <w:tcPr>
            <w:tcW w:w="2940" w:type="dxa"/>
            <w:vAlign w:val="bottom"/>
          </w:tcPr>
          <w:p>
            <w:pPr>
              <w:jc w:val="right"/>
              <w:ind w:right="209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00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6" w:right="319" w:bottom="1440" w:gutter="0" w:footer="0" w:header="0"/>
        </w:sectPr>
      </w:pPr>
    </w:p>
    <w:bookmarkStart w:id="140" w:name="page141"/>
    <w:bookmarkEnd w:id="140"/>
    <w:p>
      <w:pPr>
        <w:spacing w:after="0"/>
        <w:tabs>
          <w:tab w:leader="none" w:pos="560" w:val="left"/>
        </w:tabs>
        <w:rPr>
          <w:sz w:val="20"/>
          <w:szCs w:val="20"/>
          <w:color w:val="auto"/>
        </w:rPr>
      </w:pPr>
      <w:r>
        <w:rPr>
          <w:rFonts w:ascii="Arial" w:cs="Arial" w:eastAsia="Arial" w:hAnsi="Arial"/>
          <w:sz w:val="16"/>
          <w:szCs w:val="16"/>
          <w:b w:val="1"/>
          <w:bCs w:val="1"/>
          <w:color w:val="auto"/>
        </w:rPr>
        <w:t>29</w:t>
      </w:r>
      <w:r>
        <w:rPr>
          <w:sz w:val="20"/>
          <w:szCs w:val="20"/>
          <w:color w:val="auto"/>
        </w:rPr>
        <w:tab/>
      </w:r>
      <w:r>
        <w:rPr>
          <w:rFonts w:ascii="Arial" w:cs="Arial" w:eastAsia="Arial" w:hAnsi="Arial"/>
          <w:sz w:val="16"/>
          <w:szCs w:val="16"/>
          <w:b w:val="1"/>
          <w:bCs w:val="1"/>
          <w:color w:val="auto"/>
        </w:rPr>
        <w:t>FINANCIAL INSTRUMENTS CLASSIFICATION</w:t>
      </w:r>
    </w:p>
    <w:p>
      <w:pPr>
        <w:spacing w:after="0" w:line="182" w:lineRule="exact"/>
        <w:rPr>
          <w:sz w:val="20"/>
          <w:szCs w:val="20"/>
          <w:color w:val="auto"/>
        </w:rPr>
      </w:pPr>
    </w:p>
    <w:p>
      <w:pPr>
        <w:ind w:left="580" w:right="220"/>
        <w:spacing w:after="0" w:line="280" w:lineRule="auto"/>
        <w:rPr>
          <w:sz w:val="20"/>
          <w:szCs w:val="20"/>
          <w:color w:val="auto"/>
        </w:rPr>
      </w:pPr>
      <w:r>
        <w:rPr>
          <w:rFonts w:ascii="Arial" w:cs="Arial" w:eastAsia="Arial" w:hAnsi="Arial"/>
          <w:sz w:val="16"/>
          <w:szCs w:val="16"/>
          <w:color w:val="auto"/>
        </w:rPr>
        <w:t>The table below shows the carrying amounts of the financial assets and liabilities captions in the consolidated statement of financial position, by categories as defined under IFRS 9 as of December 31,2023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740" w:type="dxa"/>
            <w:vAlign w:val="bottom"/>
          </w:tcPr>
          <w:p>
            <w:pPr>
              <w:spacing w:after="0"/>
              <w:rPr>
                <w:sz w:val="10"/>
                <w:szCs w:val="1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4"/>
          </w:tcPr>
          <w:p>
            <w:pPr>
              <w:ind w:left="60"/>
              <w:spacing w:after="0"/>
              <w:rPr>
                <w:sz w:val="20"/>
                <w:szCs w:val="20"/>
                <w:color w:val="auto"/>
              </w:rPr>
            </w:pPr>
            <w:r>
              <w:rPr>
                <w:rFonts w:ascii="Arial" w:cs="Arial" w:eastAsia="Arial" w:hAnsi="Arial"/>
                <w:sz w:val="10"/>
                <w:szCs w:val="10"/>
                <w:b w:val="1"/>
                <w:bCs w:val="1"/>
                <w:color w:val="auto"/>
              </w:rPr>
              <w:t>Financial assets at fair value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4"/>
          </w:tcPr>
          <w:p>
            <w:pPr>
              <w:ind w:left="40"/>
              <w:spacing w:after="0"/>
              <w:rPr>
                <w:sz w:val="20"/>
                <w:szCs w:val="20"/>
                <w:color w:val="auto"/>
              </w:rPr>
            </w:pPr>
            <w:r>
              <w:rPr>
                <w:rFonts w:ascii="Arial" w:cs="Arial" w:eastAsia="Arial" w:hAnsi="Arial"/>
                <w:sz w:val="10"/>
                <w:szCs w:val="10"/>
                <w:b w:val="1"/>
                <w:bCs w:val="1"/>
                <w:color w:val="auto"/>
              </w:rPr>
              <w:t>Financial assets at fair value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740" w:type="dxa"/>
            <w:vAlign w:val="bottom"/>
          </w:tcPr>
          <w:p>
            <w:pPr>
              <w:spacing w:after="0"/>
              <w:rPr>
                <w:sz w:val="9"/>
                <w:szCs w:val="9"/>
                <w:color w:val="auto"/>
              </w:rPr>
            </w:pPr>
          </w:p>
        </w:tc>
        <w:tc>
          <w:tcPr>
            <w:tcW w:w="1560" w:type="dxa"/>
            <w:vAlign w:val="bottom"/>
            <w:gridSpan w:val="4"/>
          </w:tcPr>
          <w:p>
            <w:pPr>
              <w:ind w:left="60"/>
              <w:spacing w:after="0" w:line="110" w:lineRule="exact"/>
              <w:rPr>
                <w:sz w:val="20"/>
                <w:szCs w:val="20"/>
                <w:color w:val="auto"/>
              </w:rPr>
            </w:pPr>
            <w:r>
              <w:rPr>
                <w:rFonts w:ascii="Arial" w:cs="Arial" w:eastAsia="Arial" w:hAnsi="Arial"/>
                <w:sz w:val="10"/>
                <w:szCs w:val="10"/>
                <w:b w:val="1"/>
                <w:bCs w:val="1"/>
                <w:color w:val="auto"/>
              </w:rPr>
              <w:t>Financial assets and</w:t>
            </w: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through other</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4"/>
          </w:tcPr>
          <w:p>
            <w:pPr>
              <w:ind w:left="60"/>
              <w:spacing w:after="0" w:line="110" w:lineRule="exact"/>
              <w:rPr>
                <w:sz w:val="20"/>
                <w:szCs w:val="20"/>
                <w:color w:val="auto"/>
              </w:rPr>
            </w:pPr>
            <w:r>
              <w:rPr>
                <w:rFonts w:ascii="Arial" w:cs="Arial" w:eastAsia="Arial" w:hAnsi="Arial"/>
                <w:sz w:val="10"/>
                <w:szCs w:val="10"/>
                <w:b w:val="1"/>
                <w:bCs w:val="1"/>
                <w:color w:val="auto"/>
              </w:rPr>
              <w:t>Financial assets and</w:t>
            </w:r>
          </w:p>
        </w:tc>
        <w:tc>
          <w:tcPr>
            <w:tcW w:w="78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through other</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w w:val="96"/>
              </w:rPr>
              <w:t>liabilities at fair</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w w:val="98"/>
              </w:rPr>
              <w:t>comprehensive</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w w:val="98"/>
              </w:rPr>
              <w:t>liabilities at fair</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w w:val="98"/>
              </w:rPr>
              <w:t>comprehensive</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40" w:type="dxa"/>
            <w:vAlign w:val="bottom"/>
          </w:tcPr>
          <w:p>
            <w:pPr>
              <w:spacing w:after="0"/>
              <w:rPr>
                <w:sz w:val="10"/>
                <w:szCs w:val="10"/>
                <w:color w:val="auto"/>
              </w:rPr>
            </w:pPr>
          </w:p>
        </w:tc>
        <w:tc>
          <w:tcPr>
            <w:tcW w:w="156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value through profit or loss</w:t>
            </w: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income</w:t>
            </w:r>
          </w:p>
        </w:tc>
        <w:tc>
          <w:tcPr>
            <w:tcW w:w="6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Financial</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value through profit or loss</w:t>
            </w: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income</w:t>
            </w:r>
          </w:p>
        </w:tc>
        <w:tc>
          <w:tcPr>
            <w:tcW w:w="6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Financial</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ind w:left="80"/>
              <w:spacing w:after="0" w:line="110" w:lineRule="exact"/>
              <w:rPr>
                <w:sz w:val="20"/>
                <w:szCs w:val="20"/>
                <w:color w:val="auto"/>
              </w:rPr>
            </w:pPr>
            <w:r>
              <w:rPr>
                <w:rFonts w:ascii="Arial" w:cs="Arial" w:eastAsia="Arial" w:hAnsi="Arial"/>
                <w:sz w:val="10"/>
                <w:szCs w:val="10"/>
                <w:b w:val="1"/>
                <w:bCs w:val="1"/>
                <w:color w:val="auto"/>
              </w:rPr>
              <w:t>assets and</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assets and</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liabilities</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liabilities</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Investments</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Investments</w:t>
            </w:r>
          </w:p>
        </w:tc>
        <w:tc>
          <w:tcPr>
            <w:tcW w:w="8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measured</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Investments</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Investments</w:t>
            </w: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measured</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Investments</w:t>
            </w: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designated</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designated</w:t>
            </w:r>
          </w:p>
        </w:tc>
        <w:tc>
          <w:tcPr>
            <w:tcW w:w="8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at</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Investments</w:t>
            </w:r>
          </w:p>
        </w:tc>
        <w:tc>
          <w:tcPr>
            <w:tcW w:w="78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designated</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designated</w:t>
            </w: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at</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spacing w:after="0"/>
              <w:rPr>
                <w:sz w:val="9"/>
                <w:szCs w:val="9"/>
                <w:color w:val="auto"/>
              </w:rPr>
            </w:pPr>
          </w:p>
        </w:tc>
        <w:tc>
          <w:tcPr>
            <w:tcW w:w="780" w:type="dxa"/>
            <w:vAlign w:val="bottom"/>
            <w:gridSpan w:val="2"/>
          </w:tcPr>
          <w:p>
            <w:pPr>
              <w:ind w:left="80"/>
              <w:spacing w:after="0" w:line="110" w:lineRule="exact"/>
              <w:rPr>
                <w:sz w:val="20"/>
                <w:szCs w:val="20"/>
                <w:color w:val="auto"/>
              </w:rPr>
            </w:pPr>
            <w:r>
              <w:rPr>
                <w:rFonts w:ascii="Arial" w:cs="Arial" w:eastAsia="Arial" w:hAnsi="Arial"/>
                <w:sz w:val="10"/>
                <w:szCs w:val="10"/>
                <w:b w:val="1"/>
                <w:bCs w:val="1"/>
                <w:color w:val="auto"/>
              </w:rPr>
              <w:t>and</w:t>
            </w: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at</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at</w:t>
            </w:r>
          </w:p>
        </w:tc>
        <w:tc>
          <w:tcPr>
            <w:tcW w:w="8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amortized</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80"/>
              <w:spacing w:after="0" w:line="110" w:lineRule="exact"/>
              <w:rPr>
                <w:sz w:val="20"/>
                <w:szCs w:val="20"/>
                <w:color w:val="auto"/>
              </w:rPr>
            </w:pPr>
            <w:r>
              <w:rPr>
                <w:rFonts w:ascii="Arial" w:cs="Arial" w:eastAsia="Arial" w:hAnsi="Arial"/>
                <w:sz w:val="10"/>
                <w:szCs w:val="10"/>
                <w:b w:val="1"/>
                <w:bCs w:val="1"/>
                <w:color w:val="auto"/>
              </w:rPr>
              <w:t>and</w:t>
            </w:r>
          </w:p>
        </w:tc>
        <w:tc>
          <w:tcPr>
            <w:tcW w:w="78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at</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at</w:t>
            </w:r>
          </w:p>
        </w:tc>
        <w:tc>
          <w:tcPr>
            <w:tcW w:w="780" w:type="dxa"/>
            <w:vAlign w:val="bottom"/>
            <w:gridSpan w:val="2"/>
          </w:tcPr>
          <w:p>
            <w:pPr>
              <w:ind w:left="80"/>
              <w:spacing w:after="0" w:line="110" w:lineRule="exact"/>
              <w:rPr>
                <w:sz w:val="20"/>
                <w:szCs w:val="20"/>
                <w:color w:val="auto"/>
              </w:rPr>
            </w:pPr>
            <w:r>
              <w:rPr>
                <w:rFonts w:ascii="Arial" w:cs="Arial" w:eastAsia="Arial" w:hAnsi="Arial"/>
                <w:sz w:val="10"/>
                <w:szCs w:val="10"/>
                <w:b w:val="1"/>
                <w:bCs w:val="1"/>
                <w:color w:val="auto"/>
              </w:rPr>
              <w:t>amortized</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4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derivates</w:t>
            </w: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inception</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Investments</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inception</w:t>
            </w:r>
          </w:p>
        </w:tc>
        <w:tc>
          <w:tcPr>
            <w:tcW w:w="800" w:type="dxa"/>
            <w:vAlign w:val="bottom"/>
            <w:gridSpan w:val="2"/>
          </w:tcPr>
          <w:p>
            <w:pPr>
              <w:ind w:left="40"/>
              <w:spacing w:after="0"/>
              <w:rPr>
                <w:sz w:val="20"/>
                <w:szCs w:val="20"/>
                <w:color w:val="auto"/>
              </w:rPr>
            </w:pPr>
            <w:r>
              <w:rPr>
                <w:rFonts w:ascii="Arial" w:cs="Arial" w:eastAsia="Arial" w:hAnsi="Arial"/>
                <w:sz w:val="10"/>
                <w:szCs w:val="10"/>
                <w:b w:val="1"/>
                <w:bCs w:val="1"/>
                <w:color w:val="auto"/>
              </w:rPr>
              <w:t>cost</w:t>
            </w:r>
          </w:p>
        </w:tc>
        <w:tc>
          <w:tcPr>
            <w:tcW w:w="800" w:type="dxa"/>
            <w:vAlign w:val="bottom"/>
            <w:gridSpan w:val="2"/>
          </w:tcPr>
          <w:p>
            <w:pPr>
              <w:ind w:left="220"/>
              <w:spacing w:after="0"/>
              <w:rPr>
                <w:sz w:val="20"/>
                <w:szCs w:val="20"/>
                <w:color w:val="auto"/>
              </w:rPr>
            </w:pPr>
            <w:r>
              <w:rPr>
                <w:rFonts w:ascii="Arial" w:cs="Arial" w:eastAsia="Arial" w:hAnsi="Arial"/>
                <w:sz w:val="10"/>
                <w:szCs w:val="10"/>
                <w:b w:val="1"/>
                <w:bCs w:val="1"/>
                <w:color w:val="auto"/>
              </w:rPr>
              <w:t>Total</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derivates</w:t>
            </w:r>
          </w:p>
        </w:tc>
        <w:tc>
          <w:tcPr>
            <w:tcW w:w="780" w:type="dxa"/>
            <w:vAlign w:val="bottom"/>
            <w:gridSpan w:val="2"/>
          </w:tcPr>
          <w:p>
            <w:pPr>
              <w:ind w:left="40"/>
              <w:spacing w:after="0"/>
              <w:rPr>
                <w:sz w:val="20"/>
                <w:szCs w:val="20"/>
                <w:color w:val="auto"/>
              </w:rPr>
            </w:pPr>
            <w:r>
              <w:rPr>
                <w:rFonts w:ascii="Arial" w:cs="Arial" w:eastAsia="Arial" w:hAnsi="Arial"/>
                <w:sz w:val="10"/>
                <w:szCs w:val="10"/>
                <w:b w:val="1"/>
                <w:bCs w:val="1"/>
                <w:color w:val="auto"/>
              </w:rPr>
              <w:t>inception</w:t>
            </w:r>
          </w:p>
        </w:tc>
        <w:tc>
          <w:tcPr>
            <w:tcW w:w="780" w:type="dxa"/>
            <w:vAlign w:val="bottom"/>
            <w:gridSpan w:val="2"/>
          </w:tcPr>
          <w:p>
            <w:pPr>
              <w:ind w:left="40"/>
              <w:spacing w:after="0"/>
              <w:rPr>
                <w:sz w:val="20"/>
                <w:szCs w:val="20"/>
                <w:color w:val="auto"/>
              </w:rPr>
            </w:pPr>
            <w:r>
              <w:rPr>
                <w:rFonts w:ascii="Arial" w:cs="Arial" w:eastAsia="Arial" w:hAnsi="Arial"/>
                <w:sz w:val="10"/>
                <w:szCs w:val="10"/>
                <w:b w:val="1"/>
                <w:bCs w:val="1"/>
                <w:color w:val="auto"/>
              </w:rPr>
              <w:t>Investments</w:t>
            </w: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inception</w:t>
            </w: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cost</w:t>
            </w:r>
          </w:p>
        </w:tc>
        <w:tc>
          <w:tcPr>
            <w:tcW w:w="680" w:type="dxa"/>
            <w:vAlign w:val="bottom"/>
          </w:tcPr>
          <w:p>
            <w:pPr>
              <w:jc w:val="right"/>
              <w:ind w:right="17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7"/>
        </w:trPr>
        <w:tc>
          <w:tcPr>
            <w:tcW w:w="1740" w:type="dxa"/>
            <w:vAlign w:val="bottom"/>
            <w:vMerge w:val="restart"/>
          </w:tcPr>
          <w:p>
            <w:pPr>
              <w:spacing w:after="0"/>
              <w:rPr>
                <w:sz w:val="20"/>
                <w:szCs w:val="20"/>
                <w:color w:val="auto"/>
              </w:rPr>
            </w:pPr>
            <w:r>
              <w:rPr>
                <w:rFonts w:ascii="Arial" w:cs="Arial" w:eastAsia="Arial" w:hAnsi="Arial"/>
                <w:sz w:val="10"/>
                <w:szCs w:val="10"/>
                <w:b w:val="1"/>
                <w:bCs w:val="1"/>
                <w:color w:val="auto"/>
              </w:rPr>
              <w:t>Assets</w:t>
            </w: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1"/>
                <w:szCs w:val="11"/>
                <w:color w:val="auto"/>
              </w:rPr>
            </w:pP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1"/>
                <w:szCs w:val="11"/>
                <w:color w:val="auto"/>
              </w:rPr>
            </w:pP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11"/>
                <w:szCs w:val="11"/>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11"/>
                <w:szCs w:val="11"/>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11"/>
                <w:szCs w:val="11"/>
                <w:color w:val="auto"/>
              </w:rPr>
            </w:pP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11"/>
                <w:szCs w:val="11"/>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11"/>
                <w:szCs w:val="11"/>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11"/>
                <w:szCs w:val="11"/>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11"/>
                <w:szCs w:val="11"/>
                <w:color w:val="auto"/>
              </w:rPr>
            </w:pP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1"/>
                <w:szCs w:val="11"/>
                <w:color w:val="auto"/>
              </w:rPr>
            </w:pPr>
          </w:p>
        </w:tc>
        <w:tc>
          <w:tcPr>
            <w:tcW w:w="680" w:type="dxa"/>
            <w:vAlign w:val="bottom"/>
            <w:tcBorders>
              <w:top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S/(000)</w:t>
            </w:r>
          </w:p>
        </w:tc>
        <w:tc>
          <w:tcPr>
            <w:tcW w:w="0" w:type="dxa"/>
            <w:vAlign w:val="bottom"/>
          </w:tcPr>
          <w:p>
            <w:pPr>
              <w:spacing w:after="0"/>
              <w:rPr>
                <w:sz w:val="1"/>
                <w:szCs w:val="1"/>
                <w:color w:val="auto"/>
              </w:rPr>
            </w:pPr>
          </w:p>
        </w:tc>
      </w:tr>
      <w:tr>
        <w:trPr>
          <w:trHeight w:val="97"/>
        </w:trPr>
        <w:tc>
          <w:tcPr>
            <w:tcW w:w="17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740" w:type="dxa"/>
            <w:vAlign w:val="bottom"/>
          </w:tcPr>
          <w:p>
            <w:pPr>
              <w:spacing w:after="0"/>
              <w:rPr>
                <w:sz w:val="20"/>
                <w:szCs w:val="20"/>
                <w:color w:val="auto"/>
              </w:rPr>
            </w:pPr>
            <w:r>
              <w:rPr>
                <w:rFonts w:ascii="Arial" w:cs="Arial" w:eastAsia="Arial" w:hAnsi="Arial"/>
                <w:sz w:val="10"/>
                <w:szCs w:val="10"/>
                <w:color w:val="auto"/>
              </w:rPr>
              <w:t>Cash and due from banks</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33,930,948</w:t>
            </w:r>
          </w:p>
        </w:tc>
        <w:tc>
          <w:tcPr>
            <w:tcW w:w="140" w:type="dxa"/>
            <w:vAlign w:val="bottom"/>
          </w:tcPr>
          <w:p>
            <w:pPr>
              <w:spacing w:after="0"/>
              <w:rPr>
                <w:sz w:val="17"/>
                <w:szCs w:val="17"/>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33,930,948</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34,183,840</w:t>
            </w:r>
          </w:p>
        </w:tc>
        <w:tc>
          <w:tcPr>
            <w:tcW w:w="100" w:type="dxa"/>
            <w:vAlign w:val="bottom"/>
          </w:tcPr>
          <w:p>
            <w:pPr>
              <w:spacing w:after="0"/>
              <w:rPr>
                <w:sz w:val="17"/>
                <w:szCs w:val="17"/>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34,183,840</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Cash collateral, reverse repurchase</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ind w:left="140"/>
              <w:spacing w:after="0" w:line="110" w:lineRule="exact"/>
              <w:rPr>
                <w:sz w:val="20"/>
                <w:szCs w:val="20"/>
                <w:color w:val="auto"/>
              </w:rPr>
            </w:pPr>
            <w:r>
              <w:rPr>
                <w:rFonts w:ascii="Arial" w:cs="Arial" w:eastAsia="Arial" w:hAnsi="Arial"/>
                <w:sz w:val="10"/>
                <w:szCs w:val="10"/>
                <w:color w:val="auto"/>
              </w:rPr>
              <w:t>agreements and securities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ind w:left="140"/>
              <w:spacing w:after="0" w:line="110" w:lineRule="exact"/>
              <w:rPr>
                <w:sz w:val="20"/>
                <w:szCs w:val="20"/>
                <w:color w:val="auto"/>
              </w:rPr>
            </w:pPr>
            <w:r>
              <w:rPr>
                <w:rFonts w:ascii="Arial" w:cs="Arial" w:eastAsia="Arial" w:hAnsi="Arial"/>
                <w:sz w:val="10"/>
                <w:szCs w:val="10"/>
                <w:color w:val="auto"/>
              </w:rPr>
              <w:t>borrowings</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1,410,647</w:t>
            </w:r>
          </w:p>
        </w:tc>
        <w:tc>
          <w:tcPr>
            <w:tcW w:w="14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1,410,647</w:t>
            </w:r>
          </w:p>
        </w:tc>
        <w:tc>
          <w:tcPr>
            <w:tcW w:w="120" w:type="dxa"/>
            <w:vAlign w:val="bottom"/>
          </w:tcPr>
          <w:p>
            <w:pPr>
              <w:spacing w:after="0"/>
              <w:rPr>
                <w:sz w:val="9"/>
                <w:szCs w:val="9"/>
                <w:color w:val="auto"/>
              </w:rPr>
            </w:pP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1,101,856</w:t>
            </w:r>
          </w:p>
        </w:tc>
        <w:tc>
          <w:tcPr>
            <w:tcW w:w="10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1,101,856</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At fair value through profit or loss</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4,982,661</w:t>
            </w:r>
          </w:p>
        </w:tc>
        <w:tc>
          <w:tcPr>
            <w:tcW w:w="100" w:type="dxa"/>
            <w:vAlign w:val="bottom"/>
          </w:tcPr>
          <w:p>
            <w:pPr>
              <w:spacing w:after="0"/>
              <w:rPr>
                <w:sz w:val="9"/>
                <w:szCs w:val="9"/>
                <w:color w:val="auto"/>
              </w:rPr>
            </w:pP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4,982,661</w:t>
            </w:r>
          </w:p>
        </w:tc>
        <w:tc>
          <w:tcPr>
            <w:tcW w:w="120" w:type="dxa"/>
            <w:vAlign w:val="bottom"/>
          </w:tcPr>
          <w:p>
            <w:pPr>
              <w:spacing w:after="0"/>
              <w:rPr>
                <w:sz w:val="9"/>
                <w:szCs w:val="9"/>
                <w:color w:val="auto"/>
              </w:rPr>
            </w:pPr>
          </w:p>
        </w:tc>
        <w:tc>
          <w:tcPr>
            <w:tcW w:w="680" w:type="dxa"/>
            <w:vAlign w:val="bottom"/>
          </w:tcPr>
          <w:p>
            <w:pPr>
              <w:jc w:val="right"/>
              <w:spacing w:after="0" w:line="110" w:lineRule="exact"/>
              <w:rPr>
                <w:sz w:val="20"/>
                <w:szCs w:val="20"/>
                <w:color w:val="auto"/>
              </w:rPr>
            </w:pPr>
            <w:r>
              <w:rPr>
                <w:rFonts w:ascii="Arial" w:cs="Arial" w:eastAsia="Arial" w:hAnsi="Arial"/>
                <w:sz w:val="10"/>
                <w:szCs w:val="10"/>
                <w:color w:val="auto"/>
              </w:rPr>
              <w:t>4,199,334</w:t>
            </w:r>
          </w:p>
        </w:tc>
        <w:tc>
          <w:tcPr>
            <w:tcW w:w="120" w:type="dxa"/>
            <w:vAlign w:val="bottom"/>
          </w:tcPr>
          <w:p>
            <w:pPr>
              <w:spacing w:after="0"/>
              <w:rPr>
                <w:sz w:val="9"/>
                <w:szCs w:val="9"/>
                <w:color w:val="auto"/>
              </w:rPr>
            </w:pP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4,199,334</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Investments at fair value through</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ind w:left="140"/>
              <w:spacing w:after="0" w:line="110" w:lineRule="exact"/>
              <w:rPr>
                <w:sz w:val="20"/>
                <w:szCs w:val="20"/>
                <w:color w:val="auto"/>
              </w:rPr>
            </w:pPr>
            <w:r>
              <w:rPr>
                <w:rFonts w:ascii="Arial" w:cs="Arial" w:eastAsia="Arial" w:hAnsi="Arial"/>
                <w:sz w:val="10"/>
                <w:szCs w:val="10"/>
                <w:color w:val="auto"/>
              </w:rPr>
              <w:t>other comprehensive income,</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ind w:left="140"/>
              <w:spacing w:after="0" w:line="110" w:lineRule="exact"/>
              <w:rPr>
                <w:sz w:val="20"/>
                <w:szCs w:val="20"/>
                <w:color w:val="auto"/>
              </w:rPr>
            </w:pPr>
            <w:r>
              <w:rPr>
                <w:rFonts w:ascii="Arial" w:cs="Arial" w:eastAsia="Arial" w:hAnsi="Arial"/>
                <w:sz w:val="10"/>
                <w:szCs w:val="10"/>
                <w:color w:val="auto"/>
              </w:rPr>
              <w:t>Note 6(b)</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spacing w:after="0" w:line="110" w:lineRule="exact"/>
              <w:rPr>
                <w:sz w:val="20"/>
                <w:szCs w:val="20"/>
                <w:color w:val="auto"/>
              </w:rPr>
            </w:pPr>
            <w:r>
              <w:rPr>
                <w:rFonts w:ascii="Arial" w:cs="Arial" w:eastAsia="Arial" w:hAnsi="Arial"/>
                <w:sz w:val="10"/>
                <w:szCs w:val="10"/>
                <w:color w:val="auto"/>
              </w:rPr>
              <w:t>36,709,138</w:t>
            </w:r>
          </w:p>
        </w:tc>
        <w:tc>
          <w:tcPr>
            <w:tcW w:w="120" w:type="dxa"/>
            <w:vAlign w:val="bottom"/>
          </w:tcPr>
          <w:p>
            <w:pPr>
              <w:spacing w:after="0"/>
              <w:rPr>
                <w:sz w:val="9"/>
                <w:szCs w:val="9"/>
                <w:color w:val="auto"/>
              </w:rPr>
            </w:pP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334,802</w:t>
            </w:r>
          </w:p>
        </w:tc>
        <w:tc>
          <w:tcPr>
            <w:tcW w:w="140" w:type="dxa"/>
            <w:vAlign w:val="bottom"/>
          </w:tcPr>
          <w:p>
            <w:pPr>
              <w:spacing w:after="0"/>
              <w:rPr>
                <w:sz w:val="9"/>
                <w:szCs w:val="9"/>
                <w:color w:val="auto"/>
              </w:rPr>
            </w:pP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37,043,940</w:t>
            </w:r>
          </w:p>
        </w:tc>
        <w:tc>
          <w:tcPr>
            <w:tcW w:w="120" w:type="dxa"/>
            <w:vAlign w:val="bottom"/>
          </w:tcPr>
          <w:p>
            <w:pPr>
              <w:spacing w:after="0"/>
              <w:rPr>
                <w:sz w:val="9"/>
                <w:szCs w:val="9"/>
                <w:color w:val="auto"/>
              </w:rPr>
            </w:pP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30,449,806</w:t>
            </w:r>
          </w:p>
        </w:tc>
        <w:tc>
          <w:tcPr>
            <w:tcW w:w="120" w:type="dxa"/>
            <w:vAlign w:val="bottom"/>
          </w:tcPr>
          <w:p>
            <w:pPr>
              <w:spacing w:after="0"/>
              <w:rPr>
                <w:sz w:val="9"/>
                <w:szCs w:val="9"/>
                <w:color w:val="auto"/>
              </w:rPr>
            </w:pP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336,355</w:t>
            </w:r>
          </w:p>
        </w:tc>
        <w:tc>
          <w:tcPr>
            <w:tcW w:w="140" w:type="dxa"/>
            <w:vAlign w:val="bottom"/>
          </w:tcPr>
          <w:p>
            <w:pPr>
              <w:spacing w:after="0"/>
              <w:rPr>
                <w:sz w:val="9"/>
                <w:szCs w:val="9"/>
                <w:color w:val="auto"/>
              </w:rPr>
            </w:pP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30,786,161</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Amortized cost investments</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10,188,927</w:t>
            </w:r>
          </w:p>
        </w:tc>
        <w:tc>
          <w:tcPr>
            <w:tcW w:w="14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10,188,927</w:t>
            </w:r>
          </w:p>
        </w:tc>
        <w:tc>
          <w:tcPr>
            <w:tcW w:w="120" w:type="dxa"/>
            <w:vAlign w:val="bottom"/>
          </w:tcPr>
          <w:p>
            <w:pPr>
              <w:spacing w:after="0"/>
              <w:rPr>
                <w:sz w:val="9"/>
                <w:szCs w:val="9"/>
                <w:color w:val="auto"/>
              </w:rPr>
            </w:pP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10,445,729</w:t>
            </w:r>
          </w:p>
        </w:tc>
        <w:tc>
          <w:tcPr>
            <w:tcW w:w="10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10,445,729</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Loans, net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136,698,135</w:t>
            </w:r>
          </w:p>
        </w:tc>
        <w:tc>
          <w:tcPr>
            <w:tcW w:w="14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136,698,135</w:t>
            </w:r>
          </w:p>
        </w:tc>
        <w:tc>
          <w:tcPr>
            <w:tcW w:w="120" w:type="dxa"/>
            <w:vAlign w:val="bottom"/>
          </w:tcPr>
          <w:p>
            <w:pPr>
              <w:spacing w:after="0"/>
              <w:rPr>
                <w:sz w:val="9"/>
                <w:szCs w:val="9"/>
                <w:color w:val="auto"/>
              </w:rPr>
            </w:pP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140,753,972</w:t>
            </w:r>
          </w:p>
        </w:tc>
        <w:tc>
          <w:tcPr>
            <w:tcW w:w="10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140,753,972</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Financial assets designated at fair</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ind w:left="140"/>
              <w:spacing w:after="0" w:line="110" w:lineRule="exact"/>
              <w:rPr>
                <w:sz w:val="20"/>
                <w:szCs w:val="20"/>
                <w:color w:val="auto"/>
              </w:rPr>
            </w:pPr>
            <w:r>
              <w:rPr>
                <w:rFonts w:ascii="Arial" w:cs="Arial" w:eastAsia="Arial" w:hAnsi="Arial"/>
                <w:sz w:val="10"/>
                <w:szCs w:val="10"/>
                <w:color w:val="auto"/>
              </w:rPr>
              <w:t>value through profit or loss</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spacing w:after="0" w:line="110" w:lineRule="exact"/>
              <w:rPr>
                <w:sz w:val="20"/>
                <w:szCs w:val="20"/>
                <w:color w:val="auto"/>
              </w:rPr>
            </w:pPr>
            <w:r>
              <w:rPr>
                <w:rFonts w:ascii="Arial" w:cs="Arial" w:eastAsia="Arial" w:hAnsi="Arial"/>
                <w:sz w:val="10"/>
                <w:szCs w:val="10"/>
                <w:color w:val="auto"/>
              </w:rPr>
              <w:t>810,932</w:t>
            </w:r>
          </w:p>
        </w:tc>
        <w:tc>
          <w:tcPr>
            <w:tcW w:w="100" w:type="dxa"/>
            <w:vAlign w:val="bottom"/>
          </w:tcPr>
          <w:p>
            <w:pPr>
              <w:spacing w:after="0"/>
              <w:rPr>
                <w:sz w:val="9"/>
                <w:szCs w:val="9"/>
                <w:color w:val="auto"/>
              </w:rPr>
            </w:pP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810,932</w:t>
            </w:r>
          </w:p>
        </w:tc>
        <w:tc>
          <w:tcPr>
            <w:tcW w:w="120" w:type="dxa"/>
            <w:vAlign w:val="bottom"/>
          </w:tcPr>
          <w:p>
            <w:pPr>
              <w:spacing w:after="0"/>
              <w:rPr>
                <w:sz w:val="9"/>
                <w:szCs w:val="9"/>
                <w:color w:val="auto"/>
              </w:rPr>
            </w:pP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768,801</w:t>
            </w:r>
          </w:p>
        </w:tc>
        <w:tc>
          <w:tcPr>
            <w:tcW w:w="120" w:type="dxa"/>
            <w:vAlign w:val="bottom"/>
          </w:tcPr>
          <w:p>
            <w:pPr>
              <w:spacing w:after="0"/>
              <w:rPr>
                <w:sz w:val="9"/>
                <w:szCs w:val="9"/>
                <w:color w:val="auto"/>
              </w:rPr>
            </w:pP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768,801</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Due from customers on banker’s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ind w:left="140"/>
              <w:spacing w:after="0" w:line="110" w:lineRule="exact"/>
              <w:rPr>
                <w:sz w:val="20"/>
                <w:szCs w:val="20"/>
                <w:color w:val="auto"/>
              </w:rPr>
            </w:pPr>
            <w:r>
              <w:rPr>
                <w:rFonts w:ascii="Arial" w:cs="Arial" w:eastAsia="Arial" w:hAnsi="Arial"/>
                <w:sz w:val="10"/>
                <w:szCs w:val="10"/>
                <w:color w:val="auto"/>
              </w:rPr>
              <w:t>acceptances</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412,401</w:t>
            </w:r>
          </w:p>
        </w:tc>
        <w:tc>
          <w:tcPr>
            <w:tcW w:w="14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412,401</w:t>
            </w:r>
          </w:p>
        </w:tc>
        <w:tc>
          <w:tcPr>
            <w:tcW w:w="120" w:type="dxa"/>
            <w:vAlign w:val="bottom"/>
          </w:tcPr>
          <w:p>
            <w:pPr>
              <w:spacing w:after="0"/>
              <w:rPr>
                <w:sz w:val="9"/>
                <w:szCs w:val="9"/>
                <w:color w:val="auto"/>
              </w:rPr>
            </w:pP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699,678</w:t>
            </w:r>
          </w:p>
        </w:tc>
        <w:tc>
          <w:tcPr>
            <w:tcW w:w="10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699,678</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20"/>
                <w:szCs w:val="20"/>
                <w:color w:val="auto"/>
              </w:rPr>
            </w:pPr>
            <w:r>
              <w:rPr>
                <w:rFonts w:ascii="Arial" w:cs="Arial" w:eastAsia="Arial" w:hAnsi="Arial"/>
                <w:sz w:val="10"/>
                <w:szCs w:val="10"/>
                <w:color w:val="auto"/>
              </w:rPr>
              <w:t>Other assets, Note 12(a)</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987,663</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2,072,603</w:t>
            </w:r>
          </w:p>
        </w:tc>
        <w:tc>
          <w:tcPr>
            <w:tcW w:w="14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3,060,266</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1,478,726</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1,747,412</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3,226,138</w:t>
            </w:r>
          </w:p>
        </w:tc>
        <w:tc>
          <w:tcPr>
            <w:tcW w:w="0" w:type="dxa"/>
            <w:vAlign w:val="bottom"/>
          </w:tcPr>
          <w:p>
            <w:pPr>
              <w:spacing w:after="0"/>
              <w:rPr>
                <w:sz w:val="1"/>
                <w:szCs w:val="1"/>
                <w:color w:val="auto"/>
              </w:rPr>
            </w:pPr>
          </w:p>
        </w:tc>
      </w:tr>
      <w:tr>
        <w:trPr>
          <w:trHeight w:val="107"/>
        </w:trPr>
        <w:tc>
          <w:tcPr>
            <w:tcW w:w="174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5,970,324</w:t>
            </w:r>
          </w:p>
        </w:tc>
        <w:tc>
          <w:tcPr>
            <w:tcW w:w="10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810,932</w:t>
            </w:r>
          </w:p>
        </w:tc>
        <w:tc>
          <w:tcPr>
            <w:tcW w:w="10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36,709,138</w:t>
            </w:r>
          </w:p>
        </w:tc>
        <w:tc>
          <w:tcPr>
            <w:tcW w:w="12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334,802</w:t>
            </w:r>
          </w:p>
        </w:tc>
        <w:tc>
          <w:tcPr>
            <w:tcW w:w="14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184,713,661</w:t>
            </w:r>
          </w:p>
        </w:tc>
        <w:tc>
          <w:tcPr>
            <w:tcW w:w="14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228,538,857</w:t>
            </w:r>
          </w:p>
        </w:tc>
        <w:tc>
          <w:tcPr>
            <w:tcW w:w="12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5,678,060</w:t>
            </w:r>
          </w:p>
        </w:tc>
        <w:tc>
          <w:tcPr>
            <w:tcW w:w="12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768,801</w:t>
            </w:r>
          </w:p>
        </w:tc>
        <w:tc>
          <w:tcPr>
            <w:tcW w:w="12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30,449,806</w:t>
            </w:r>
          </w:p>
        </w:tc>
        <w:tc>
          <w:tcPr>
            <w:tcW w:w="12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336,355</w:t>
            </w:r>
          </w:p>
        </w:tc>
        <w:tc>
          <w:tcPr>
            <w:tcW w:w="14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188,932,487</w:t>
            </w:r>
          </w:p>
        </w:tc>
        <w:tc>
          <w:tcPr>
            <w:tcW w:w="10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226,165,509</w:t>
            </w:r>
          </w:p>
        </w:tc>
        <w:tc>
          <w:tcPr>
            <w:tcW w:w="0" w:type="dxa"/>
            <w:vAlign w:val="bottom"/>
          </w:tcPr>
          <w:p>
            <w:pPr>
              <w:spacing w:after="0"/>
              <w:rPr>
                <w:sz w:val="1"/>
                <w:szCs w:val="1"/>
                <w:color w:val="auto"/>
              </w:rPr>
            </w:pPr>
          </w:p>
        </w:tc>
      </w:tr>
      <w:tr>
        <w:trPr>
          <w:trHeight w:val="231"/>
        </w:trPr>
        <w:tc>
          <w:tcPr>
            <w:tcW w:w="1740" w:type="dxa"/>
            <w:vAlign w:val="bottom"/>
          </w:tcPr>
          <w:p>
            <w:pPr>
              <w:spacing w:after="0"/>
              <w:rPr>
                <w:sz w:val="20"/>
                <w:szCs w:val="20"/>
                <w:color w:val="auto"/>
              </w:rPr>
            </w:pPr>
            <w:r>
              <w:rPr>
                <w:rFonts w:ascii="Arial" w:cs="Arial" w:eastAsia="Arial" w:hAnsi="Arial"/>
                <w:sz w:val="10"/>
                <w:szCs w:val="10"/>
                <w:b w:val="1"/>
                <w:bCs w:val="1"/>
                <w:color w:val="auto"/>
              </w:rPr>
              <w:t>Liabilities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740" w:type="dxa"/>
            <w:vAlign w:val="bottom"/>
          </w:tcPr>
          <w:p>
            <w:pPr>
              <w:spacing w:after="0"/>
              <w:rPr>
                <w:sz w:val="20"/>
                <w:szCs w:val="20"/>
                <w:color w:val="auto"/>
              </w:rPr>
            </w:pPr>
            <w:r>
              <w:rPr>
                <w:rFonts w:ascii="Arial" w:cs="Arial" w:eastAsia="Arial" w:hAnsi="Arial"/>
                <w:sz w:val="10"/>
                <w:szCs w:val="10"/>
                <w:color w:val="auto"/>
              </w:rPr>
              <w:t>Deposits and obligations</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147,704,994</w:t>
            </w:r>
          </w:p>
        </w:tc>
        <w:tc>
          <w:tcPr>
            <w:tcW w:w="140" w:type="dxa"/>
            <w:vAlign w:val="bottom"/>
          </w:tcPr>
          <w:p>
            <w:pPr>
              <w:spacing w:after="0"/>
              <w:rPr>
                <w:sz w:val="17"/>
                <w:szCs w:val="17"/>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147,704,994</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147,020,787</w:t>
            </w:r>
          </w:p>
        </w:tc>
        <w:tc>
          <w:tcPr>
            <w:tcW w:w="100" w:type="dxa"/>
            <w:vAlign w:val="bottom"/>
          </w:tcPr>
          <w:p>
            <w:pPr>
              <w:spacing w:after="0"/>
              <w:rPr>
                <w:sz w:val="17"/>
                <w:szCs w:val="17"/>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147,020,787</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Payables from repurchase</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ind w:left="140"/>
              <w:spacing w:after="0" w:line="110" w:lineRule="exact"/>
              <w:rPr>
                <w:sz w:val="20"/>
                <w:szCs w:val="20"/>
                <w:color w:val="auto"/>
              </w:rPr>
            </w:pPr>
            <w:r>
              <w:rPr>
                <w:rFonts w:ascii="Arial" w:cs="Arial" w:eastAsia="Arial" w:hAnsi="Arial"/>
                <w:sz w:val="10"/>
                <w:szCs w:val="10"/>
                <w:color w:val="auto"/>
              </w:rPr>
              <w:t>agreements and securities lending</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10,168,427</w:t>
            </w:r>
          </w:p>
        </w:tc>
        <w:tc>
          <w:tcPr>
            <w:tcW w:w="14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10,168,427</w:t>
            </w:r>
          </w:p>
        </w:tc>
        <w:tc>
          <w:tcPr>
            <w:tcW w:w="120" w:type="dxa"/>
            <w:vAlign w:val="bottom"/>
          </w:tcPr>
          <w:p>
            <w:pPr>
              <w:spacing w:after="0"/>
              <w:rPr>
                <w:sz w:val="9"/>
                <w:szCs w:val="9"/>
                <w:color w:val="auto"/>
              </w:rPr>
            </w:pP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12,966,725</w:t>
            </w:r>
          </w:p>
        </w:tc>
        <w:tc>
          <w:tcPr>
            <w:tcW w:w="10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12,966,725</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Due to banks and correspondents</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12,278,681</w:t>
            </w:r>
          </w:p>
        </w:tc>
        <w:tc>
          <w:tcPr>
            <w:tcW w:w="14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12,278,681</w:t>
            </w:r>
          </w:p>
        </w:tc>
        <w:tc>
          <w:tcPr>
            <w:tcW w:w="120" w:type="dxa"/>
            <w:vAlign w:val="bottom"/>
          </w:tcPr>
          <w:p>
            <w:pPr>
              <w:spacing w:after="0"/>
              <w:rPr>
                <w:sz w:val="9"/>
                <w:szCs w:val="9"/>
                <w:color w:val="auto"/>
              </w:rPr>
            </w:pP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8,937,411</w:t>
            </w:r>
          </w:p>
        </w:tc>
        <w:tc>
          <w:tcPr>
            <w:tcW w:w="10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8,937,411</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Due from customers on banker’s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ind w:left="140"/>
              <w:spacing w:after="0" w:line="110" w:lineRule="exact"/>
              <w:rPr>
                <w:sz w:val="20"/>
                <w:szCs w:val="20"/>
                <w:color w:val="auto"/>
              </w:rPr>
            </w:pPr>
            <w:r>
              <w:rPr>
                <w:rFonts w:ascii="Arial" w:cs="Arial" w:eastAsia="Arial" w:hAnsi="Arial"/>
                <w:sz w:val="10"/>
                <w:szCs w:val="10"/>
                <w:color w:val="auto"/>
              </w:rPr>
              <w:t>acceptances</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412,401</w:t>
            </w:r>
          </w:p>
        </w:tc>
        <w:tc>
          <w:tcPr>
            <w:tcW w:w="14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412,401</w:t>
            </w:r>
          </w:p>
        </w:tc>
        <w:tc>
          <w:tcPr>
            <w:tcW w:w="120" w:type="dxa"/>
            <w:vAlign w:val="bottom"/>
          </w:tcPr>
          <w:p>
            <w:pPr>
              <w:spacing w:after="0"/>
              <w:rPr>
                <w:sz w:val="9"/>
                <w:szCs w:val="9"/>
                <w:color w:val="auto"/>
              </w:rPr>
            </w:pP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699,678</w:t>
            </w:r>
          </w:p>
        </w:tc>
        <w:tc>
          <w:tcPr>
            <w:tcW w:w="10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699,678</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Lease liabilities</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512,579</w:t>
            </w:r>
          </w:p>
        </w:tc>
        <w:tc>
          <w:tcPr>
            <w:tcW w:w="14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512,579</w:t>
            </w:r>
          </w:p>
        </w:tc>
        <w:tc>
          <w:tcPr>
            <w:tcW w:w="120" w:type="dxa"/>
            <w:vAlign w:val="bottom"/>
          </w:tcPr>
          <w:p>
            <w:pPr>
              <w:spacing w:after="0"/>
              <w:rPr>
                <w:sz w:val="9"/>
                <w:szCs w:val="9"/>
                <w:color w:val="auto"/>
              </w:rPr>
            </w:pP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578,074</w:t>
            </w:r>
          </w:p>
        </w:tc>
        <w:tc>
          <w:tcPr>
            <w:tcW w:w="10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578,074</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Financial liabilities at fair value</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740" w:type="dxa"/>
            <w:vAlign w:val="bottom"/>
          </w:tcPr>
          <w:p>
            <w:pPr>
              <w:ind w:left="140"/>
              <w:spacing w:after="0" w:line="110" w:lineRule="exact"/>
              <w:rPr>
                <w:sz w:val="20"/>
                <w:szCs w:val="20"/>
                <w:color w:val="auto"/>
              </w:rPr>
            </w:pPr>
            <w:r>
              <w:rPr>
                <w:rFonts w:ascii="Arial" w:cs="Arial" w:eastAsia="Arial" w:hAnsi="Arial"/>
                <w:sz w:val="10"/>
                <w:szCs w:val="10"/>
                <w:color w:val="auto"/>
              </w:rPr>
              <w:t>through profit or loss</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641,915</w:t>
            </w:r>
          </w:p>
        </w:tc>
        <w:tc>
          <w:tcPr>
            <w:tcW w:w="100" w:type="dxa"/>
            <w:vAlign w:val="bottom"/>
          </w:tcPr>
          <w:p>
            <w:pPr>
              <w:spacing w:after="0"/>
              <w:rPr>
                <w:sz w:val="9"/>
                <w:szCs w:val="9"/>
                <w:color w:val="auto"/>
              </w:rPr>
            </w:pP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641,915</w:t>
            </w:r>
          </w:p>
        </w:tc>
        <w:tc>
          <w:tcPr>
            <w:tcW w:w="120" w:type="dxa"/>
            <w:vAlign w:val="bottom"/>
          </w:tcPr>
          <w:p>
            <w:pPr>
              <w:spacing w:after="0"/>
              <w:rPr>
                <w:sz w:val="9"/>
                <w:szCs w:val="9"/>
                <w:color w:val="auto"/>
              </w:rPr>
            </w:pPr>
          </w:p>
        </w:tc>
        <w:tc>
          <w:tcPr>
            <w:tcW w:w="680" w:type="dxa"/>
            <w:vAlign w:val="bottom"/>
          </w:tcPr>
          <w:p>
            <w:pPr>
              <w:jc w:val="right"/>
              <w:spacing w:after="0" w:line="110" w:lineRule="exact"/>
              <w:rPr>
                <w:sz w:val="20"/>
                <w:szCs w:val="20"/>
                <w:color w:val="auto"/>
              </w:rPr>
            </w:pPr>
            <w:r>
              <w:rPr>
                <w:rFonts w:ascii="Arial" w:cs="Arial" w:eastAsia="Arial" w:hAnsi="Arial"/>
                <w:sz w:val="10"/>
                <w:szCs w:val="10"/>
                <w:color w:val="auto"/>
              </w:rPr>
              <w:t>191,010</w:t>
            </w:r>
          </w:p>
        </w:tc>
        <w:tc>
          <w:tcPr>
            <w:tcW w:w="120" w:type="dxa"/>
            <w:vAlign w:val="bottom"/>
          </w:tcPr>
          <w:p>
            <w:pPr>
              <w:spacing w:after="0"/>
              <w:rPr>
                <w:sz w:val="9"/>
                <w:szCs w:val="9"/>
                <w:color w:val="auto"/>
              </w:rPr>
            </w:pP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191,010</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0"/>
                <w:szCs w:val="10"/>
                <w:color w:val="auto"/>
              </w:rPr>
              <w:t>Bonds and notes issued</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14,594,785</w:t>
            </w:r>
          </w:p>
        </w:tc>
        <w:tc>
          <w:tcPr>
            <w:tcW w:w="14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14,594,785</w:t>
            </w:r>
          </w:p>
        </w:tc>
        <w:tc>
          <w:tcPr>
            <w:tcW w:w="120" w:type="dxa"/>
            <w:vAlign w:val="bottom"/>
          </w:tcPr>
          <w:p>
            <w:pPr>
              <w:spacing w:after="0"/>
              <w:rPr>
                <w:sz w:val="9"/>
                <w:szCs w:val="9"/>
                <w:color w:val="auto"/>
              </w:rPr>
            </w:pPr>
          </w:p>
        </w:tc>
        <w:tc>
          <w:tcPr>
            <w:tcW w:w="8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17,007,194</w:t>
            </w:r>
          </w:p>
        </w:tc>
        <w:tc>
          <w:tcPr>
            <w:tcW w:w="10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17,007,194</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20"/>
                <w:szCs w:val="20"/>
                <w:color w:val="auto"/>
              </w:rPr>
            </w:pPr>
            <w:r>
              <w:rPr>
                <w:rFonts w:ascii="Arial" w:cs="Arial" w:eastAsia="Arial" w:hAnsi="Arial"/>
                <w:sz w:val="10"/>
                <w:szCs w:val="10"/>
                <w:color w:val="auto"/>
              </w:rPr>
              <w:t>Other liabilities, Note 12(a)</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891,999</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4,586,511</w:t>
            </w:r>
          </w:p>
        </w:tc>
        <w:tc>
          <w:tcPr>
            <w:tcW w:w="14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5,478,510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1,345,665</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3,964,203</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5,309,868</w:t>
            </w:r>
          </w:p>
        </w:tc>
        <w:tc>
          <w:tcPr>
            <w:tcW w:w="0" w:type="dxa"/>
            <w:vAlign w:val="bottom"/>
          </w:tcPr>
          <w:p>
            <w:pPr>
              <w:spacing w:after="0"/>
              <w:rPr>
                <w:sz w:val="1"/>
                <w:szCs w:val="1"/>
                <w:color w:val="auto"/>
              </w:rPr>
            </w:pPr>
          </w:p>
        </w:tc>
      </w:tr>
      <w:tr>
        <w:trPr>
          <w:trHeight w:val="107"/>
        </w:trPr>
        <w:tc>
          <w:tcPr>
            <w:tcW w:w="174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1,533,914</w:t>
            </w:r>
          </w:p>
        </w:tc>
        <w:tc>
          <w:tcPr>
            <w:tcW w:w="10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190,258,378</w:t>
            </w:r>
          </w:p>
        </w:tc>
        <w:tc>
          <w:tcPr>
            <w:tcW w:w="14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191,792,292</w:t>
            </w:r>
          </w:p>
        </w:tc>
        <w:tc>
          <w:tcPr>
            <w:tcW w:w="12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1,536,675</w:t>
            </w:r>
          </w:p>
        </w:tc>
        <w:tc>
          <w:tcPr>
            <w:tcW w:w="12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191,174,072</w:t>
            </w:r>
          </w:p>
        </w:tc>
        <w:tc>
          <w:tcPr>
            <w:tcW w:w="10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192,710,747</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sectPr>
      </w:pPr>
    </w:p>
    <w:bookmarkStart w:id="141" w:name="page142"/>
    <w:bookmarkEnd w:id="141"/>
    <w:p>
      <w:pPr>
        <w:ind w:left="582" w:hanging="582"/>
        <w:spacing w:after="0"/>
        <w:tabs>
          <w:tab w:leader="none" w:pos="582"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AND NON-FINANCIAL RISK MANAGEMENT</w:t>
      </w:r>
    </w:p>
    <w:p>
      <w:pPr>
        <w:spacing w:after="0" w:line="182" w:lineRule="exact"/>
        <w:rPr>
          <w:rFonts w:ascii="Arial" w:cs="Arial" w:eastAsia="Arial" w:hAnsi="Arial"/>
          <w:sz w:val="16"/>
          <w:szCs w:val="16"/>
          <w:b w:val="1"/>
          <w:bCs w:val="1"/>
          <w:color w:val="auto"/>
        </w:rPr>
      </w:pPr>
    </w:p>
    <w:p>
      <w:pPr>
        <w:jc w:val="both"/>
        <w:ind w:left="582"/>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Group’s activities involve principally the use of financial instruments, including derivatives. It also accepts deposits from customers at both fixed and floating rates, for various periods, and invests these funds in high-quality assets. Additionally, it places these deposits at fixed and variable rates with legal entities and individuals, considering the finance costs and expected profitability.</w:t>
      </w:r>
    </w:p>
    <w:p>
      <w:pPr>
        <w:spacing w:after="0" w:line="137" w:lineRule="exact"/>
        <w:rPr>
          <w:rFonts w:ascii="Arial" w:cs="Arial" w:eastAsia="Arial" w:hAnsi="Arial"/>
          <w:sz w:val="16"/>
          <w:szCs w:val="16"/>
          <w:b w:val="1"/>
          <w:bCs w:val="1"/>
          <w:color w:val="auto"/>
        </w:rPr>
      </w:pPr>
    </w:p>
    <w:p>
      <w:pPr>
        <w:ind w:left="582" w:right="38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The Group also trades in financial instruments where it takes positions in traded and over-the-counter instruments, derivatives included, to take advantage of short term market movements on securities, bonds, currencies and interest rates.</w:t>
      </w:r>
    </w:p>
    <w:p>
      <w:pPr>
        <w:spacing w:after="0" w:line="120"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Given the Group’s activities, it has a framework for risk appetite, a corner stone of the management.</w:t>
      </w:r>
    </w:p>
    <w:p>
      <w:pPr>
        <w:spacing w:after="0" w:line="182" w:lineRule="exact"/>
        <w:rPr>
          <w:rFonts w:ascii="Arial" w:cs="Arial" w:eastAsia="Arial" w:hAnsi="Arial"/>
          <w:sz w:val="16"/>
          <w:szCs w:val="16"/>
          <w:b w:val="1"/>
          <w:bCs w:val="1"/>
          <w:color w:val="auto"/>
        </w:rPr>
      </w:pPr>
    </w:p>
    <w:p>
      <w:pPr>
        <w:ind w:left="582" w:right="16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risk management processes involve continuous identification, measurement, treatment and monitoring. The Group is exposed, principally, to operating risk, credit risk, liquidity risk, market risk, strategic risk and insurance technical risk. Finally, it reports on a consolidated basis the risks to which the Group is exposed.</w:t>
      </w:r>
    </w:p>
    <w:p>
      <w:pPr>
        <w:spacing w:after="0" w:line="137" w:lineRule="exact"/>
        <w:rPr>
          <w:rFonts w:ascii="Arial" w:cs="Arial" w:eastAsia="Arial" w:hAnsi="Arial"/>
          <w:sz w:val="16"/>
          <w:szCs w:val="16"/>
          <w:b w:val="1"/>
          <w:bCs w:val="1"/>
          <w:color w:val="auto"/>
        </w:rPr>
      </w:pPr>
    </w:p>
    <w:p>
      <w:pPr>
        <w:ind w:left="882" w:hanging="296"/>
        <w:spacing w:after="0"/>
        <w:tabs>
          <w:tab w:leader="none" w:pos="88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Risk management structure -</w:t>
      </w:r>
    </w:p>
    <w:p>
      <w:pPr>
        <w:spacing w:after="0" w:line="182" w:lineRule="exact"/>
        <w:rPr>
          <w:rFonts w:ascii="Arial" w:cs="Arial" w:eastAsia="Arial" w:hAnsi="Arial"/>
          <w:sz w:val="16"/>
          <w:szCs w:val="16"/>
          <w:color w:val="auto"/>
        </w:rPr>
      </w:pPr>
    </w:p>
    <w:p>
      <w:pPr>
        <w:ind w:left="882" w:right="280"/>
        <w:spacing w:after="0" w:line="280" w:lineRule="auto"/>
        <w:rPr>
          <w:rFonts w:ascii="Arial" w:cs="Arial" w:eastAsia="Arial" w:hAnsi="Arial"/>
          <w:sz w:val="16"/>
          <w:szCs w:val="16"/>
          <w:color w:val="auto"/>
        </w:rPr>
      </w:pPr>
      <w:r>
        <w:rPr>
          <w:rFonts w:ascii="Arial" w:cs="Arial" w:eastAsia="Arial" w:hAnsi="Arial"/>
          <w:sz w:val="16"/>
          <w:szCs w:val="16"/>
          <w:color w:val="auto"/>
        </w:rPr>
        <w:t>The Board of Directors of the Group and of each subsidiary are ultimately responsible for identifying and controlling risks; however, there are separate independent instances in the major subsidiaries responsible for managing and monitoring risks, as further explained below:</w:t>
      </w:r>
    </w:p>
    <w:p>
      <w:pPr>
        <w:spacing w:after="0" w:line="120" w:lineRule="exact"/>
        <w:rPr>
          <w:rFonts w:ascii="Arial" w:cs="Arial" w:eastAsia="Arial" w:hAnsi="Arial"/>
          <w:sz w:val="16"/>
          <w:szCs w:val="16"/>
          <w:color w:val="auto"/>
        </w:rPr>
      </w:pPr>
    </w:p>
    <w:p>
      <w:pPr>
        <w:ind w:left="1182" w:right="7880" w:hanging="303"/>
        <w:spacing w:after="0" w:line="478" w:lineRule="auto"/>
        <w:tabs>
          <w:tab w:leader="none" w:pos="1182" w:val="left"/>
        </w:tabs>
        <w:numPr>
          <w:ilvl w:val="2"/>
          <w:numId w:val="163"/>
        </w:numPr>
        <w:rPr>
          <w:rFonts w:ascii="Arial" w:cs="Arial" w:eastAsia="Arial" w:hAnsi="Arial"/>
          <w:sz w:val="16"/>
          <w:szCs w:val="16"/>
          <w:color w:val="auto"/>
        </w:rPr>
      </w:pPr>
      <w:r>
        <w:rPr>
          <w:rFonts w:ascii="Arial" w:cs="Arial" w:eastAsia="Arial" w:hAnsi="Arial"/>
          <w:sz w:val="16"/>
          <w:szCs w:val="16"/>
          <w:color w:val="auto"/>
        </w:rPr>
        <w:t>Group’s Board of Directors - Credicorp Board of Directors –</w:t>
      </w:r>
    </w:p>
    <w:p>
      <w:pPr>
        <w:ind w:left="1182" w:right="100"/>
        <w:spacing w:after="0" w:line="280" w:lineRule="auto"/>
        <w:rPr>
          <w:rFonts w:ascii="Arial" w:cs="Arial" w:eastAsia="Arial" w:hAnsi="Arial"/>
          <w:sz w:val="16"/>
          <w:szCs w:val="16"/>
          <w:color w:val="auto"/>
        </w:rPr>
      </w:pPr>
      <w:r>
        <w:rPr>
          <w:rFonts w:ascii="Arial" w:cs="Arial" w:eastAsia="Arial" w:hAnsi="Arial"/>
          <w:sz w:val="16"/>
          <w:szCs w:val="16"/>
          <w:color w:val="auto"/>
        </w:rPr>
        <w:t>The Credicorp Board of Directors is responsible for the overall approach to risk management of Credicorp Ltd., including the approval of its appetite for risk.</w:t>
      </w:r>
    </w:p>
    <w:p>
      <w:pPr>
        <w:spacing w:after="0" w:line="120" w:lineRule="exact"/>
        <w:rPr>
          <w:rFonts w:ascii="Arial" w:cs="Arial" w:eastAsia="Arial" w:hAnsi="Arial"/>
          <w:sz w:val="16"/>
          <w:szCs w:val="16"/>
          <w:color w:val="auto"/>
        </w:rPr>
      </w:pPr>
    </w:p>
    <w:p>
      <w:pPr>
        <w:ind w:left="1182" w:right="160"/>
        <w:spacing w:after="0" w:line="280" w:lineRule="auto"/>
        <w:rPr>
          <w:rFonts w:ascii="Arial" w:cs="Arial" w:eastAsia="Arial" w:hAnsi="Arial"/>
          <w:sz w:val="16"/>
          <w:szCs w:val="16"/>
          <w:color w:val="auto"/>
        </w:rPr>
      </w:pPr>
      <w:r>
        <w:rPr>
          <w:rFonts w:ascii="Arial" w:cs="Arial" w:eastAsia="Arial" w:hAnsi="Arial"/>
          <w:sz w:val="16"/>
          <w:szCs w:val="16"/>
          <w:color w:val="auto"/>
        </w:rPr>
        <w:t>Likewise; take knowledge of the level of compliance of the appetite and the level of risk exposure, as well as the relevant improvements in the integral risk management of Grupo Crédito and Subsidiaries of Credicorp (Group).</w:t>
      </w:r>
    </w:p>
    <w:p>
      <w:pPr>
        <w:spacing w:after="0" w:line="120"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6"/>
          <w:szCs w:val="16"/>
          <w:color w:val="auto"/>
        </w:rPr>
        <w:t>Grupo Crédito’s Board of Directors –</w:t>
      </w:r>
    </w:p>
    <w:p>
      <w:pPr>
        <w:spacing w:after="0" w:line="182" w:lineRule="exact"/>
        <w:rPr>
          <w:rFonts w:ascii="Arial" w:cs="Arial" w:eastAsia="Arial" w:hAnsi="Arial"/>
          <w:sz w:val="16"/>
          <w:szCs w:val="16"/>
          <w:color w:val="auto"/>
        </w:rPr>
      </w:pPr>
    </w:p>
    <w:p>
      <w:pPr>
        <w:ind w:left="1182"/>
        <w:spacing w:after="0" w:line="252" w:lineRule="auto"/>
        <w:rPr>
          <w:rFonts w:ascii="Arial" w:cs="Arial" w:eastAsia="Arial" w:hAnsi="Arial"/>
          <w:sz w:val="16"/>
          <w:szCs w:val="16"/>
          <w:color w:val="auto"/>
        </w:rPr>
      </w:pPr>
      <w:r>
        <w:rPr>
          <w:rFonts w:ascii="Arial" w:cs="Arial" w:eastAsia="Arial" w:hAnsi="Arial"/>
          <w:sz w:val="16"/>
          <w:szCs w:val="16"/>
          <w:color w:val="auto"/>
        </w:rPr>
        <w:t>Grupo Crédito’s Board of Directors is responsible for the general approach to risk management of the Group’s subsidiaries and the approval of the risk appetite levels that it is willing to assume. Furthermore, it approves the guidelines and policies for Integral Risk Management, promotes an organizational culture that emphasizes the importance of risk management, oversees the internal control system and ensures the adequate performance of the Group’s regulatory compliance function.</w:t>
      </w:r>
    </w:p>
    <w:p>
      <w:pPr>
        <w:spacing w:after="0" w:line="143"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6"/>
          <w:szCs w:val="16"/>
          <w:color w:val="auto"/>
        </w:rPr>
        <w:t>Group Company Boards -</w:t>
      </w:r>
    </w:p>
    <w:p>
      <w:pPr>
        <w:spacing w:after="0" w:line="182" w:lineRule="exact"/>
        <w:rPr>
          <w:rFonts w:ascii="Arial" w:cs="Arial" w:eastAsia="Arial" w:hAnsi="Arial"/>
          <w:sz w:val="16"/>
          <w:szCs w:val="16"/>
          <w:color w:val="auto"/>
        </w:rPr>
      </w:pPr>
    </w:p>
    <w:p>
      <w:pPr>
        <w:ind w:left="1182" w:right="200"/>
        <w:spacing w:after="0" w:line="280" w:lineRule="auto"/>
        <w:rPr>
          <w:rFonts w:ascii="Arial" w:cs="Arial" w:eastAsia="Arial" w:hAnsi="Arial"/>
          <w:sz w:val="16"/>
          <w:szCs w:val="16"/>
          <w:color w:val="auto"/>
        </w:rPr>
      </w:pPr>
      <w:r>
        <w:rPr>
          <w:rFonts w:ascii="Arial" w:cs="Arial" w:eastAsia="Arial" w:hAnsi="Arial"/>
          <w:sz w:val="16"/>
          <w:szCs w:val="16"/>
          <w:color w:val="auto"/>
        </w:rPr>
        <w:t>The Board of each company of the Group is responsible for aligning the risk management established by the Board of Grupo Crédito with the context of each one of them. For that, it establishes a framework for risk appetite, policies and guidelines.</w:t>
      </w:r>
    </w:p>
    <w:p>
      <w:pPr>
        <w:spacing w:after="0" w:line="120" w:lineRule="exact"/>
        <w:rPr>
          <w:rFonts w:ascii="Arial" w:cs="Arial" w:eastAsia="Arial" w:hAnsi="Arial"/>
          <w:sz w:val="16"/>
          <w:szCs w:val="16"/>
          <w:color w:val="auto"/>
        </w:rPr>
      </w:pPr>
    </w:p>
    <w:p>
      <w:pPr>
        <w:ind w:left="1182" w:hanging="303"/>
        <w:spacing w:after="0"/>
        <w:tabs>
          <w:tab w:leader="none" w:pos="1182" w:val="left"/>
        </w:tabs>
        <w:numPr>
          <w:ilvl w:val="2"/>
          <w:numId w:val="163"/>
        </w:numPr>
        <w:rPr>
          <w:rFonts w:ascii="Arial" w:cs="Arial" w:eastAsia="Arial" w:hAnsi="Arial"/>
          <w:sz w:val="16"/>
          <w:szCs w:val="16"/>
          <w:color w:val="auto"/>
        </w:rPr>
      </w:pPr>
      <w:r>
        <w:rPr>
          <w:rFonts w:ascii="Arial" w:cs="Arial" w:eastAsia="Arial" w:hAnsi="Arial"/>
          <w:sz w:val="16"/>
          <w:szCs w:val="16"/>
          <w:color w:val="auto"/>
        </w:rPr>
        <w:t>Credicorp Risk Committee -</w:t>
      </w:r>
    </w:p>
    <w:p>
      <w:pPr>
        <w:spacing w:after="0" w:line="183" w:lineRule="exact"/>
        <w:rPr>
          <w:sz w:val="20"/>
          <w:szCs w:val="20"/>
          <w:color w:val="auto"/>
        </w:rPr>
      </w:pPr>
    </w:p>
    <w:p>
      <w:pPr>
        <w:jc w:val="both"/>
        <w:ind w:left="1162" w:right="780"/>
        <w:spacing w:after="0" w:line="259" w:lineRule="auto"/>
        <w:rPr>
          <w:sz w:val="20"/>
          <w:szCs w:val="20"/>
          <w:color w:val="auto"/>
        </w:rPr>
      </w:pPr>
      <w:r>
        <w:rPr>
          <w:rFonts w:ascii="Arial" w:cs="Arial" w:eastAsia="Arial" w:hAnsi="Arial"/>
          <w:sz w:val="16"/>
          <w:szCs w:val="16"/>
          <w:color w:val="auto"/>
        </w:rPr>
        <w:t>Represents the Credicorp Board of Directors, proposes the levels of risk appetite for Credicorp Ltd. Also, it is aware of the level of compliance of the risk appetite and the level of exposure assumed by Grupo Crédito and Credicorp subsidiaries and the relevant improvements in integral management of risks of said entities.</w:t>
      </w:r>
    </w:p>
    <w:p>
      <w:pPr>
        <w:spacing w:after="0" w:line="11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2"/>
          </w:cols>
          <w:pgMar w:left="318" w:top="306" w:right="339" w:bottom="1440" w:gutter="0" w:footer="0" w:header="0"/>
        </w:sectPr>
      </w:pPr>
    </w:p>
    <w:bookmarkStart w:id="142" w:name="page143"/>
    <w:bookmarkEnd w:id="142"/>
    <w:p>
      <w:pPr>
        <w:ind w:left="303" w:right="40"/>
        <w:spacing w:after="0" w:line="247" w:lineRule="auto"/>
        <w:rPr>
          <w:sz w:val="20"/>
          <w:szCs w:val="20"/>
          <w:color w:val="auto"/>
        </w:rPr>
      </w:pPr>
      <w:r>
        <w:rPr>
          <w:rFonts w:ascii="Arial" w:cs="Arial" w:eastAsia="Arial" w:hAnsi="Arial"/>
          <w:sz w:val="16"/>
          <w:szCs w:val="16"/>
          <w:color w:val="auto"/>
        </w:rPr>
        <w:t>The Committee will be made up of no less than three directors of Credicorp, at least one of which must be independent. Additionally, the Board of Directors may incorporate as a member one or more directors of Credicorp subsidiaries. Likewise, the coordinator of the Committee will be the Credicorp Risk Manager, with the Internal Audit Manager as an observer member (without voice or vote). Finally, the following officials will attend the sessions as guests, according to the agenda of topics to be discussed and at the invitation of the Coordinator: General Manager, Finance Manager, Manager of the Risk Management Division of BCP, and all those people who criteria assist with the development of the session.</w:t>
      </w:r>
    </w:p>
    <w:p>
      <w:pPr>
        <w:spacing w:after="0" w:line="147" w:lineRule="exact"/>
        <w:rPr>
          <w:sz w:val="20"/>
          <w:szCs w:val="20"/>
          <w:color w:val="auto"/>
        </w:rPr>
      </w:pPr>
    </w:p>
    <w:p>
      <w:pPr>
        <w:ind w:left="303" w:hanging="303"/>
        <w:spacing w:after="0"/>
        <w:tabs>
          <w:tab w:leader="none" w:pos="303" w:val="left"/>
        </w:tabs>
        <w:numPr>
          <w:ilvl w:val="0"/>
          <w:numId w:val="164"/>
        </w:numPr>
        <w:rPr>
          <w:rFonts w:ascii="Arial" w:cs="Arial" w:eastAsia="Arial" w:hAnsi="Arial"/>
          <w:sz w:val="16"/>
          <w:szCs w:val="16"/>
          <w:color w:val="auto"/>
        </w:rPr>
      </w:pPr>
      <w:r>
        <w:rPr>
          <w:rFonts w:ascii="Arial" w:cs="Arial" w:eastAsia="Arial" w:hAnsi="Arial"/>
          <w:sz w:val="16"/>
          <w:szCs w:val="16"/>
          <w:color w:val="auto"/>
        </w:rPr>
        <w:t>Grupo Crédito Risk Committee -</w:t>
      </w:r>
    </w:p>
    <w:p>
      <w:pPr>
        <w:spacing w:after="0" w:line="182" w:lineRule="exact"/>
        <w:rPr>
          <w:rFonts w:ascii="Arial" w:cs="Arial" w:eastAsia="Arial" w:hAnsi="Arial"/>
          <w:sz w:val="16"/>
          <w:szCs w:val="16"/>
          <w:color w:val="auto"/>
        </w:rPr>
      </w:pPr>
    </w:p>
    <w:p>
      <w:pPr>
        <w:ind w:left="303" w:right="20"/>
        <w:spacing w:after="0" w:line="259" w:lineRule="auto"/>
        <w:rPr>
          <w:rFonts w:ascii="Arial" w:cs="Arial" w:eastAsia="Arial" w:hAnsi="Arial"/>
          <w:sz w:val="16"/>
          <w:szCs w:val="16"/>
          <w:color w:val="auto"/>
        </w:rPr>
      </w:pPr>
      <w:r>
        <w:rPr>
          <w:rFonts w:ascii="Arial" w:cs="Arial" w:eastAsia="Arial" w:hAnsi="Arial"/>
          <w:sz w:val="16"/>
          <w:szCs w:val="16"/>
          <w:color w:val="auto"/>
        </w:rPr>
        <w:t>Represents the Board of Grupo Crédito in risk management decision-making. Furthermore, proposes to Grupo Crédito’s Board of Directors the levels of risk appetite. This Committee defines the strategies used for the adequate management of the different types of risks and the supervision of risk appetite. In addition to it, they established principles, policies, and general limits to the Group.</w:t>
      </w:r>
    </w:p>
    <w:p>
      <w:pPr>
        <w:spacing w:after="0" w:line="137" w:lineRule="exact"/>
        <w:rPr>
          <w:rFonts w:ascii="Arial" w:cs="Arial" w:eastAsia="Arial" w:hAnsi="Arial"/>
          <w:sz w:val="16"/>
          <w:szCs w:val="16"/>
          <w:color w:val="auto"/>
        </w:rPr>
      </w:pPr>
    </w:p>
    <w:p>
      <w:pPr>
        <w:ind w:left="303"/>
        <w:spacing w:after="0" w:line="247" w:lineRule="auto"/>
        <w:rPr>
          <w:rFonts w:ascii="Arial" w:cs="Arial" w:eastAsia="Arial" w:hAnsi="Arial"/>
          <w:sz w:val="16"/>
          <w:szCs w:val="16"/>
          <w:color w:val="auto"/>
        </w:rPr>
      </w:pPr>
      <w:r>
        <w:rPr>
          <w:rFonts w:ascii="Arial" w:cs="Arial" w:eastAsia="Arial" w:hAnsi="Arial"/>
          <w:sz w:val="16"/>
          <w:szCs w:val="16"/>
          <w:color w:val="auto"/>
        </w:rPr>
        <w:t>The Risk Committee is presided by no less than three Board members of Grupo Crédito, at least one of which must be independent. Additionally, the Board of Directors may incorporate as a member one or more directors of the Group. Likewise, the coordinator of the Committee will be the Grupo Crédito Risk Manager, with the Internal Audit Manager as an observer member (without voice or vote). Finally, the following officials will attend the sessions as guests, according to the agenda of topics to be discussed and at the invitation of the Coordinator: General Manager, Finance Manager, Manager of the Risk Management Division of BCP, and all those people who criteria assist with the development of the session.</w:t>
      </w:r>
    </w:p>
    <w:p>
      <w:pPr>
        <w:spacing w:after="0" w:line="146" w:lineRule="exact"/>
        <w:rPr>
          <w:rFonts w:ascii="Arial" w:cs="Arial" w:eastAsia="Arial" w:hAnsi="Arial"/>
          <w:sz w:val="16"/>
          <w:szCs w:val="16"/>
          <w:color w:val="auto"/>
        </w:rPr>
      </w:pPr>
    </w:p>
    <w:p>
      <w:pPr>
        <w:ind w:left="303" w:right="200"/>
        <w:spacing w:after="0" w:line="280" w:lineRule="auto"/>
        <w:rPr>
          <w:rFonts w:ascii="Arial" w:cs="Arial" w:eastAsia="Arial" w:hAnsi="Arial"/>
          <w:sz w:val="16"/>
          <w:szCs w:val="16"/>
          <w:color w:val="auto"/>
        </w:rPr>
      </w:pPr>
      <w:r>
        <w:rPr>
          <w:rFonts w:ascii="Arial" w:cs="Arial" w:eastAsia="Arial" w:hAnsi="Arial"/>
          <w:sz w:val="16"/>
          <w:szCs w:val="16"/>
          <w:color w:val="auto"/>
        </w:rPr>
        <w:t>In addition to effectively managing all the risks, the Grupo Crédito Risk Committee is supported by the following committees which report periodically on all relevant changes or issues relating to the risks being managed:</w:t>
      </w:r>
    </w:p>
    <w:p>
      <w:pPr>
        <w:spacing w:after="0" w:line="120" w:lineRule="exact"/>
        <w:rPr>
          <w:rFonts w:ascii="Arial" w:cs="Arial" w:eastAsia="Arial" w:hAnsi="Arial"/>
          <w:sz w:val="16"/>
          <w:szCs w:val="16"/>
          <w:color w:val="auto"/>
        </w:rPr>
      </w:pPr>
    </w:p>
    <w:p>
      <w:pPr>
        <w:ind w:left="303"/>
        <w:spacing w:after="0"/>
        <w:rPr>
          <w:rFonts w:ascii="Arial" w:cs="Arial" w:eastAsia="Arial" w:hAnsi="Arial"/>
          <w:sz w:val="16"/>
          <w:szCs w:val="16"/>
          <w:color w:val="auto"/>
        </w:rPr>
      </w:pPr>
      <w:r>
        <w:rPr>
          <w:rFonts w:ascii="Arial" w:cs="Arial" w:eastAsia="Arial" w:hAnsi="Arial"/>
          <w:sz w:val="16"/>
          <w:szCs w:val="16"/>
          <w:color w:val="auto"/>
        </w:rPr>
        <w:t>Corporate credit Risk Committees (retail and non-retail)-</w:t>
      </w:r>
    </w:p>
    <w:p>
      <w:pPr>
        <w:spacing w:after="0" w:line="182" w:lineRule="exact"/>
        <w:rPr>
          <w:rFonts w:ascii="Arial" w:cs="Arial" w:eastAsia="Arial" w:hAnsi="Arial"/>
          <w:sz w:val="16"/>
          <w:szCs w:val="16"/>
          <w:color w:val="auto"/>
        </w:rPr>
      </w:pPr>
    </w:p>
    <w:p>
      <w:pPr>
        <w:ind w:left="303" w:right="60"/>
        <w:spacing w:after="0" w:line="249" w:lineRule="auto"/>
        <w:rPr>
          <w:rFonts w:ascii="Arial" w:cs="Arial" w:eastAsia="Arial" w:hAnsi="Arial"/>
          <w:sz w:val="16"/>
          <w:szCs w:val="16"/>
          <w:color w:val="auto"/>
        </w:rPr>
      </w:pPr>
      <w:r>
        <w:rPr>
          <w:rFonts w:ascii="Arial" w:cs="Arial" w:eastAsia="Arial" w:hAnsi="Arial"/>
          <w:sz w:val="16"/>
          <w:szCs w:val="16"/>
          <w:color w:val="auto"/>
        </w:rPr>
        <w:t>The Corporate credit Risk Committees (retail and non-retail) are responsible for reviewing the tolerance level of the credit risk appetite, the limits of exposure and the actions for the implementation of corrective measures, in case there are deviations. In addition, they propose credit risk management norms and policies within the framework of governance and the organization for the integral management of credit risk. Furthermore, they propose the approval of any changes to the functions described above and important findings to the Grupo Crédito Risk Committee.</w:t>
      </w:r>
    </w:p>
    <w:p>
      <w:pPr>
        <w:spacing w:after="0" w:line="145" w:lineRule="exact"/>
        <w:rPr>
          <w:rFonts w:ascii="Arial" w:cs="Arial" w:eastAsia="Arial" w:hAnsi="Arial"/>
          <w:sz w:val="16"/>
          <w:szCs w:val="16"/>
          <w:color w:val="auto"/>
        </w:rPr>
      </w:pPr>
    </w:p>
    <w:p>
      <w:pPr>
        <w:ind w:left="303"/>
        <w:spacing w:after="0"/>
        <w:rPr>
          <w:rFonts w:ascii="Arial" w:cs="Arial" w:eastAsia="Arial" w:hAnsi="Arial"/>
          <w:sz w:val="16"/>
          <w:szCs w:val="16"/>
          <w:color w:val="auto"/>
        </w:rPr>
      </w:pPr>
      <w:r>
        <w:rPr>
          <w:rFonts w:ascii="Arial" w:cs="Arial" w:eastAsia="Arial" w:hAnsi="Arial"/>
          <w:sz w:val="16"/>
          <w:szCs w:val="16"/>
          <w:color w:val="auto"/>
        </w:rPr>
        <w:t>Corporate Committee for Market, Structural, Trading and Liquidity Risks</w:t>
      </w:r>
    </w:p>
    <w:p>
      <w:pPr>
        <w:spacing w:after="0" w:line="182" w:lineRule="exact"/>
        <w:rPr>
          <w:rFonts w:ascii="Arial" w:cs="Arial" w:eastAsia="Arial" w:hAnsi="Arial"/>
          <w:sz w:val="16"/>
          <w:szCs w:val="16"/>
          <w:color w:val="auto"/>
        </w:rPr>
      </w:pPr>
    </w:p>
    <w:p>
      <w:pPr>
        <w:ind w:left="303" w:right="20"/>
        <w:spacing w:after="0" w:line="252" w:lineRule="auto"/>
        <w:rPr>
          <w:rFonts w:ascii="Arial" w:cs="Arial" w:eastAsia="Arial" w:hAnsi="Arial"/>
          <w:sz w:val="16"/>
          <w:szCs w:val="16"/>
          <w:color w:val="auto"/>
        </w:rPr>
      </w:pPr>
      <w:r>
        <w:rPr>
          <w:rFonts w:ascii="Arial" w:cs="Arial" w:eastAsia="Arial" w:hAnsi="Arial"/>
          <w:sz w:val="16"/>
          <w:szCs w:val="16"/>
          <w:color w:val="auto"/>
        </w:rPr>
        <w:t>The Corporate Committee for Market, Structural, Trading and Liquidity Risks is in charge of analyzing and proposing corporate objectives, guidelines and policies for the Management of Market and Liquidity Risks of the Group and the Group’s companies. As well as, monitor the indicators and limits of the market risk appetite and liquidity of the Group and of each one of the companies of the Group. Likewise, it is responsible for escalating managerial decisions above its authority to the Risk Committee of Grupo Crédito.</w:t>
      </w:r>
    </w:p>
    <w:p>
      <w:pPr>
        <w:spacing w:after="0" w:line="143" w:lineRule="exact"/>
        <w:rPr>
          <w:rFonts w:ascii="Arial" w:cs="Arial" w:eastAsia="Arial" w:hAnsi="Arial"/>
          <w:sz w:val="16"/>
          <w:szCs w:val="16"/>
          <w:color w:val="auto"/>
        </w:rPr>
      </w:pPr>
    </w:p>
    <w:p>
      <w:pPr>
        <w:ind w:left="303"/>
        <w:spacing w:after="0"/>
        <w:rPr>
          <w:rFonts w:ascii="Arial" w:cs="Arial" w:eastAsia="Arial" w:hAnsi="Arial"/>
          <w:sz w:val="16"/>
          <w:szCs w:val="16"/>
          <w:color w:val="auto"/>
        </w:rPr>
      </w:pPr>
      <w:r>
        <w:rPr>
          <w:rFonts w:ascii="Arial" w:cs="Arial" w:eastAsia="Arial" w:hAnsi="Arial"/>
          <w:sz w:val="16"/>
          <w:szCs w:val="16"/>
          <w:color w:val="auto"/>
        </w:rPr>
        <w:t>Corporate Model Risk Committee –</w:t>
      </w:r>
    </w:p>
    <w:p>
      <w:pPr>
        <w:spacing w:after="0" w:line="182" w:lineRule="exact"/>
        <w:rPr>
          <w:rFonts w:ascii="Arial" w:cs="Arial" w:eastAsia="Arial" w:hAnsi="Arial"/>
          <w:sz w:val="16"/>
          <w:szCs w:val="16"/>
          <w:color w:val="auto"/>
        </w:rPr>
      </w:pPr>
    </w:p>
    <w:p>
      <w:pPr>
        <w:ind w:left="303" w:right="80"/>
        <w:spacing w:after="0" w:line="249" w:lineRule="auto"/>
        <w:rPr>
          <w:rFonts w:ascii="Arial" w:cs="Arial" w:eastAsia="Arial" w:hAnsi="Arial"/>
          <w:sz w:val="16"/>
          <w:szCs w:val="16"/>
          <w:color w:val="auto"/>
        </w:rPr>
      </w:pPr>
      <w:r>
        <w:rPr>
          <w:rFonts w:ascii="Arial" w:cs="Arial" w:eastAsia="Arial" w:hAnsi="Arial"/>
          <w:sz w:val="16"/>
          <w:szCs w:val="16"/>
          <w:color w:val="auto"/>
        </w:rPr>
        <w:t>The Corporate Model Risk Committee is responsible for analyzing and proposing the actions corrections in case there are deviations with respect to the degrees of exposure assumed in the Appetite for Model Risk. Likewise, it proposes the creation and/or modification of the government for model risk management, monitoring compliance with the same. The Model Risk Committee monitors the Group’s data and analytical strategy and the health status of the model portfolio. They are also responsible to inform the Committee of Grupo Crédito Risks on exposures, related to model risk, which involve variations in the risk profile.</w:t>
      </w:r>
    </w:p>
    <w:p>
      <w:pPr>
        <w:spacing w:after="0" w:line="304" w:lineRule="exact"/>
        <w:rPr>
          <w:sz w:val="20"/>
          <w:szCs w:val="20"/>
          <w:color w:val="auto"/>
        </w:rPr>
      </w:pPr>
    </w:p>
    <w:p>
      <w:pPr>
        <w:ind w:left="4603"/>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03"/>
          </w:cols>
          <w:pgMar w:left="1197" w:top="306" w:right="399" w:bottom="1440" w:gutter="0" w:footer="0" w:header="0"/>
        </w:sectPr>
      </w:pPr>
    </w:p>
    <w:bookmarkStart w:id="143" w:name="page144"/>
    <w:bookmarkEnd w:id="143"/>
    <w:p>
      <w:pPr>
        <w:ind w:left="303"/>
        <w:spacing w:after="0"/>
        <w:rPr>
          <w:sz w:val="20"/>
          <w:szCs w:val="20"/>
          <w:color w:val="auto"/>
        </w:rPr>
      </w:pPr>
      <w:r>
        <w:rPr>
          <w:rFonts w:ascii="Arial" w:cs="Arial" w:eastAsia="Arial" w:hAnsi="Arial"/>
          <w:sz w:val="16"/>
          <w:szCs w:val="16"/>
          <w:color w:val="auto"/>
        </w:rPr>
        <w:t>Corporate Operational Risk Methodology Committee -</w:t>
      </w:r>
    </w:p>
    <w:p>
      <w:pPr>
        <w:spacing w:after="0" w:line="182" w:lineRule="exact"/>
        <w:rPr>
          <w:sz w:val="20"/>
          <w:szCs w:val="20"/>
          <w:color w:val="auto"/>
        </w:rPr>
      </w:pPr>
    </w:p>
    <w:p>
      <w:pPr>
        <w:ind w:left="303" w:right="40"/>
        <w:spacing w:after="0" w:line="259" w:lineRule="auto"/>
        <w:rPr>
          <w:sz w:val="20"/>
          <w:szCs w:val="20"/>
          <w:color w:val="auto"/>
        </w:rPr>
      </w:pPr>
      <w:r>
        <w:rPr>
          <w:rFonts w:ascii="Arial" w:cs="Arial" w:eastAsia="Arial" w:hAnsi="Arial"/>
          <w:sz w:val="16"/>
          <w:szCs w:val="16"/>
          <w:color w:val="auto"/>
        </w:rPr>
        <w:t>The Corporate Methodological Committee of Operational Risk has as main responsibilities to review the main indicators of Operational Risk of the companies of the Group, as well as the progress of the methodologies deployed for Operational Risk and Business Continuity. Likewise, share best practices regarding the main challenges faced by Group companies.</w:t>
      </w:r>
    </w:p>
    <w:p>
      <w:pPr>
        <w:spacing w:after="0" w:line="137" w:lineRule="exact"/>
        <w:rPr>
          <w:sz w:val="20"/>
          <w:szCs w:val="20"/>
          <w:color w:val="auto"/>
        </w:rPr>
      </w:pPr>
    </w:p>
    <w:p>
      <w:pPr>
        <w:ind w:left="303" w:hanging="303"/>
        <w:spacing w:after="0"/>
        <w:tabs>
          <w:tab w:leader="none" w:pos="30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Central Risk Management of Credicorp -</w:t>
      </w:r>
    </w:p>
    <w:p>
      <w:pPr>
        <w:spacing w:after="0" w:line="182" w:lineRule="exact"/>
        <w:rPr>
          <w:rFonts w:ascii="Arial" w:cs="Arial" w:eastAsia="Arial" w:hAnsi="Arial"/>
          <w:sz w:val="16"/>
          <w:szCs w:val="16"/>
          <w:color w:val="auto"/>
        </w:rPr>
      </w:pPr>
    </w:p>
    <w:p>
      <w:pPr>
        <w:ind w:left="303" w:right="120"/>
        <w:spacing w:after="0" w:line="252" w:lineRule="auto"/>
        <w:rPr>
          <w:rFonts w:ascii="Arial" w:cs="Arial" w:eastAsia="Arial" w:hAnsi="Arial"/>
          <w:sz w:val="16"/>
          <w:szCs w:val="16"/>
          <w:color w:val="auto"/>
        </w:rPr>
      </w:pPr>
      <w:r>
        <w:rPr>
          <w:rFonts w:ascii="Arial" w:cs="Arial" w:eastAsia="Arial" w:hAnsi="Arial"/>
          <w:sz w:val="16"/>
          <w:szCs w:val="16"/>
          <w:color w:val="auto"/>
        </w:rPr>
        <w:t>The Central Risk Management of Credicorp informs the Credicorp Risk Committee of the level of compliance of the risk appetite and the level of exposure assumed by Grupo Crédito and Credicorp subsidiaries. Likewise, it reports the relevant improvements in the integral risk management of Grupo Crédito and Credicorp subsidiaries. In addition, it proposes to the Credicorp Risk Committee the risk appetite levels for Credicorp Ltd.</w:t>
      </w:r>
    </w:p>
    <w:p>
      <w:pPr>
        <w:spacing w:after="0" w:line="143" w:lineRule="exact"/>
        <w:rPr>
          <w:rFonts w:ascii="Arial" w:cs="Arial" w:eastAsia="Arial" w:hAnsi="Arial"/>
          <w:sz w:val="16"/>
          <w:szCs w:val="16"/>
          <w:color w:val="auto"/>
        </w:rPr>
      </w:pPr>
    </w:p>
    <w:p>
      <w:pPr>
        <w:ind w:left="303" w:hanging="303"/>
        <w:spacing w:after="0"/>
        <w:tabs>
          <w:tab w:leader="none" w:pos="30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Central Risk Management of Grupo Crédito -</w:t>
      </w:r>
    </w:p>
    <w:p>
      <w:pPr>
        <w:spacing w:after="0" w:line="182" w:lineRule="exact"/>
        <w:rPr>
          <w:rFonts w:ascii="Arial" w:cs="Arial" w:eastAsia="Arial" w:hAnsi="Arial"/>
          <w:sz w:val="16"/>
          <w:szCs w:val="16"/>
          <w:color w:val="auto"/>
        </w:rPr>
      </w:pPr>
    </w:p>
    <w:p>
      <w:pPr>
        <w:ind w:left="303"/>
        <w:spacing w:after="0" w:line="249" w:lineRule="auto"/>
        <w:rPr>
          <w:rFonts w:ascii="Arial" w:cs="Arial" w:eastAsia="Arial" w:hAnsi="Arial"/>
          <w:sz w:val="16"/>
          <w:szCs w:val="16"/>
          <w:color w:val="auto"/>
        </w:rPr>
      </w:pPr>
      <w:r>
        <w:rPr>
          <w:rFonts w:ascii="Arial" w:cs="Arial" w:eastAsia="Arial" w:hAnsi="Arial"/>
          <w:sz w:val="16"/>
          <w:szCs w:val="16"/>
          <w:color w:val="auto"/>
        </w:rPr>
        <w:t>The Central Risk Management is responsible for the implementation of policies, procedures, methodologies and the actions to be taken to identify, measure, monitor, mitigate, report and control the different types of risks to which the Group is exposed. In addition, it is responsible for participating in the design and definition of the strategic plans of the business units to ensure that they are aligned within the risk parameters approved by the Grupo Crédito Board of Directors. Likewise, it disseminates the importance of adequate risk management, specifying in each of the units, the role that corresponds to them in the timely identification and definition of the corresponding actions.</w:t>
      </w:r>
    </w:p>
    <w:p>
      <w:pPr>
        <w:spacing w:after="0" w:line="145" w:lineRule="exact"/>
        <w:rPr>
          <w:rFonts w:ascii="Arial" w:cs="Arial" w:eastAsia="Arial" w:hAnsi="Arial"/>
          <w:sz w:val="16"/>
          <w:szCs w:val="16"/>
          <w:color w:val="auto"/>
        </w:rPr>
      </w:pPr>
    </w:p>
    <w:p>
      <w:pPr>
        <w:ind w:left="303" w:right="2920"/>
        <w:spacing w:after="0" w:line="478" w:lineRule="auto"/>
        <w:rPr>
          <w:rFonts w:ascii="Arial" w:cs="Arial" w:eastAsia="Arial" w:hAnsi="Arial"/>
          <w:sz w:val="16"/>
          <w:szCs w:val="16"/>
          <w:color w:val="auto"/>
        </w:rPr>
      </w:pPr>
      <w:r>
        <w:rPr>
          <w:rFonts w:ascii="Arial" w:cs="Arial" w:eastAsia="Arial" w:hAnsi="Arial"/>
          <w:sz w:val="16"/>
          <w:szCs w:val="16"/>
          <w:color w:val="auto"/>
        </w:rPr>
        <w:t>The units of the Central Risk Management that manage risk at the corporate level are the following: Credit Division -</w:t>
      </w:r>
    </w:p>
    <w:p>
      <w:pPr>
        <w:ind w:left="303" w:right="60"/>
        <w:spacing w:after="0" w:line="249" w:lineRule="auto"/>
        <w:rPr>
          <w:rFonts w:ascii="Arial" w:cs="Arial" w:eastAsia="Arial" w:hAnsi="Arial"/>
          <w:sz w:val="16"/>
          <w:szCs w:val="16"/>
          <w:color w:val="auto"/>
        </w:rPr>
      </w:pPr>
      <w:r>
        <w:rPr>
          <w:rFonts w:ascii="Arial" w:cs="Arial" w:eastAsia="Arial" w:hAnsi="Arial"/>
          <w:sz w:val="16"/>
          <w:szCs w:val="16"/>
          <w:color w:val="auto"/>
        </w:rPr>
        <w:t>The Credit Division proposes credit policies and evaluation criteria and credit risk management that the Group assumes with segment customers wholesaler. Evaluate and authorize loan proposals until their autonomy and propose their approval to the higher instances for those that exceed it. These guidelines are established on the basis of the policies set by the Grupo Crédito Board, respecting the laws and regulations in force. In addition, it assesses the evolution of the risk of wholesale clients and identifies problematic situations, taking actions to mitigate or resolve them.</w:t>
      </w:r>
    </w:p>
    <w:p>
      <w:pPr>
        <w:spacing w:after="0" w:line="145" w:lineRule="exact"/>
        <w:rPr>
          <w:rFonts w:ascii="Arial" w:cs="Arial" w:eastAsia="Arial" w:hAnsi="Arial"/>
          <w:sz w:val="16"/>
          <w:szCs w:val="16"/>
          <w:color w:val="auto"/>
        </w:rPr>
      </w:pPr>
    </w:p>
    <w:p>
      <w:pPr>
        <w:ind w:left="303"/>
        <w:spacing w:after="0"/>
        <w:rPr>
          <w:rFonts w:ascii="Arial" w:cs="Arial" w:eastAsia="Arial" w:hAnsi="Arial"/>
          <w:sz w:val="16"/>
          <w:szCs w:val="16"/>
          <w:color w:val="auto"/>
        </w:rPr>
      </w:pPr>
      <w:r>
        <w:rPr>
          <w:rFonts w:ascii="Arial" w:cs="Arial" w:eastAsia="Arial" w:hAnsi="Arial"/>
          <w:sz w:val="16"/>
          <w:szCs w:val="16"/>
          <w:color w:val="auto"/>
        </w:rPr>
        <w:t>Risk Management Division -</w:t>
      </w:r>
    </w:p>
    <w:p>
      <w:pPr>
        <w:spacing w:after="0" w:line="182" w:lineRule="exact"/>
        <w:rPr>
          <w:rFonts w:ascii="Arial" w:cs="Arial" w:eastAsia="Arial" w:hAnsi="Arial"/>
          <w:sz w:val="16"/>
          <w:szCs w:val="16"/>
          <w:color w:val="auto"/>
        </w:rPr>
      </w:pPr>
    </w:p>
    <w:p>
      <w:pPr>
        <w:ind w:left="303" w:right="20"/>
        <w:spacing w:after="0" w:line="309" w:lineRule="auto"/>
        <w:rPr>
          <w:rFonts w:ascii="Arial" w:cs="Arial" w:eastAsia="Arial" w:hAnsi="Arial"/>
          <w:sz w:val="16"/>
          <w:szCs w:val="16"/>
          <w:color w:val="auto"/>
        </w:rPr>
      </w:pPr>
      <w:r>
        <w:rPr>
          <w:rFonts w:ascii="Arial" w:cs="Arial" w:eastAsia="Arial" w:hAnsi="Arial"/>
          <w:sz w:val="16"/>
          <w:szCs w:val="16"/>
          <w:color w:val="auto"/>
        </w:rPr>
        <w:t>The Risk Management Division is responsible for ensuring that risk management directives and policies comply with the established by the Board of Directors. In addition, it is responsible for supervising the process of risk management and for coordinating with the companies of Credicorp involved in the whole process, promoting homogeneous risk management and aligned with the best practices. It also has the task of informing Board of Directors regarding: global exposure and by type of risk, as well as the specific exposure of each Group company. Retail Banking Risk Division -</w:t>
      </w:r>
    </w:p>
    <w:p>
      <w:pPr>
        <w:spacing w:after="0" w:line="98" w:lineRule="exact"/>
        <w:rPr>
          <w:rFonts w:ascii="Arial" w:cs="Arial" w:eastAsia="Arial" w:hAnsi="Arial"/>
          <w:sz w:val="16"/>
          <w:szCs w:val="16"/>
          <w:color w:val="auto"/>
        </w:rPr>
      </w:pPr>
    </w:p>
    <w:p>
      <w:pPr>
        <w:ind w:left="303" w:right="40"/>
        <w:spacing w:after="0" w:line="247" w:lineRule="auto"/>
        <w:rPr>
          <w:rFonts w:ascii="Arial" w:cs="Arial" w:eastAsia="Arial" w:hAnsi="Arial"/>
          <w:sz w:val="16"/>
          <w:szCs w:val="16"/>
          <w:color w:val="auto"/>
        </w:rPr>
      </w:pPr>
      <w:r>
        <w:rPr>
          <w:rFonts w:ascii="Arial" w:cs="Arial" w:eastAsia="Arial" w:hAnsi="Arial"/>
          <w:sz w:val="16"/>
          <w:szCs w:val="16"/>
          <w:color w:val="auto"/>
        </w:rPr>
        <w:t>The Retail Banking Risk Division is responsible for managing the risk profile of the retail portfolio and developing credit policies that are in accordance with the guidelines and risk levels established by Grupo Crédito’s Board of Directors. Likewise, it participates in the definition of products and campaigns aligned to these policies, as well as in the design, optimization and integration of credit evaluation tools and income estimation for credit management. Likewise, there is an active and recurring participation of the BCP Retail Banking Risk Division in the Credit Risk and Collections Committee of Mibanco and in the BCB Retail Banking Risk Committee to ensure alignment of best practices in terms of policies and guidelines. credit ratings, risk segmentation and credit risk models.</w:t>
      </w:r>
    </w:p>
    <w:p>
      <w:pPr>
        <w:spacing w:after="0" w:line="306" w:lineRule="exact"/>
        <w:rPr>
          <w:sz w:val="20"/>
          <w:szCs w:val="20"/>
          <w:color w:val="auto"/>
        </w:rPr>
      </w:pPr>
    </w:p>
    <w:p>
      <w:pPr>
        <w:ind w:left="4603"/>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63"/>
          </w:cols>
          <w:pgMar w:left="1197" w:top="124" w:right="339" w:bottom="1440" w:gutter="0" w:footer="0" w:header="0"/>
        </w:sectPr>
      </w:pPr>
    </w:p>
    <w:bookmarkStart w:id="144" w:name="page145"/>
    <w:bookmarkEnd w:id="144"/>
    <w:p>
      <w:pPr>
        <w:ind w:left="596"/>
        <w:spacing w:after="0"/>
        <w:rPr>
          <w:sz w:val="20"/>
          <w:szCs w:val="20"/>
          <w:color w:val="auto"/>
        </w:rPr>
      </w:pPr>
      <w:r>
        <w:rPr>
          <w:rFonts w:ascii="Arial" w:cs="Arial" w:eastAsia="Arial" w:hAnsi="Arial"/>
          <w:sz w:val="16"/>
          <w:szCs w:val="16"/>
          <w:color w:val="auto"/>
        </w:rPr>
        <w:t>Non-financial Risks Division -</w:t>
      </w:r>
    </w:p>
    <w:p>
      <w:pPr>
        <w:spacing w:after="0" w:line="182" w:lineRule="exact"/>
        <w:rPr>
          <w:sz w:val="20"/>
          <w:szCs w:val="20"/>
          <w:color w:val="auto"/>
        </w:rPr>
      </w:pPr>
    </w:p>
    <w:p>
      <w:pPr>
        <w:ind w:left="596" w:right="40"/>
        <w:spacing w:after="0" w:line="249" w:lineRule="auto"/>
        <w:rPr>
          <w:sz w:val="20"/>
          <w:szCs w:val="20"/>
          <w:color w:val="auto"/>
        </w:rPr>
      </w:pPr>
      <w:r>
        <w:rPr>
          <w:rFonts w:ascii="Arial" w:cs="Arial" w:eastAsia="Arial" w:hAnsi="Arial"/>
          <w:sz w:val="16"/>
          <w:szCs w:val="16"/>
          <w:color w:val="auto"/>
        </w:rPr>
        <w:t>The Non-financial Risks Division is responsible for defining a non-financial risks strategy aligned with the objectives and risk appetite set by the Board of Grupo Crédito. This strategy seeks to strengthen the management process, generate synergies, optimize resources and achieve better results among the units responsible for managing non-financial risks in the Group. Additionally, in order to achieve the objectives defined in the non-financial risk strategy, the Division is responsible for promoting risk culture, developing talent, defining indicators and generating and following-up strategic projects and initiatives.</w:t>
      </w:r>
    </w:p>
    <w:p>
      <w:pPr>
        <w:spacing w:after="0" w:line="145" w:lineRule="exact"/>
        <w:rPr>
          <w:sz w:val="20"/>
          <w:szCs w:val="20"/>
          <w:color w:val="auto"/>
        </w:rPr>
      </w:pPr>
    </w:p>
    <w:p>
      <w:pPr>
        <w:ind w:left="596" w:hanging="303"/>
        <w:spacing w:after="0"/>
        <w:tabs>
          <w:tab w:leader="none" w:pos="596" w:val="left"/>
        </w:tabs>
        <w:numPr>
          <w:ilvl w:val="1"/>
          <w:numId w:val="166"/>
        </w:numPr>
        <w:rPr>
          <w:rFonts w:ascii="Arial" w:cs="Arial" w:eastAsia="Arial" w:hAnsi="Arial"/>
          <w:sz w:val="16"/>
          <w:szCs w:val="16"/>
          <w:color w:val="auto"/>
        </w:rPr>
      </w:pPr>
      <w:r>
        <w:rPr>
          <w:rFonts w:ascii="Arial" w:cs="Arial" w:eastAsia="Arial" w:hAnsi="Arial"/>
          <w:sz w:val="16"/>
          <w:szCs w:val="16"/>
          <w:color w:val="auto"/>
        </w:rPr>
        <w:t>Internal Audit Division and Corporate Ethics and Compliance Division -</w:t>
      </w:r>
    </w:p>
    <w:p>
      <w:pPr>
        <w:spacing w:after="0" w:line="182" w:lineRule="exact"/>
        <w:rPr>
          <w:rFonts w:ascii="Arial" w:cs="Arial" w:eastAsia="Arial" w:hAnsi="Arial"/>
          <w:sz w:val="16"/>
          <w:szCs w:val="16"/>
          <w:color w:val="auto"/>
        </w:rPr>
      </w:pPr>
    </w:p>
    <w:p>
      <w:pPr>
        <w:ind w:left="596"/>
        <w:spacing w:after="0" w:line="252" w:lineRule="auto"/>
        <w:rPr>
          <w:rFonts w:ascii="Arial" w:cs="Arial" w:eastAsia="Arial" w:hAnsi="Arial"/>
          <w:sz w:val="16"/>
          <w:szCs w:val="16"/>
          <w:color w:val="auto"/>
        </w:rPr>
      </w:pPr>
      <w:r>
        <w:rPr>
          <w:rFonts w:ascii="Arial" w:cs="Arial" w:eastAsia="Arial" w:hAnsi="Arial"/>
          <w:sz w:val="16"/>
          <w:szCs w:val="16"/>
          <w:color w:val="auto"/>
        </w:rPr>
        <w:t>The Internal Audit Division is in charge of monitoring on an ongoing basis the effectiveness and efficiency of the risk management function in the Group, verifying compliance with regulations, policies, objectives and guidelines set by the Board of Directors. On the other hand, it evaluates sufficiency and integration level of Group’s information and database systems. Finally, it ensures that independence is maintained between the functions of the risk management and business units, for each of the Group’s companies.</w:t>
      </w:r>
    </w:p>
    <w:p>
      <w:pPr>
        <w:spacing w:after="0" w:line="143" w:lineRule="exact"/>
        <w:rPr>
          <w:rFonts w:ascii="Arial" w:cs="Arial" w:eastAsia="Arial" w:hAnsi="Arial"/>
          <w:sz w:val="16"/>
          <w:szCs w:val="16"/>
          <w:color w:val="auto"/>
        </w:rPr>
      </w:pPr>
    </w:p>
    <w:p>
      <w:pPr>
        <w:ind w:left="596" w:right="40"/>
        <w:spacing w:after="0" w:line="280" w:lineRule="auto"/>
        <w:rPr>
          <w:rFonts w:ascii="Arial" w:cs="Arial" w:eastAsia="Arial" w:hAnsi="Arial"/>
          <w:sz w:val="16"/>
          <w:szCs w:val="16"/>
          <w:color w:val="auto"/>
        </w:rPr>
      </w:pPr>
      <w:r>
        <w:rPr>
          <w:rFonts w:ascii="Arial" w:cs="Arial" w:eastAsia="Arial" w:hAnsi="Arial"/>
          <w:sz w:val="16"/>
          <w:szCs w:val="16"/>
          <w:color w:val="auto"/>
        </w:rPr>
        <w:t>The Corporate Compliance and Ethics Division reports to the Board of Directors and is responsible for providing corporate policies to ensure that Group companies specifically comply with regulations that specified them, and the guidelines established in the Code of Ethics.</w:t>
      </w:r>
    </w:p>
    <w:p>
      <w:pPr>
        <w:spacing w:after="0" w:line="120" w:lineRule="exact"/>
        <w:rPr>
          <w:rFonts w:ascii="Arial" w:cs="Arial" w:eastAsia="Arial" w:hAnsi="Arial"/>
          <w:sz w:val="16"/>
          <w:szCs w:val="16"/>
          <w:color w:val="auto"/>
        </w:rPr>
      </w:pPr>
    </w:p>
    <w:p>
      <w:pPr>
        <w:ind w:left="296" w:hanging="296"/>
        <w:spacing w:after="0"/>
        <w:tabs>
          <w:tab w:leader="none" w:pos="29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Risk measurement and reporting systems -</w:t>
      </w:r>
    </w:p>
    <w:p>
      <w:pPr>
        <w:spacing w:after="0" w:line="182" w:lineRule="exact"/>
        <w:rPr>
          <w:rFonts w:ascii="Arial" w:cs="Arial" w:eastAsia="Arial" w:hAnsi="Arial"/>
          <w:sz w:val="16"/>
          <w:szCs w:val="16"/>
          <w:color w:val="auto"/>
        </w:rPr>
      </w:pPr>
    </w:p>
    <w:p>
      <w:pPr>
        <w:ind w:left="296" w:right="120"/>
        <w:spacing w:after="0" w:line="259" w:lineRule="auto"/>
        <w:rPr>
          <w:rFonts w:ascii="Arial" w:cs="Arial" w:eastAsia="Arial" w:hAnsi="Arial"/>
          <w:sz w:val="16"/>
          <w:szCs w:val="16"/>
          <w:color w:val="auto"/>
        </w:rPr>
      </w:pPr>
      <w:r>
        <w:rPr>
          <w:rFonts w:ascii="Arial" w:cs="Arial" w:eastAsia="Arial" w:hAnsi="Arial"/>
          <w:sz w:val="16"/>
          <w:szCs w:val="16"/>
          <w:color w:val="auto"/>
        </w:rPr>
        <w:t>The risk is measured according to models and methodologies developed for the management of each type of risk. Risk reports that allow to monitor at the level added and detailed the different types of risks of each company which is exposed. The system provides the facility to meet the appetite review needs by risk requested by the committees and areas described above; as well as comply with regulatory requirements.</w:t>
      </w:r>
    </w:p>
    <w:p>
      <w:pPr>
        <w:spacing w:after="0" w:line="137" w:lineRule="exact"/>
        <w:rPr>
          <w:rFonts w:ascii="Arial" w:cs="Arial" w:eastAsia="Arial" w:hAnsi="Arial"/>
          <w:sz w:val="16"/>
          <w:szCs w:val="16"/>
          <w:color w:val="auto"/>
        </w:rPr>
      </w:pPr>
    </w:p>
    <w:p>
      <w:pPr>
        <w:ind w:left="296" w:hanging="296"/>
        <w:spacing w:after="0"/>
        <w:tabs>
          <w:tab w:leader="none" w:pos="29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Risk mitigation -</w:t>
      </w:r>
    </w:p>
    <w:p>
      <w:pPr>
        <w:spacing w:after="0" w:line="182" w:lineRule="exact"/>
        <w:rPr>
          <w:rFonts w:ascii="Arial" w:cs="Arial" w:eastAsia="Arial" w:hAnsi="Arial"/>
          <w:sz w:val="16"/>
          <w:szCs w:val="16"/>
          <w:color w:val="auto"/>
        </w:rPr>
      </w:pPr>
    </w:p>
    <w:p>
      <w:pPr>
        <w:ind w:left="296" w:right="60"/>
        <w:spacing w:after="0" w:line="280" w:lineRule="auto"/>
        <w:rPr>
          <w:rFonts w:ascii="Arial" w:cs="Arial" w:eastAsia="Arial" w:hAnsi="Arial"/>
          <w:sz w:val="16"/>
          <w:szCs w:val="16"/>
          <w:color w:val="auto"/>
        </w:rPr>
      </w:pPr>
      <w:r>
        <w:rPr>
          <w:rFonts w:ascii="Arial" w:cs="Arial" w:eastAsia="Arial" w:hAnsi="Arial"/>
          <w:sz w:val="16"/>
          <w:szCs w:val="16"/>
          <w:color w:val="auto"/>
        </w:rPr>
        <w:t>Depending on the type of risk, mitigating instruments are used to reduce its exposure, such as guarantees, derivatives, controls and insurance, among others. Furthermore, it has policies linked to risk appetite and established procedures for each type of risk.</w:t>
      </w:r>
    </w:p>
    <w:p>
      <w:pPr>
        <w:spacing w:after="0" w:line="120" w:lineRule="exact"/>
        <w:rPr>
          <w:rFonts w:ascii="Arial" w:cs="Arial" w:eastAsia="Arial" w:hAnsi="Arial"/>
          <w:sz w:val="16"/>
          <w:szCs w:val="16"/>
          <w:color w:val="auto"/>
        </w:rPr>
      </w:pPr>
    </w:p>
    <w:p>
      <w:pPr>
        <w:ind w:left="296"/>
        <w:spacing w:after="0"/>
        <w:rPr>
          <w:rFonts w:ascii="Arial" w:cs="Arial" w:eastAsia="Arial" w:hAnsi="Arial"/>
          <w:sz w:val="16"/>
          <w:szCs w:val="16"/>
          <w:color w:val="auto"/>
        </w:rPr>
      </w:pPr>
      <w:r>
        <w:rPr>
          <w:rFonts w:ascii="Arial" w:cs="Arial" w:eastAsia="Arial" w:hAnsi="Arial"/>
          <w:sz w:val="16"/>
          <w:szCs w:val="16"/>
          <w:color w:val="auto"/>
        </w:rPr>
        <w:t>The Group actively uses guarantees to reduce its credit risks.</w:t>
      </w:r>
    </w:p>
    <w:p>
      <w:pPr>
        <w:spacing w:after="0" w:line="182" w:lineRule="exact"/>
        <w:rPr>
          <w:rFonts w:ascii="Arial" w:cs="Arial" w:eastAsia="Arial" w:hAnsi="Arial"/>
          <w:sz w:val="16"/>
          <w:szCs w:val="16"/>
          <w:color w:val="auto"/>
        </w:rPr>
      </w:pPr>
    </w:p>
    <w:p>
      <w:pPr>
        <w:ind w:left="296" w:hanging="296"/>
        <w:spacing w:after="0"/>
        <w:tabs>
          <w:tab w:leader="none" w:pos="29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Risk appetite -</w:t>
      </w:r>
    </w:p>
    <w:p>
      <w:pPr>
        <w:spacing w:after="0" w:line="182" w:lineRule="exact"/>
        <w:rPr>
          <w:rFonts w:ascii="Arial" w:cs="Arial" w:eastAsia="Arial" w:hAnsi="Arial"/>
          <w:sz w:val="16"/>
          <w:szCs w:val="16"/>
          <w:color w:val="auto"/>
        </w:rPr>
      </w:pPr>
    </w:p>
    <w:p>
      <w:pPr>
        <w:jc w:val="both"/>
        <w:ind w:left="296" w:right="40"/>
        <w:spacing w:after="0" w:line="259" w:lineRule="auto"/>
        <w:rPr>
          <w:rFonts w:ascii="Arial" w:cs="Arial" w:eastAsia="Arial" w:hAnsi="Arial"/>
          <w:sz w:val="16"/>
          <w:szCs w:val="16"/>
          <w:color w:val="auto"/>
        </w:rPr>
      </w:pPr>
      <w:r>
        <w:rPr>
          <w:rFonts w:ascii="Arial" w:cs="Arial" w:eastAsia="Arial" w:hAnsi="Arial"/>
          <w:sz w:val="16"/>
          <w:szCs w:val="16"/>
          <w:color w:val="auto"/>
        </w:rPr>
        <w:t>Based on corporate risk management, Grupo Crédito’s Board of Directors approves the risk appetite framework to define the maximum level of risk that the organization is willing to take as seeks its strategic and financial objectives, maintaining a corporate vision in individual decisions of each entity. This Risk Appetite framework is based on “core” and specific metrics:</w:t>
      </w:r>
    </w:p>
    <w:p>
      <w:pPr>
        <w:spacing w:after="0" w:line="137" w:lineRule="exact"/>
        <w:rPr>
          <w:rFonts w:ascii="Arial" w:cs="Arial" w:eastAsia="Arial" w:hAnsi="Arial"/>
          <w:sz w:val="16"/>
          <w:szCs w:val="16"/>
          <w:color w:val="auto"/>
        </w:rPr>
      </w:pPr>
    </w:p>
    <w:p>
      <w:pPr>
        <w:ind w:left="296" w:right="200"/>
        <w:spacing w:after="0" w:line="280" w:lineRule="auto"/>
        <w:rPr>
          <w:rFonts w:ascii="Arial" w:cs="Arial" w:eastAsia="Arial" w:hAnsi="Arial"/>
          <w:sz w:val="16"/>
          <w:szCs w:val="16"/>
          <w:color w:val="auto"/>
        </w:rPr>
      </w:pPr>
      <w:r>
        <w:rPr>
          <w:rFonts w:ascii="Arial" w:cs="Arial" w:eastAsia="Arial" w:hAnsi="Arial"/>
          <w:sz w:val="16"/>
          <w:szCs w:val="16"/>
          <w:color w:val="auto"/>
        </w:rPr>
        <w:t>Core metrics are intended to preserve the organization’s strategic pillars, defined as solvency, liquidity, profit and growth, income stability and balance sheet structure and cybersecurity risks.</w:t>
      </w:r>
    </w:p>
    <w:p>
      <w:pPr>
        <w:spacing w:after="0" w:line="120" w:lineRule="exact"/>
        <w:rPr>
          <w:rFonts w:ascii="Arial" w:cs="Arial" w:eastAsia="Arial" w:hAnsi="Arial"/>
          <w:sz w:val="16"/>
          <w:szCs w:val="16"/>
          <w:color w:val="auto"/>
        </w:rPr>
      </w:pPr>
    </w:p>
    <w:p>
      <w:pPr>
        <w:ind w:left="296" w:right="20"/>
        <w:spacing w:after="0" w:line="259" w:lineRule="auto"/>
        <w:rPr>
          <w:rFonts w:ascii="Arial" w:cs="Arial" w:eastAsia="Arial" w:hAnsi="Arial"/>
          <w:sz w:val="16"/>
          <w:szCs w:val="16"/>
          <w:color w:val="auto"/>
        </w:rPr>
      </w:pPr>
      <w:r>
        <w:rPr>
          <w:rFonts w:ascii="Arial" w:cs="Arial" w:eastAsia="Arial" w:hAnsi="Arial"/>
          <w:sz w:val="16"/>
          <w:szCs w:val="16"/>
          <w:color w:val="auto"/>
        </w:rPr>
        <w:t>Specific metrics objectives are intended to monitor on a qualitative and quantitative basis the various risks, to which the Group is exposed, as well as defining a tolerance threshold of each of those risks, so the risk profile set by the Board is preserved and any risk focus is anticipated on a more granular basis.</w:t>
      </w:r>
    </w:p>
    <w:p>
      <w:pPr>
        <w:spacing w:after="0" w:line="296" w:lineRule="exact"/>
        <w:rPr>
          <w:sz w:val="20"/>
          <w:szCs w:val="20"/>
          <w:color w:val="auto"/>
        </w:rPr>
      </w:pPr>
    </w:p>
    <w:p>
      <w:pPr>
        <w:ind w:left="4896"/>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36"/>
          </w:cols>
          <w:pgMar w:left="904" w:top="124" w:right="359" w:bottom="1440" w:gutter="0" w:footer="0" w:header="0"/>
        </w:sectPr>
      </w:pPr>
    </w:p>
    <w:bookmarkStart w:id="145" w:name="page146"/>
    <w:bookmarkEnd w:id="145"/>
    <w:p>
      <w:pPr>
        <w:ind w:left="296"/>
        <w:spacing w:after="0"/>
        <w:rPr>
          <w:sz w:val="20"/>
          <w:szCs w:val="20"/>
          <w:color w:val="auto"/>
        </w:rPr>
      </w:pPr>
      <w:r>
        <w:rPr>
          <w:rFonts w:ascii="Arial" w:cs="Arial" w:eastAsia="Arial" w:hAnsi="Arial"/>
          <w:sz w:val="16"/>
          <w:szCs w:val="16"/>
          <w:color w:val="auto"/>
        </w:rPr>
        <w:t>Risk appetite is instrumented through the following elements:</w:t>
      </w:r>
    </w:p>
    <w:p>
      <w:pPr>
        <w:spacing w:after="0" w:line="182" w:lineRule="exact"/>
        <w:rPr>
          <w:sz w:val="20"/>
          <w:szCs w:val="20"/>
          <w:color w:val="auto"/>
        </w:rPr>
      </w:pPr>
    </w:p>
    <w:p>
      <w:pPr>
        <w:ind w:left="596" w:right="3280" w:hanging="303"/>
        <w:spacing w:after="0" w:line="280" w:lineRule="auto"/>
        <w:tabs>
          <w:tab w:leader="none" w:pos="59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Risk appetite statement: Establishes explicit general principles and the qualitative declarations which complement the risk strategy.</w:t>
      </w:r>
    </w:p>
    <w:p>
      <w:pPr>
        <w:spacing w:after="0" w:line="120" w:lineRule="exact"/>
        <w:rPr>
          <w:rFonts w:ascii="Arial" w:cs="Arial" w:eastAsia="Arial" w:hAnsi="Arial"/>
          <w:sz w:val="16"/>
          <w:szCs w:val="16"/>
          <w:color w:val="auto"/>
        </w:rPr>
      </w:pPr>
    </w:p>
    <w:p>
      <w:pPr>
        <w:ind w:left="596" w:right="3800" w:hanging="303"/>
        <w:spacing w:after="0" w:line="280" w:lineRule="auto"/>
        <w:tabs>
          <w:tab w:leader="none" w:pos="59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Metrics scorecards: These are used to define the levels of risk exposure in the different strategic pillars.</w:t>
      </w:r>
    </w:p>
    <w:p>
      <w:pPr>
        <w:spacing w:after="0" w:line="120" w:lineRule="exact"/>
        <w:rPr>
          <w:rFonts w:ascii="Arial" w:cs="Arial" w:eastAsia="Arial" w:hAnsi="Arial"/>
          <w:sz w:val="16"/>
          <w:szCs w:val="16"/>
          <w:color w:val="auto"/>
        </w:rPr>
      </w:pPr>
    </w:p>
    <w:p>
      <w:pPr>
        <w:ind w:left="596" w:right="3260" w:hanging="303"/>
        <w:spacing w:after="0" w:line="259" w:lineRule="auto"/>
        <w:tabs>
          <w:tab w:leader="none" w:pos="59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Limits: Allows control over the risk-taking process within the tolerance threshold established by the Board. They also provide accountability for the risk-taking process and define guidelines regarding the target risk profile.</w:t>
      </w:r>
    </w:p>
    <w:p>
      <w:pPr>
        <w:spacing w:after="0" w:line="137" w:lineRule="exact"/>
        <w:rPr>
          <w:rFonts w:ascii="Arial" w:cs="Arial" w:eastAsia="Arial" w:hAnsi="Arial"/>
          <w:sz w:val="16"/>
          <w:szCs w:val="16"/>
          <w:color w:val="auto"/>
        </w:rPr>
      </w:pPr>
    </w:p>
    <w:p>
      <w:pPr>
        <w:ind w:left="596" w:right="3300" w:hanging="303"/>
        <w:spacing w:after="0" w:line="280" w:lineRule="auto"/>
        <w:tabs>
          <w:tab w:leader="none" w:pos="59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Government scheme: Seeks to guarantee compliance of the framework through different roles and responsibilities assigned to the units involved.</w:t>
      </w:r>
    </w:p>
    <w:p>
      <w:pPr>
        <w:spacing w:after="0" w:line="120" w:lineRule="exact"/>
        <w:rPr>
          <w:sz w:val="20"/>
          <w:szCs w:val="20"/>
          <w:color w:val="auto"/>
        </w:rPr>
      </w:pPr>
    </w:p>
    <w:p>
      <w:pPr>
        <w:ind w:left="296" w:right="140"/>
        <w:spacing w:after="0" w:line="280" w:lineRule="auto"/>
        <w:rPr>
          <w:sz w:val="20"/>
          <w:szCs w:val="20"/>
          <w:color w:val="auto"/>
        </w:rPr>
      </w:pPr>
      <w:r>
        <w:rPr>
          <w:rFonts w:ascii="Arial" w:cs="Arial" w:eastAsia="Arial" w:hAnsi="Arial"/>
          <w:sz w:val="16"/>
          <w:szCs w:val="16"/>
          <w:color w:val="auto"/>
        </w:rPr>
        <w:t>The appetite is integrated into the processes of strategic and capital guidelines, as well as in the definition of the annual budget, facilitating the strategic decision making of the organization.</w:t>
      </w:r>
    </w:p>
    <w:p>
      <w:pPr>
        <w:spacing w:after="0" w:line="120" w:lineRule="exact"/>
        <w:rPr>
          <w:sz w:val="20"/>
          <w:szCs w:val="20"/>
          <w:color w:val="auto"/>
        </w:rPr>
      </w:pPr>
    </w:p>
    <w:p>
      <w:pPr>
        <w:ind w:left="296" w:hanging="296"/>
        <w:spacing w:after="0"/>
        <w:tabs>
          <w:tab w:leader="none" w:pos="29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Risk concentration -</w:t>
      </w:r>
    </w:p>
    <w:p>
      <w:pPr>
        <w:spacing w:after="0" w:line="182" w:lineRule="exact"/>
        <w:rPr>
          <w:rFonts w:ascii="Arial" w:cs="Arial" w:eastAsia="Arial" w:hAnsi="Arial"/>
          <w:sz w:val="16"/>
          <w:szCs w:val="16"/>
          <w:color w:val="auto"/>
        </w:rPr>
      </w:pPr>
    </w:p>
    <w:p>
      <w:pPr>
        <w:ind w:left="296"/>
        <w:spacing w:after="0" w:line="280" w:lineRule="auto"/>
        <w:rPr>
          <w:rFonts w:ascii="Arial" w:cs="Arial" w:eastAsia="Arial" w:hAnsi="Arial"/>
          <w:sz w:val="16"/>
          <w:szCs w:val="16"/>
          <w:color w:val="auto"/>
        </w:rPr>
      </w:pPr>
      <w:r>
        <w:rPr>
          <w:rFonts w:ascii="Arial" w:cs="Arial" w:eastAsia="Arial" w:hAnsi="Arial"/>
          <w:sz w:val="16"/>
          <w:szCs w:val="16"/>
          <w:color w:val="auto"/>
        </w:rPr>
        <w:t>Concentrations arise when a reduced and representative number of all of the counterparties of the Group are engaged in similar business activities, or activities in the same geographic region, or have similar economic and political conditions among others.</w:t>
      </w:r>
    </w:p>
    <w:p>
      <w:pPr>
        <w:spacing w:after="0" w:line="120" w:lineRule="exact"/>
        <w:rPr>
          <w:rFonts w:ascii="Arial" w:cs="Arial" w:eastAsia="Arial" w:hAnsi="Arial"/>
          <w:sz w:val="16"/>
          <w:szCs w:val="16"/>
          <w:color w:val="auto"/>
        </w:rPr>
      </w:pPr>
    </w:p>
    <w:p>
      <w:pPr>
        <w:ind w:left="296" w:right="220"/>
        <w:spacing w:after="0" w:line="280" w:lineRule="auto"/>
        <w:rPr>
          <w:rFonts w:ascii="Arial" w:cs="Arial" w:eastAsia="Arial" w:hAnsi="Arial"/>
          <w:sz w:val="16"/>
          <w:szCs w:val="16"/>
          <w:color w:val="auto"/>
        </w:rPr>
      </w:pPr>
      <w:r>
        <w:rPr>
          <w:rFonts w:ascii="Arial" w:cs="Arial" w:eastAsia="Arial" w:hAnsi="Arial"/>
          <w:sz w:val="16"/>
          <w:szCs w:val="16"/>
          <w:color w:val="auto"/>
        </w:rPr>
        <w:t>In order to avoid excessive concentrations of risk, the policies and procedures include specific guidelines and limits to guarantee a diversified portfolio.</w:t>
      </w:r>
    </w:p>
    <w:p>
      <w:pPr>
        <w:spacing w:after="0" w:line="279" w:lineRule="exact"/>
        <w:rPr>
          <w:sz w:val="20"/>
          <w:szCs w:val="20"/>
          <w:color w:val="auto"/>
        </w:rPr>
      </w:pPr>
    </w:p>
    <w:p>
      <w:pPr>
        <w:ind w:left="4896"/>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56"/>
          </w:cols>
          <w:pgMar w:left="904" w:top="124" w:right="339" w:bottom="1440" w:gutter="0" w:footer="0" w:header="0"/>
        </w:sectPr>
      </w:pPr>
    </w:p>
    <w:bookmarkStart w:id="146" w:name="page147"/>
    <w:bookmarkEnd w:id="146"/>
    <w:p>
      <w:pPr>
        <w:spacing w:after="0"/>
        <w:tabs>
          <w:tab w:leader="none" w:pos="560" w:val="left"/>
        </w:tabs>
        <w:rPr>
          <w:sz w:val="20"/>
          <w:szCs w:val="20"/>
          <w:color w:val="auto"/>
        </w:rPr>
      </w:pPr>
      <w:r>
        <w:rPr>
          <w:rFonts w:ascii="Arial" w:cs="Arial" w:eastAsia="Arial" w:hAnsi="Arial"/>
          <w:sz w:val="16"/>
          <w:szCs w:val="16"/>
          <w:b w:val="1"/>
          <w:bCs w:val="1"/>
          <w:color w:val="auto"/>
        </w:rPr>
        <w:t>30.1</w:t>
        <w:tab/>
        <w:t>Credit risk -</w:t>
      </w:r>
    </w:p>
    <w:p>
      <w:pPr>
        <w:spacing w:after="0" w:line="182" w:lineRule="exact"/>
        <w:rPr>
          <w:sz w:val="20"/>
          <w:szCs w:val="20"/>
          <w:color w:val="auto"/>
        </w:rPr>
      </w:pPr>
    </w:p>
    <w:p>
      <w:pPr>
        <w:ind w:left="880" w:hanging="296"/>
        <w:spacing w:after="0" w:line="280" w:lineRule="auto"/>
        <w:tabs>
          <w:tab w:leader="none" w:pos="8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Group takes on exposure to credit risk, which is the probability of suffering losses caused by debtors or counterparties failing to comply with payment obligations in on or off the balance sheet exposures.</w:t>
      </w:r>
    </w:p>
    <w:p>
      <w:pPr>
        <w:spacing w:after="0" w:line="120" w:lineRule="exact"/>
        <w:rPr>
          <w:rFonts w:ascii="Arial" w:cs="Arial" w:eastAsia="Arial" w:hAnsi="Arial"/>
          <w:sz w:val="16"/>
          <w:szCs w:val="16"/>
          <w:color w:val="auto"/>
        </w:rPr>
      </w:pPr>
    </w:p>
    <w:p>
      <w:pPr>
        <w:ind w:left="880" w:right="80"/>
        <w:spacing w:after="0" w:line="249" w:lineRule="auto"/>
        <w:rPr>
          <w:rFonts w:ascii="Arial" w:cs="Arial" w:eastAsia="Arial" w:hAnsi="Arial"/>
          <w:sz w:val="16"/>
          <w:szCs w:val="16"/>
          <w:color w:val="auto"/>
        </w:rPr>
      </w:pPr>
      <w:r>
        <w:rPr>
          <w:rFonts w:ascii="Arial" w:cs="Arial" w:eastAsia="Arial" w:hAnsi="Arial"/>
          <w:sz w:val="16"/>
          <w:szCs w:val="16"/>
          <w:color w:val="auto"/>
        </w:rPr>
        <w:t>Credit risk is the most important risk for the Group’s business; therefore, Management carefully manages its exposure to credit risk. Credit exposures arise principally from lending activities that lead to direct loans; they also result from investment activities. There is also credit risk in off-balance sheet financial instruments, such as contingent credits (indirect loans), which expose Credicorp to risks similar to direct loans. Likewise, credit risk arises from derivative financial instruments that present showing positive fair values. Finally, all exposure to credit risk (direct or indirect) is mitigated by the control processes and policies.</w:t>
      </w:r>
    </w:p>
    <w:p>
      <w:pPr>
        <w:spacing w:after="0" w:line="145"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As part of managing this type of risk, provisions for impairment of its portfolio are assigned as of the date of the statement of financial position.</w:t>
      </w:r>
    </w:p>
    <w:p>
      <w:pPr>
        <w:spacing w:after="0" w:line="182" w:lineRule="exact"/>
        <w:rPr>
          <w:rFonts w:ascii="Arial" w:cs="Arial" w:eastAsia="Arial" w:hAnsi="Arial"/>
          <w:sz w:val="16"/>
          <w:szCs w:val="16"/>
          <w:color w:val="auto"/>
        </w:rPr>
      </w:pPr>
    </w:p>
    <w:p>
      <w:pPr>
        <w:ind w:left="880" w:right="600"/>
        <w:spacing w:after="0" w:line="259" w:lineRule="auto"/>
        <w:rPr>
          <w:rFonts w:ascii="Arial" w:cs="Arial" w:eastAsia="Arial" w:hAnsi="Arial"/>
          <w:sz w:val="16"/>
          <w:szCs w:val="16"/>
          <w:color w:val="auto"/>
        </w:rPr>
      </w:pPr>
      <w:r>
        <w:rPr>
          <w:rFonts w:ascii="Arial" w:cs="Arial" w:eastAsia="Arial" w:hAnsi="Arial"/>
          <w:sz w:val="16"/>
          <w:szCs w:val="16"/>
          <w:color w:val="auto"/>
        </w:rPr>
        <w:t>Credit risk levels are defined based on risk exposure limits, which are frequently monitored. Said limits are established in relation to one borrower or group of borrowers, geographical and industry segments. Furthermore, the risk limits by product, industry sector and by geographical segment are approved by the Risk Committee of Credicorp.</w:t>
      </w:r>
    </w:p>
    <w:p>
      <w:pPr>
        <w:spacing w:after="0" w:line="137" w:lineRule="exact"/>
        <w:rPr>
          <w:rFonts w:ascii="Arial" w:cs="Arial" w:eastAsia="Arial" w:hAnsi="Arial"/>
          <w:sz w:val="16"/>
          <w:szCs w:val="16"/>
          <w:color w:val="auto"/>
        </w:rPr>
      </w:pPr>
    </w:p>
    <w:p>
      <w:pPr>
        <w:ind w:left="880" w:right="680"/>
        <w:spacing w:after="0" w:line="280" w:lineRule="auto"/>
        <w:rPr>
          <w:rFonts w:ascii="Arial" w:cs="Arial" w:eastAsia="Arial" w:hAnsi="Arial"/>
          <w:sz w:val="16"/>
          <w:szCs w:val="16"/>
          <w:color w:val="auto"/>
        </w:rPr>
      </w:pPr>
      <w:r>
        <w:rPr>
          <w:rFonts w:ascii="Arial" w:cs="Arial" w:eastAsia="Arial" w:hAnsi="Arial"/>
          <w:sz w:val="16"/>
          <w:szCs w:val="16"/>
          <w:color w:val="auto"/>
        </w:rPr>
        <w:t>Exposure to credit risk is managed through regular analysis of the ability of debtors and potential debtors to meet interest and principal repayment obligations and by changing the credit limits when it is appropriate. Other specific control measures are outlined below:</w:t>
      </w:r>
    </w:p>
    <w:p>
      <w:pPr>
        <w:spacing w:after="0" w:line="120" w:lineRule="exact"/>
        <w:rPr>
          <w:rFonts w:ascii="Arial" w:cs="Arial" w:eastAsia="Arial" w:hAnsi="Arial"/>
          <w:sz w:val="16"/>
          <w:szCs w:val="16"/>
          <w:color w:val="auto"/>
        </w:rPr>
      </w:pPr>
    </w:p>
    <w:p>
      <w:pPr>
        <w:ind w:left="1180" w:hanging="303"/>
        <w:spacing w:after="0"/>
        <w:tabs>
          <w:tab w:leader="none" w:pos="11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Collateral -</w:t>
      </w:r>
    </w:p>
    <w:p>
      <w:pPr>
        <w:spacing w:after="0" w:line="182" w:lineRule="exact"/>
        <w:rPr>
          <w:rFonts w:ascii="Arial" w:cs="Arial" w:eastAsia="Arial" w:hAnsi="Arial"/>
          <w:sz w:val="16"/>
          <w:szCs w:val="16"/>
          <w:color w:val="auto"/>
        </w:rPr>
      </w:pPr>
    </w:p>
    <w:p>
      <w:pPr>
        <w:ind w:left="1180" w:right="160"/>
        <w:spacing w:after="0" w:line="259" w:lineRule="auto"/>
        <w:rPr>
          <w:rFonts w:ascii="Arial" w:cs="Arial" w:eastAsia="Arial" w:hAnsi="Arial"/>
          <w:sz w:val="16"/>
          <w:szCs w:val="16"/>
          <w:color w:val="auto"/>
        </w:rPr>
      </w:pPr>
      <w:r>
        <w:rPr>
          <w:rFonts w:ascii="Arial" w:cs="Arial" w:eastAsia="Arial" w:hAnsi="Arial"/>
          <w:sz w:val="16"/>
          <w:szCs w:val="16"/>
          <w:color w:val="auto"/>
        </w:rPr>
        <w:t>The Group employs a range of policies and practices to mitigate credit risk. The most traditional of these is collateralization which is common practice. The Group implements guidelines on the acceptability of specific classes of collateral or credit risk mitigation. The main types of collateral obtained are as follows:</w:t>
      </w:r>
    </w:p>
    <w:p>
      <w:pPr>
        <w:spacing w:after="0" w:line="137" w:lineRule="exact"/>
        <w:rPr>
          <w:rFonts w:ascii="Arial" w:cs="Arial" w:eastAsia="Arial" w:hAnsi="Arial"/>
          <w:sz w:val="16"/>
          <w:szCs w:val="16"/>
          <w:color w:val="auto"/>
        </w:rPr>
      </w:pPr>
    </w:p>
    <w:p>
      <w:pPr>
        <w:ind w:left="1460" w:right="440" w:hanging="289"/>
        <w:spacing w:after="0" w:line="280" w:lineRule="auto"/>
        <w:tabs>
          <w:tab w:leader="none" w:pos="146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For loans and advances, collateral includes, among others, mortgages on residential properties; liens on business assets such as plants, inventory and accounts receivable; and liens on financial instruments such as debt securities and equity securities.</w:t>
      </w:r>
    </w:p>
    <w:p>
      <w:pPr>
        <w:spacing w:after="0" w:line="120" w:lineRule="exact"/>
        <w:rPr>
          <w:rFonts w:ascii="Arial" w:cs="Arial" w:eastAsia="Arial" w:hAnsi="Arial"/>
          <w:sz w:val="16"/>
          <w:szCs w:val="16"/>
          <w:color w:val="auto"/>
        </w:rPr>
      </w:pPr>
    </w:p>
    <w:p>
      <w:pPr>
        <w:ind w:left="1460" w:hanging="289"/>
        <w:spacing w:after="0"/>
        <w:tabs>
          <w:tab w:leader="none" w:pos="146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For repurchase agreements and securities lending, collateral consists of fixed income instruments, cash and loans.</w:t>
      </w:r>
    </w:p>
    <w:p>
      <w:pPr>
        <w:spacing w:after="0" w:line="182" w:lineRule="exact"/>
        <w:rPr>
          <w:rFonts w:ascii="Arial" w:cs="Arial" w:eastAsia="Arial" w:hAnsi="Arial"/>
          <w:sz w:val="16"/>
          <w:szCs w:val="16"/>
          <w:color w:val="auto"/>
        </w:rPr>
      </w:pPr>
    </w:p>
    <w:p>
      <w:pPr>
        <w:ind w:left="1460" w:right="140" w:hanging="289"/>
        <w:spacing w:after="0" w:line="280" w:lineRule="auto"/>
        <w:tabs>
          <w:tab w:leader="none" w:pos="146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Long term loans and financing to corporate entities are generally guaranteed. Loans to micro business generally have no collateral. In order to minimize credit loss, the Group will seek additional collateral from the counterparty as soon as impairment indicators arise.</w:t>
      </w:r>
    </w:p>
    <w:p>
      <w:pPr>
        <w:spacing w:after="0" w:line="120" w:lineRule="exact"/>
        <w:rPr>
          <w:sz w:val="20"/>
          <w:szCs w:val="20"/>
          <w:color w:val="auto"/>
        </w:rPr>
      </w:pPr>
    </w:p>
    <w:p>
      <w:pPr>
        <w:ind w:left="1180" w:right="140"/>
        <w:spacing w:after="0" w:line="259" w:lineRule="auto"/>
        <w:rPr>
          <w:sz w:val="20"/>
          <w:szCs w:val="20"/>
          <w:color w:val="auto"/>
        </w:rPr>
      </w:pPr>
      <w:r>
        <w:rPr>
          <w:rFonts w:ascii="Arial" w:cs="Arial" w:eastAsia="Arial" w:hAnsi="Arial"/>
          <w:sz w:val="16"/>
          <w:szCs w:val="16"/>
          <w:color w:val="auto"/>
        </w:rPr>
        <w:t>Collateral held as security for financial assets other than loans is determined by the nature of the instrument. Debt securities, treasury and other eligible bills are generally unsecured, with the exception of assets backed securities and similar instruments, which are secured by portfolios of financial instruments.</w:t>
      </w:r>
    </w:p>
    <w:p>
      <w:pPr>
        <w:spacing w:after="0" w:line="137" w:lineRule="exact"/>
        <w:rPr>
          <w:sz w:val="20"/>
          <w:szCs w:val="20"/>
          <w:color w:val="auto"/>
        </w:rPr>
      </w:pPr>
    </w:p>
    <w:p>
      <w:pPr>
        <w:ind w:left="1180" w:right="120"/>
        <w:spacing w:after="0" w:line="252" w:lineRule="auto"/>
        <w:rPr>
          <w:sz w:val="20"/>
          <w:szCs w:val="20"/>
          <w:color w:val="auto"/>
        </w:rPr>
      </w:pPr>
      <w:r>
        <w:rPr>
          <w:rFonts w:ascii="Arial" w:cs="Arial" w:eastAsia="Arial" w:hAnsi="Arial"/>
          <w:sz w:val="16"/>
          <w:szCs w:val="16"/>
          <w:color w:val="auto"/>
        </w:rPr>
        <w:t>Management monitors the market value of collateral, requests additional collateral in accordance with the underlying agreement, and monitors the market value of collateral obtained during its review of the adequacy of the allowance for impairment losses. As part of the Group’s policies, the recovered assets are sold in seniority order. The proceeds of the sale are used to reduce or amortize the outstanding debt. In general, the Group doesn’t use recovered assets for its operational purposes.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47" w:name="page148"/>
    <w:bookmarkEnd w:id="147"/>
    <w:p>
      <w:pPr>
        <w:ind w:left="596" w:hanging="303"/>
        <w:spacing w:after="0"/>
        <w:tabs>
          <w:tab w:leader="none" w:pos="596" w:val="left"/>
        </w:tabs>
        <w:numPr>
          <w:ilvl w:val="1"/>
          <w:numId w:val="171"/>
        </w:numPr>
        <w:rPr>
          <w:rFonts w:ascii="Arial" w:cs="Arial" w:eastAsia="Arial" w:hAnsi="Arial"/>
          <w:sz w:val="16"/>
          <w:szCs w:val="16"/>
          <w:color w:val="auto"/>
        </w:rPr>
      </w:pPr>
      <w:r>
        <w:rPr>
          <w:rFonts w:ascii="Arial" w:cs="Arial" w:eastAsia="Arial" w:hAnsi="Arial"/>
          <w:sz w:val="16"/>
          <w:szCs w:val="16"/>
          <w:color w:val="auto"/>
        </w:rPr>
        <w:t>Derivatives -</w:t>
      </w:r>
    </w:p>
    <w:p>
      <w:pPr>
        <w:spacing w:after="0" w:line="181" w:lineRule="exact"/>
        <w:rPr>
          <w:rFonts w:ascii="Arial" w:cs="Arial" w:eastAsia="Arial" w:hAnsi="Arial"/>
          <w:sz w:val="16"/>
          <w:szCs w:val="16"/>
          <w:color w:val="auto"/>
        </w:rPr>
      </w:pPr>
    </w:p>
    <w:p>
      <w:pPr>
        <w:ind w:left="596" w:right="60"/>
        <w:spacing w:after="0" w:line="252" w:lineRule="auto"/>
        <w:rPr>
          <w:rFonts w:ascii="Arial" w:cs="Arial" w:eastAsia="Arial" w:hAnsi="Arial"/>
          <w:sz w:val="16"/>
          <w:szCs w:val="16"/>
          <w:color w:val="auto"/>
        </w:rPr>
      </w:pPr>
      <w:r>
        <w:rPr>
          <w:rFonts w:ascii="Arial" w:cs="Arial" w:eastAsia="Arial" w:hAnsi="Arial"/>
          <w:sz w:val="16"/>
          <w:szCs w:val="16"/>
          <w:color w:val="auto"/>
        </w:rPr>
        <w:t>The amount subject to credit risk is limited to the current and potential fair value of instruments that are favorable to the Group (fair value is positive). In the case of derivatives this is only a small fraction of the contract, or notional values used to express the volume of instruments outstanding. This credit risk exposure is managed as a portion of the total credit limits with customers, together with potential exposures from market movements.</w:t>
      </w:r>
    </w:p>
    <w:p>
      <w:pPr>
        <w:spacing w:after="0" w:line="143" w:lineRule="exact"/>
        <w:rPr>
          <w:rFonts w:ascii="Arial" w:cs="Arial" w:eastAsia="Arial" w:hAnsi="Arial"/>
          <w:sz w:val="16"/>
          <w:szCs w:val="16"/>
          <w:color w:val="auto"/>
        </w:rPr>
      </w:pPr>
    </w:p>
    <w:p>
      <w:pPr>
        <w:ind w:left="596" w:hanging="303"/>
        <w:spacing w:after="0"/>
        <w:tabs>
          <w:tab w:leader="none" w:pos="596" w:val="left"/>
        </w:tabs>
        <w:numPr>
          <w:ilvl w:val="1"/>
          <w:numId w:val="171"/>
        </w:numPr>
        <w:rPr>
          <w:rFonts w:ascii="Arial" w:cs="Arial" w:eastAsia="Arial" w:hAnsi="Arial"/>
          <w:sz w:val="16"/>
          <w:szCs w:val="16"/>
          <w:color w:val="auto"/>
        </w:rPr>
      </w:pPr>
      <w:r>
        <w:rPr>
          <w:rFonts w:ascii="Arial" w:cs="Arial" w:eastAsia="Arial" w:hAnsi="Arial"/>
          <w:sz w:val="16"/>
          <w:szCs w:val="16"/>
          <w:color w:val="auto"/>
        </w:rPr>
        <w:t>Credit-related commitments -</w:t>
      </w:r>
    </w:p>
    <w:p>
      <w:pPr>
        <w:spacing w:after="0" w:line="182" w:lineRule="exact"/>
        <w:rPr>
          <w:rFonts w:ascii="Arial" w:cs="Arial" w:eastAsia="Arial" w:hAnsi="Arial"/>
          <w:sz w:val="16"/>
          <w:szCs w:val="16"/>
          <w:color w:val="auto"/>
        </w:rPr>
      </w:pPr>
    </w:p>
    <w:p>
      <w:pPr>
        <w:ind w:left="596" w:right="120"/>
        <w:spacing w:after="0" w:line="249" w:lineRule="auto"/>
        <w:rPr>
          <w:rFonts w:ascii="Arial" w:cs="Arial" w:eastAsia="Arial" w:hAnsi="Arial"/>
          <w:sz w:val="16"/>
          <w:szCs w:val="16"/>
          <w:color w:val="auto"/>
        </w:rPr>
      </w:pPr>
      <w:r>
        <w:rPr>
          <w:rFonts w:ascii="Arial" w:cs="Arial" w:eastAsia="Arial" w:hAnsi="Arial"/>
          <w:sz w:val="16"/>
          <w:szCs w:val="16"/>
          <w:color w:val="auto"/>
        </w:rPr>
        <w:t>The primary purpose of these instruments is to ensure that funds are available to a customer as required. Guarantees and letters of credit have the same credit risk as direct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145" w:lineRule="exact"/>
        <w:rPr>
          <w:rFonts w:ascii="Arial" w:cs="Arial" w:eastAsia="Arial" w:hAnsi="Arial"/>
          <w:sz w:val="16"/>
          <w:szCs w:val="16"/>
          <w:color w:val="auto"/>
        </w:rPr>
      </w:pPr>
    </w:p>
    <w:p>
      <w:pPr>
        <w:ind w:left="296" w:right="180" w:hanging="296"/>
        <w:spacing w:after="0" w:line="280" w:lineRule="auto"/>
        <w:tabs>
          <w:tab w:leader="none" w:pos="29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maximum exposure to credit risk as of December 31, 2023 and 2022, before the effect of mitigation through any collateral, is the carrying amount of each class of financial assets indicated in Notes 30.11(a), 30.11(b) and the contingent credits detailed in Note 18(a).</w:t>
      </w:r>
    </w:p>
    <w:p>
      <w:pPr>
        <w:spacing w:after="0" w:line="120" w:lineRule="exact"/>
        <w:rPr>
          <w:rFonts w:ascii="Arial" w:cs="Arial" w:eastAsia="Arial" w:hAnsi="Arial"/>
          <w:sz w:val="16"/>
          <w:szCs w:val="16"/>
          <w:color w:val="auto"/>
        </w:rPr>
      </w:pPr>
    </w:p>
    <w:p>
      <w:pPr>
        <w:ind w:left="296" w:hanging="296"/>
        <w:spacing w:after="0"/>
        <w:tabs>
          <w:tab w:leader="none" w:pos="29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Credit risk management for loans -</w:t>
      </w:r>
    </w:p>
    <w:p>
      <w:pPr>
        <w:spacing w:after="0" w:line="182" w:lineRule="exact"/>
        <w:rPr>
          <w:rFonts w:ascii="Arial" w:cs="Arial" w:eastAsia="Arial" w:hAnsi="Arial"/>
          <w:sz w:val="16"/>
          <w:szCs w:val="16"/>
          <w:color w:val="auto"/>
        </w:rPr>
      </w:pPr>
    </w:p>
    <w:p>
      <w:pPr>
        <w:ind w:left="296"/>
        <w:spacing w:after="0" w:line="252" w:lineRule="auto"/>
        <w:rPr>
          <w:rFonts w:ascii="Arial" w:cs="Arial" w:eastAsia="Arial" w:hAnsi="Arial"/>
          <w:sz w:val="16"/>
          <w:szCs w:val="16"/>
          <w:color w:val="auto"/>
        </w:rPr>
      </w:pPr>
      <w:r>
        <w:rPr>
          <w:rFonts w:ascii="Arial" w:cs="Arial" w:eastAsia="Arial" w:hAnsi="Arial"/>
          <w:sz w:val="16"/>
          <w:szCs w:val="16"/>
          <w:color w:val="auto"/>
        </w:rPr>
        <w:t>Credit risk management is mainly based on the rating and scoring internal models of each company of the Group. In Credicorp, quantitative and qualitative analysis are made for each client, regarding their financial position, credit behavior in the financial system and the market in which they operate or are located. This analysis is carried out continuously to characterize the risk profile of each operation and client with a loan position in the Group.</w:t>
      </w:r>
    </w:p>
    <w:p>
      <w:pPr>
        <w:spacing w:after="0" w:line="143" w:lineRule="exact"/>
        <w:rPr>
          <w:rFonts w:ascii="Arial" w:cs="Arial" w:eastAsia="Arial" w:hAnsi="Arial"/>
          <w:sz w:val="16"/>
          <w:szCs w:val="16"/>
          <w:color w:val="auto"/>
        </w:rPr>
      </w:pPr>
    </w:p>
    <w:p>
      <w:pPr>
        <w:ind w:left="296" w:right="460"/>
        <w:spacing w:after="0" w:line="280" w:lineRule="auto"/>
        <w:rPr>
          <w:rFonts w:ascii="Arial" w:cs="Arial" w:eastAsia="Arial" w:hAnsi="Arial"/>
          <w:sz w:val="16"/>
          <w:szCs w:val="16"/>
          <w:color w:val="auto"/>
        </w:rPr>
      </w:pPr>
      <w:r>
        <w:rPr>
          <w:rFonts w:ascii="Arial" w:cs="Arial" w:eastAsia="Arial" w:hAnsi="Arial"/>
          <w:sz w:val="16"/>
          <w:szCs w:val="16"/>
          <w:color w:val="auto"/>
        </w:rPr>
        <w:t>In the Group, a loan is internally classified as past due according to three criteria: the number of days past due based on the contractually agreed due date, the subsidiary and the type of loan. The detail is shown below:</w:t>
      </w:r>
    </w:p>
    <w:p>
      <w:pPr>
        <w:spacing w:after="0" w:line="120" w:lineRule="exact"/>
        <w:rPr>
          <w:rFonts w:ascii="Arial" w:cs="Arial" w:eastAsia="Arial" w:hAnsi="Arial"/>
          <w:sz w:val="16"/>
          <w:szCs w:val="16"/>
          <w:color w:val="auto"/>
        </w:rPr>
      </w:pPr>
    </w:p>
    <w:p>
      <w:pPr>
        <w:ind w:left="296"/>
        <w:spacing w:after="0"/>
        <w:rPr>
          <w:rFonts w:ascii="Arial" w:cs="Arial" w:eastAsia="Arial" w:hAnsi="Arial"/>
          <w:sz w:val="16"/>
          <w:szCs w:val="16"/>
          <w:color w:val="auto"/>
        </w:rPr>
      </w:pPr>
      <w:r>
        <w:rPr>
          <w:rFonts w:ascii="Arial" w:cs="Arial" w:eastAsia="Arial" w:hAnsi="Arial"/>
          <w:sz w:val="16"/>
          <w:szCs w:val="16"/>
          <w:color w:val="auto"/>
        </w:rPr>
        <w:t>-   Banco de Crédito del Perú, Mibanco y Solución Empresa Administradora Hipotecaria internally classify a loan as past due</w:t>
      </w:r>
    </w:p>
    <w:p>
      <w:pPr>
        <w:spacing w:after="0" w:line="182" w:lineRule="exact"/>
        <w:rPr>
          <w:rFonts w:ascii="Arial" w:cs="Arial" w:eastAsia="Arial" w:hAnsi="Arial"/>
          <w:sz w:val="16"/>
          <w:szCs w:val="16"/>
          <w:color w:val="auto"/>
        </w:rPr>
      </w:pPr>
    </w:p>
    <w:p>
      <w:pPr>
        <w:ind w:left="876" w:hanging="289"/>
        <w:spacing w:after="0"/>
        <w:tabs>
          <w:tab w:leader="none" w:pos="876" w:val="left"/>
        </w:tabs>
        <w:numPr>
          <w:ilvl w:val="2"/>
          <w:numId w:val="172"/>
        </w:numPr>
        <w:rPr>
          <w:rFonts w:ascii="Arial" w:cs="Arial" w:eastAsia="Arial" w:hAnsi="Arial"/>
          <w:sz w:val="16"/>
          <w:szCs w:val="16"/>
          <w:color w:val="auto"/>
        </w:rPr>
      </w:pPr>
      <w:r>
        <w:rPr>
          <w:rFonts w:ascii="Arial" w:cs="Arial" w:eastAsia="Arial" w:hAnsi="Arial"/>
          <w:sz w:val="16"/>
          <w:szCs w:val="16"/>
          <w:color w:val="auto"/>
        </w:rPr>
        <w:t>For corporate, large and medium companies, when it has more than 15 days in arrears.</w:t>
      </w:r>
    </w:p>
    <w:p>
      <w:pPr>
        <w:spacing w:after="0" w:line="15" w:lineRule="exact"/>
        <w:rPr>
          <w:rFonts w:ascii="Arial" w:cs="Arial" w:eastAsia="Arial" w:hAnsi="Arial"/>
          <w:sz w:val="16"/>
          <w:szCs w:val="16"/>
          <w:color w:val="auto"/>
        </w:rPr>
      </w:pPr>
    </w:p>
    <w:p>
      <w:pPr>
        <w:ind w:left="876" w:hanging="289"/>
        <w:spacing w:after="0"/>
        <w:tabs>
          <w:tab w:leader="none" w:pos="876" w:val="left"/>
        </w:tabs>
        <w:numPr>
          <w:ilvl w:val="2"/>
          <w:numId w:val="172"/>
        </w:numPr>
        <w:rPr>
          <w:rFonts w:ascii="Arial" w:cs="Arial" w:eastAsia="Arial" w:hAnsi="Arial"/>
          <w:sz w:val="16"/>
          <w:szCs w:val="16"/>
          <w:color w:val="auto"/>
        </w:rPr>
      </w:pPr>
      <w:r>
        <w:rPr>
          <w:rFonts w:ascii="Arial" w:cs="Arial" w:eastAsia="Arial" w:hAnsi="Arial"/>
          <w:sz w:val="16"/>
          <w:szCs w:val="16"/>
          <w:color w:val="auto"/>
        </w:rPr>
        <w:t>For small and microbusiness when it has more than 30 days in arrears.</w:t>
      </w:r>
    </w:p>
    <w:p>
      <w:pPr>
        <w:ind w:left="876" w:hanging="289"/>
        <w:spacing w:after="0"/>
        <w:tabs>
          <w:tab w:leader="none" w:pos="876" w:val="left"/>
        </w:tabs>
        <w:numPr>
          <w:ilvl w:val="2"/>
          <w:numId w:val="172"/>
        </w:numPr>
        <w:rPr>
          <w:rFonts w:ascii="Arial" w:cs="Arial" w:eastAsia="Arial" w:hAnsi="Arial"/>
          <w:sz w:val="16"/>
          <w:szCs w:val="16"/>
          <w:color w:val="auto"/>
        </w:rPr>
      </w:pPr>
      <w:r>
        <w:rPr>
          <w:rFonts w:ascii="Arial" w:cs="Arial" w:eastAsia="Arial" w:hAnsi="Arial"/>
          <w:sz w:val="16"/>
          <w:szCs w:val="16"/>
          <w:color w:val="auto"/>
        </w:rPr>
        <w:t>For overdrafts when it has more than 30 days in arrears.</w:t>
      </w:r>
    </w:p>
    <w:p>
      <w:pPr>
        <w:ind w:left="876" w:right="260" w:hanging="289"/>
        <w:spacing w:after="0" w:line="259" w:lineRule="auto"/>
        <w:tabs>
          <w:tab w:leader="none" w:pos="876" w:val="left"/>
        </w:tabs>
        <w:numPr>
          <w:ilvl w:val="2"/>
          <w:numId w:val="172"/>
        </w:numPr>
        <w:rPr>
          <w:rFonts w:ascii="Arial" w:cs="Arial" w:eastAsia="Arial" w:hAnsi="Arial"/>
          <w:sz w:val="16"/>
          <w:szCs w:val="16"/>
          <w:color w:val="auto"/>
        </w:rPr>
      </w:pPr>
      <w:r>
        <w:rPr>
          <w:rFonts w:ascii="Arial" w:cs="Arial" w:eastAsia="Arial" w:hAnsi="Arial"/>
          <w:sz w:val="16"/>
          <w:szCs w:val="16"/>
          <w:color w:val="auto"/>
        </w:rPr>
        <w:t>For consumer, mortgage and leasing operations, installments are internally classified as past due when they are between 30 and 90 days in arrears; after 90 days, the pending loan balance is considered past due.</w:t>
      </w:r>
    </w:p>
    <w:p>
      <w:pPr>
        <w:spacing w:after="0" w:line="137" w:lineRule="exact"/>
        <w:rPr>
          <w:sz w:val="20"/>
          <w:szCs w:val="20"/>
          <w:color w:val="auto"/>
        </w:rPr>
      </w:pPr>
    </w:p>
    <w:p>
      <w:pPr>
        <w:ind w:left="596" w:hanging="303"/>
        <w:spacing w:after="0"/>
        <w:tabs>
          <w:tab w:leader="none" w:pos="59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Mibanco Colombia internally classifies a loan as past due:</w:t>
      </w:r>
    </w:p>
    <w:p>
      <w:pPr>
        <w:spacing w:after="0" w:line="182" w:lineRule="exact"/>
        <w:rPr>
          <w:rFonts w:ascii="Arial" w:cs="Arial" w:eastAsia="Arial" w:hAnsi="Arial"/>
          <w:sz w:val="16"/>
          <w:szCs w:val="16"/>
          <w:color w:val="auto"/>
        </w:rPr>
      </w:pPr>
    </w:p>
    <w:p>
      <w:pPr>
        <w:ind w:left="876" w:hanging="289"/>
        <w:spacing w:after="0"/>
        <w:tabs>
          <w:tab w:leader="none" w:pos="87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For commercial loans when it has more than 90 days in arrears.</w:t>
      </w:r>
    </w:p>
    <w:p>
      <w:pPr>
        <w:spacing w:after="0" w:line="15" w:lineRule="exact"/>
        <w:rPr>
          <w:rFonts w:ascii="Arial" w:cs="Arial" w:eastAsia="Arial" w:hAnsi="Arial"/>
          <w:sz w:val="16"/>
          <w:szCs w:val="16"/>
          <w:color w:val="auto"/>
        </w:rPr>
      </w:pPr>
    </w:p>
    <w:p>
      <w:pPr>
        <w:ind w:left="876" w:hanging="289"/>
        <w:spacing w:after="0"/>
        <w:tabs>
          <w:tab w:leader="none" w:pos="87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For microbusiness loans when it has more than 60 days in arrears.</w:t>
      </w:r>
    </w:p>
    <w:p>
      <w:pPr>
        <w:ind w:left="876" w:hanging="289"/>
        <w:spacing w:after="0"/>
        <w:tabs>
          <w:tab w:leader="none" w:pos="87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For consumer loans when it has more than 60 days in arrears.</w:t>
      </w:r>
    </w:p>
    <w:p>
      <w:pPr>
        <w:ind w:left="876" w:hanging="289"/>
        <w:spacing w:after="0"/>
        <w:tabs>
          <w:tab w:leader="none" w:pos="87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For mortgage loans when it has more than 30 days in arrears.</w:t>
      </w:r>
    </w:p>
    <w:p>
      <w:pPr>
        <w:spacing w:after="0" w:line="325" w:lineRule="exact"/>
        <w:rPr>
          <w:sz w:val="20"/>
          <w:szCs w:val="20"/>
          <w:color w:val="auto"/>
        </w:rPr>
      </w:pPr>
    </w:p>
    <w:p>
      <w:pPr>
        <w:ind w:left="4876"/>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36"/>
          </w:cols>
          <w:pgMar w:left="904" w:top="124" w:right="359" w:bottom="1440" w:gutter="0" w:footer="0" w:header="0"/>
        </w:sectPr>
      </w:pPr>
    </w:p>
    <w:bookmarkStart w:id="148" w:name="page149"/>
    <w:bookmarkEnd w:id="148"/>
    <w:p>
      <w:pPr>
        <w:ind w:left="303" w:hanging="303"/>
        <w:spacing w:after="0"/>
        <w:tabs>
          <w:tab w:leader="none" w:pos="30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ASB Bank Corp. internally classifies a loan as past due when it has 1 or more days in arrears.</w:t>
      </w:r>
    </w:p>
    <w:p>
      <w:pPr>
        <w:spacing w:after="0" w:line="182" w:lineRule="exact"/>
        <w:rPr>
          <w:rFonts w:ascii="Arial" w:cs="Arial" w:eastAsia="Arial" w:hAnsi="Arial"/>
          <w:sz w:val="16"/>
          <w:szCs w:val="16"/>
          <w:color w:val="auto"/>
        </w:rPr>
      </w:pPr>
    </w:p>
    <w:p>
      <w:pPr>
        <w:ind w:left="3" w:right="2420" w:hanging="3"/>
        <w:spacing w:after="0" w:line="478" w:lineRule="auto"/>
        <w:tabs>
          <w:tab w:leader="none" w:pos="29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Banco de Crédito de Bolivia internally classifies a loan as past due when it has 30 or more days in arrears. Estimate of the expected credit loss -</w:t>
      </w:r>
    </w:p>
    <w:p>
      <w:pPr>
        <w:ind w:left="3" w:right="240"/>
        <w:spacing w:after="0" w:line="259" w:lineRule="auto"/>
        <w:rPr>
          <w:sz w:val="20"/>
          <w:szCs w:val="20"/>
          <w:color w:val="auto"/>
        </w:rPr>
      </w:pPr>
      <w:r>
        <w:rPr>
          <w:rFonts w:ascii="Arial" w:cs="Arial" w:eastAsia="Arial" w:hAnsi="Arial"/>
          <w:sz w:val="16"/>
          <w:szCs w:val="16"/>
          <w:color w:val="auto"/>
        </w:rPr>
        <w:t>The measurement of the expected credit loss is based on the product of the following risk parameters: (i) probability of default (PD), (ii) loss given default (LGD), and (iii) exposure at default (EAD); discounted at the reporting date using the effective interest rate. The definition of the parameters is presented below:</w:t>
      </w:r>
    </w:p>
    <w:p>
      <w:pPr>
        <w:spacing w:after="0" w:line="137" w:lineRule="exact"/>
        <w:rPr>
          <w:sz w:val="20"/>
          <w:szCs w:val="20"/>
          <w:color w:val="auto"/>
        </w:rPr>
      </w:pPr>
    </w:p>
    <w:p>
      <w:pPr>
        <w:ind w:left="583" w:hanging="289"/>
        <w:spacing w:after="0"/>
        <w:tabs>
          <w:tab w:leader="none" w:pos="583" w:val="left"/>
        </w:tabs>
        <w:numPr>
          <w:ilvl w:val="1"/>
          <w:numId w:val="175"/>
        </w:numPr>
        <w:rPr>
          <w:rFonts w:ascii="Arial" w:cs="Arial" w:eastAsia="Arial" w:hAnsi="Arial"/>
          <w:sz w:val="16"/>
          <w:szCs w:val="16"/>
          <w:color w:val="auto"/>
        </w:rPr>
      </w:pPr>
      <w:r>
        <w:rPr>
          <w:rFonts w:ascii="Arial" w:cs="Arial" w:eastAsia="Arial" w:hAnsi="Arial"/>
          <w:sz w:val="16"/>
          <w:szCs w:val="16"/>
          <w:color w:val="auto"/>
        </w:rPr>
        <w:t>Probability of default (PD): is a credit rating measure that is given internally to a client with the objective of estimating its probability of</w:t>
      </w:r>
    </w:p>
    <w:p>
      <w:pPr>
        <w:spacing w:after="0" w:line="15" w:lineRule="exact"/>
        <w:rPr>
          <w:rFonts w:ascii="Arial" w:cs="Arial" w:eastAsia="Arial" w:hAnsi="Arial"/>
          <w:sz w:val="16"/>
          <w:szCs w:val="16"/>
          <w:color w:val="auto"/>
        </w:rPr>
      </w:pPr>
    </w:p>
    <w:p>
      <w:pPr>
        <w:ind w:left="583" w:right="340"/>
        <w:spacing w:after="0" w:line="249" w:lineRule="auto"/>
        <w:rPr>
          <w:rFonts w:ascii="Arial" w:cs="Arial" w:eastAsia="Arial" w:hAnsi="Arial"/>
          <w:sz w:val="16"/>
          <w:szCs w:val="16"/>
          <w:color w:val="auto"/>
        </w:rPr>
      </w:pPr>
      <w:r>
        <w:rPr>
          <w:rFonts w:ascii="Arial" w:cs="Arial" w:eastAsia="Arial" w:hAnsi="Arial"/>
          <w:sz w:val="16"/>
          <w:szCs w:val="16"/>
          <w:color w:val="auto"/>
        </w:rPr>
        <w:t>default within a specific time horizon. The process of obtaining the PD is carried out considering three main components: (i) the risk observed at the portfolio level, (ii) the macroeconomic perspectives of the main countries where Credicorp operates and (iii) the individual risk of each loan, which It is measured through rating and scoring tools.</w:t>
      </w:r>
    </w:p>
    <w:p>
      <w:pPr>
        <w:spacing w:after="0" w:line="14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The Group considers that a financial instrument is in default if it meets the following conditions, according to the type of asset:</w:t>
      </w:r>
    </w:p>
    <w:p>
      <w:pPr>
        <w:spacing w:after="0" w:line="182" w:lineRule="exact"/>
        <w:rPr>
          <w:rFonts w:ascii="Arial" w:cs="Arial" w:eastAsia="Arial" w:hAnsi="Arial"/>
          <w:sz w:val="16"/>
          <w:szCs w:val="16"/>
          <w:color w:val="auto"/>
        </w:rPr>
      </w:pPr>
    </w:p>
    <w:p>
      <w:pPr>
        <w:ind w:left="883" w:right="400" w:hanging="296"/>
        <w:spacing w:after="0" w:line="280" w:lineRule="auto"/>
        <w:tabs>
          <w:tab w:leader="none" w:pos="883" w:val="left"/>
        </w:tabs>
        <w:numPr>
          <w:ilvl w:val="2"/>
          <w:numId w:val="175"/>
        </w:numPr>
        <w:rPr>
          <w:rFonts w:ascii="Arial" w:cs="Arial" w:eastAsia="Arial" w:hAnsi="Arial"/>
          <w:sz w:val="16"/>
          <w:szCs w:val="16"/>
          <w:color w:val="auto"/>
        </w:rPr>
      </w:pPr>
      <w:r>
        <w:rPr>
          <w:rFonts w:ascii="Arial" w:cs="Arial" w:eastAsia="Arial" w:hAnsi="Arial"/>
          <w:sz w:val="16"/>
          <w:szCs w:val="16"/>
          <w:color w:val="auto"/>
        </w:rPr>
        <w:t>Consumer products, credit card and SME: if the client, at some certain point, presents arrears equal to or greater than 60 days and/or has operations that are refinanced, restructured, in pre-judicial, judicial proceedings or written off.</w:t>
      </w:r>
    </w:p>
    <w:p>
      <w:pPr>
        <w:spacing w:after="0" w:line="120" w:lineRule="exact"/>
        <w:rPr>
          <w:rFonts w:ascii="Arial" w:cs="Arial" w:eastAsia="Arial" w:hAnsi="Arial"/>
          <w:sz w:val="16"/>
          <w:szCs w:val="16"/>
          <w:color w:val="auto"/>
        </w:rPr>
      </w:pPr>
    </w:p>
    <w:p>
      <w:pPr>
        <w:ind w:left="883" w:hanging="296"/>
        <w:spacing w:after="0" w:line="280" w:lineRule="auto"/>
        <w:tabs>
          <w:tab w:leader="none" w:pos="883" w:val="left"/>
        </w:tabs>
        <w:numPr>
          <w:ilvl w:val="2"/>
          <w:numId w:val="175"/>
        </w:numPr>
        <w:rPr>
          <w:rFonts w:ascii="Arial" w:cs="Arial" w:eastAsia="Arial" w:hAnsi="Arial"/>
          <w:sz w:val="16"/>
          <w:szCs w:val="16"/>
          <w:color w:val="auto"/>
        </w:rPr>
      </w:pPr>
      <w:r>
        <w:rPr>
          <w:rFonts w:ascii="Arial" w:cs="Arial" w:eastAsia="Arial" w:hAnsi="Arial"/>
          <w:sz w:val="16"/>
          <w:szCs w:val="16"/>
          <w:color w:val="auto"/>
        </w:rPr>
        <w:t>Mortgage products: if the client, at some certain point, presents arrears equal to or greater than 120 days and/or has operations that are refinanced, restructured, in pre-judicial, judicial proceedings or written off.</w:t>
      </w:r>
    </w:p>
    <w:p>
      <w:pPr>
        <w:spacing w:after="0" w:line="120" w:lineRule="exact"/>
        <w:rPr>
          <w:rFonts w:ascii="Arial" w:cs="Arial" w:eastAsia="Arial" w:hAnsi="Arial"/>
          <w:sz w:val="16"/>
          <w:szCs w:val="16"/>
          <w:color w:val="auto"/>
        </w:rPr>
      </w:pPr>
    </w:p>
    <w:p>
      <w:pPr>
        <w:ind w:left="883" w:right="120" w:hanging="296"/>
        <w:spacing w:after="0" w:line="242" w:lineRule="auto"/>
        <w:tabs>
          <w:tab w:leader="none" w:pos="883" w:val="left"/>
        </w:tabs>
        <w:numPr>
          <w:ilvl w:val="2"/>
          <w:numId w:val="175"/>
        </w:numPr>
        <w:rPr>
          <w:rFonts w:ascii="Arial" w:cs="Arial" w:eastAsia="Arial" w:hAnsi="Arial"/>
          <w:sz w:val="16"/>
          <w:szCs w:val="16"/>
          <w:color w:val="auto"/>
        </w:rPr>
      </w:pPr>
      <w:r>
        <w:rPr>
          <w:rFonts w:ascii="Arial" w:cs="Arial" w:eastAsia="Arial" w:hAnsi="Arial"/>
          <w:sz w:val="16"/>
          <w:szCs w:val="16"/>
          <w:color w:val="auto"/>
        </w:rPr>
        <w:t>Commercial banking: if the client, at some certain point, is in the Collections portfolio, or has a risk classification of Deficient, Doubtful or Loss, or has operations that are refinanced, in pre-judicial, judicial proceedings or written off. Also, a client can be considered as default if it shows signs of significant qualitative impairment. It should be noted that, for commercial clients with the highest loan position that are classified in default, the Risk Management performs an individual review to determine the expected credit loss in each case, in which it considers: (i) knowledge of the specific situation of the client, (ii) the coverage of real guarantees, (iii) the financial information available of the company, (iv) the conditions of the sector in which the company operates,</w:t>
      </w:r>
    </w:p>
    <w:p>
      <w:pPr>
        <w:spacing w:after="0" w:line="2" w:lineRule="exact"/>
        <w:rPr>
          <w:rFonts w:ascii="Arial" w:cs="Arial" w:eastAsia="Arial" w:hAnsi="Arial"/>
          <w:sz w:val="16"/>
          <w:szCs w:val="16"/>
          <w:color w:val="auto"/>
        </w:rPr>
      </w:pPr>
    </w:p>
    <w:p>
      <w:pPr>
        <w:ind w:left="883"/>
        <w:spacing w:after="0"/>
        <w:rPr>
          <w:rFonts w:ascii="Arial" w:cs="Arial" w:eastAsia="Arial" w:hAnsi="Arial"/>
          <w:sz w:val="16"/>
          <w:szCs w:val="16"/>
          <w:color w:val="auto"/>
        </w:rPr>
      </w:pPr>
      <w:r>
        <w:rPr>
          <w:rFonts w:ascii="Arial" w:cs="Arial" w:eastAsia="Arial" w:hAnsi="Arial"/>
          <w:sz w:val="16"/>
          <w:szCs w:val="16"/>
          <w:color w:val="auto"/>
        </w:rPr>
        <w:t>(v) among others.</w:t>
      </w:r>
    </w:p>
    <w:p>
      <w:pPr>
        <w:spacing w:after="0" w:line="166" w:lineRule="exact"/>
        <w:rPr>
          <w:rFonts w:ascii="Arial" w:cs="Arial" w:eastAsia="Arial" w:hAnsi="Arial"/>
          <w:sz w:val="16"/>
          <w:szCs w:val="16"/>
          <w:color w:val="auto"/>
        </w:rPr>
      </w:pPr>
    </w:p>
    <w:p>
      <w:pPr>
        <w:ind w:left="883" w:right="120" w:hanging="296"/>
        <w:spacing w:after="0" w:line="252" w:lineRule="auto"/>
        <w:tabs>
          <w:tab w:leader="none" w:pos="883" w:val="left"/>
        </w:tabs>
        <w:numPr>
          <w:ilvl w:val="2"/>
          <w:numId w:val="175"/>
        </w:numPr>
        <w:rPr>
          <w:rFonts w:ascii="Arial" w:cs="Arial" w:eastAsia="Arial" w:hAnsi="Arial"/>
          <w:sz w:val="16"/>
          <w:szCs w:val="16"/>
          <w:color w:val="auto"/>
        </w:rPr>
      </w:pPr>
      <w:r>
        <w:rPr>
          <w:rFonts w:ascii="Arial" w:cs="Arial" w:eastAsia="Arial" w:hAnsi="Arial"/>
          <w:sz w:val="16"/>
          <w:szCs w:val="16"/>
          <w:color w:val="auto"/>
        </w:rPr>
        <w:t>Investments: if the instrument has a default rating according to external rating agencies such as Fitch, Standard &amp; Poors or Moody’s, or if it has an indicator of arrears equal to or greater than 90 days. In addition, an issuer can be considered as default if it shows signs of significant qualitative impairment. When an issuer is classified as default, all its instruments are also classified as default, that is, in stage 3.</w:t>
      </w:r>
    </w:p>
    <w:p>
      <w:pPr>
        <w:spacing w:after="0" w:line="143" w:lineRule="exact"/>
        <w:rPr>
          <w:rFonts w:ascii="Arial" w:cs="Arial" w:eastAsia="Arial" w:hAnsi="Arial"/>
          <w:sz w:val="16"/>
          <w:szCs w:val="16"/>
          <w:color w:val="auto"/>
        </w:rPr>
      </w:pPr>
    </w:p>
    <w:p>
      <w:pPr>
        <w:ind w:left="303" w:right="100" w:hanging="303"/>
        <w:spacing w:after="0" w:line="280" w:lineRule="auto"/>
        <w:tabs>
          <w:tab w:leader="none" w:pos="30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Loss given default (LGD): this is a measurement which estimates the severity of the loss that would be incurred at the time of the default. It has two approaches in the estimate of the severity of the loss, according to the stage of the client:</w:t>
      </w:r>
    </w:p>
    <w:p>
      <w:pPr>
        <w:spacing w:after="0" w:line="120" w:lineRule="exact"/>
        <w:rPr>
          <w:rFonts w:ascii="Arial" w:cs="Arial" w:eastAsia="Arial" w:hAnsi="Arial"/>
          <w:sz w:val="16"/>
          <w:szCs w:val="16"/>
          <w:color w:val="auto"/>
        </w:rPr>
      </w:pPr>
    </w:p>
    <w:p>
      <w:pPr>
        <w:ind w:left="883" w:right="20" w:hanging="296"/>
        <w:spacing w:after="0" w:line="280" w:lineRule="auto"/>
        <w:tabs>
          <w:tab w:leader="none" w:pos="883" w:val="left"/>
        </w:tabs>
        <w:numPr>
          <w:ilvl w:val="2"/>
          <w:numId w:val="175"/>
        </w:numPr>
        <w:rPr>
          <w:rFonts w:ascii="Arial" w:cs="Arial" w:eastAsia="Arial" w:hAnsi="Arial"/>
          <w:sz w:val="16"/>
          <w:szCs w:val="16"/>
          <w:color w:val="auto"/>
        </w:rPr>
      </w:pPr>
      <w:r>
        <w:rPr>
          <w:rFonts w:ascii="Arial" w:cs="Arial" w:eastAsia="Arial" w:hAnsi="Arial"/>
          <w:sz w:val="16"/>
          <w:szCs w:val="16"/>
          <w:color w:val="auto"/>
        </w:rPr>
        <w:t>LGD workout: is the real loss of clients who reached the default stage. To calculate this parameter, the recoveries and costs of each of the operations are included (includes open and closed recovery processes).</w:t>
      </w:r>
    </w:p>
    <w:p>
      <w:pPr>
        <w:spacing w:after="0" w:line="279" w:lineRule="exact"/>
        <w:rPr>
          <w:sz w:val="20"/>
          <w:szCs w:val="20"/>
          <w:color w:val="auto"/>
        </w:rPr>
      </w:pPr>
    </w:p>
    <w:p>
      <w:pPr>
        <w:ind w:left="4583"/>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63"/>
          </w:cols>
          <w:pgMar w:left="1197" w:top="306" w:right="339" w:bottom="1440" w:gutter="0" w:footer="0" w:header="0"/>
        </w:sectPr>
      </w:pPr>
    </w:p>
    <w:bookmarkStart w:id="149" w:name="page150"/>
    <w:bookmarkEnd w:id="149"/>
    <w:p>
      <w:pPr>
        <w:ind w:left="583" w:right="240" w:hanging="289"/>
        <w:spacing w:after="0" w:line="248" w:lineRule="auto"/>
        <w:tabs>
          <w:tab w:leader="none" w:pos="58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LGD ELBE (expected loss best estimate): s the loss of contracts in a situation of default based on the time in default of the operation (the longer the time in default, the higher the level of loss of the operation).</w:t>
      </w:r>
    </w:p>
    <w:p>
      <w:pPr>
        <w:spacing w:after="0" w:line="1" w:lineRule="exact"/>
        <w:rPr>
          <w:rFonts w:ascii="Arial" w:cs="Arial" w:eastAsia="Arial" w:hAnsi="Arial"/>
          <w:sz w:val="16"/>
          <w:szCs w:val="16"/>
          <w:color w:val="auto"/>
        </w:rPr>
      </w:pPr>
    </w:p>
    <w:p>
      <w:pPr>
        <w:ind w:left="583" w:right="80" w:hanging="289"/>
        <w:spacing w:after="0" w:line="259" w:lineRule="auto"/>
        <w:tabs>
          <w:tab w:leader="none" w:pos="58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Exposure at default (EAD): this is a measurement which estimates the exposure at the time of the client’s default, considering changes in future exposure, for example, in the case of prepayments and/or greater utilization of unused credit lines.</w:t>
      </w:r>
    </w:p>
    <w:p>
      <w:pPr>
        <w:spacing w:after="0" w:line="137" w:lineRule="exact"/>
        <w:rPr>
          <w:sz w:val="20"/>
          <w:szCs w:val="20"/>
          <w:color w:val="auto"/>
        </w:rPr>
      </w:pPr>
    </w:p>
    <w:p>
      <w:pPr>
        <w:ind w:left="3" w:right="180"/>
        <w:spacing w:after="0" w:line="280" w:lineRule="auto"/>
        <w:rPr>
          <w:sz w:val="20"/>
          <w:szCs w:val="20"/>
          <w:color w:val="auto"/>
        </w:rPr>
      </w:pPr>
      <w:r>
        <w:rPr>
          <w:rFonts w:ascii="Arial" w:cs="Arial" w:eastAsia="Arial" w:hAnsi="Arial"/>
          <w:sz w:val="16"/>
          <w:szCs w:val="16"/>
          <w:color w:val="auto"/>
        </w:rPr>
        <w:t>The estimate of the risk parameters considers information regarding the actual conditions, as well as the projections of future macroeconomic events and conditions in three scenarios (base, optimistic and pessimistic), which are weighted to obtain the expected credit loss.</w:t>
      </w:r>
    </w:p>
    <w:p>
      <w:pPr>
        <w:spacing w:after="0" w:line="120" w:lineRule="exact"/>
        <w:rPr>
          <w:sz w:val="20"/>
          <w:szCs w:val="20"/>
          <w:color w:val="auto"/>
        </w:rPr>
      </w:pPr>
    </w:p>
    <w:p>
      <w:pPr>
        <w:ind w:left="3" w:right="60"/>
        <w:spacing w:after="0" w:line="259" w:lineRule="auto"/>
        <w:rPr>
          <w:sz w:val="20"/>
          <w:szCs w:val="20"/>
          <w:color w:val="auto"/>
        </w:rPr>
      </w:pPr>
      <w:r>
        <w:rPr>
          <w:rFonts w:ascii="Arial" w:cs="Arial" w:eastAsia="Arial" w:hAnsi="Arial"/>
          <w:sz w:val="16"/>
          <w:szCs w:val="16"/>
          <w:color w:val="auto"/>
        </w:rPr>
        <w:t>The fundamental difference between the expected credit loss of a loan allocated in stage 1 and stage 2 is the PD’s time horizon. The estimates in stage 1 use a PD with a maximum time horizon of 12 months, while those in stage 2 use a PD measured for the remaining lifetime of the instrument. The estimates in stage 3 are carried out based on an LGD “best estimate”.</w:t>
      </w:r>
    </w:p>
    <w:p>
      <w:pPr>
        <w:spacing w:after="0" w:line="137" w:lineRule="exact"/>
        <w:rPr>
          <w:sz w:val="20"/>
          <w:szCs w:val="20"/>
          <w:color w:val="auto"/>
        </w:rPr>
      </w:pPr>
    </w:p>
    <w:p>
      <w:pPr>
        <w:ind w:left="3" w:right="280"/>
        <w:spacing w:after="0" w:line="280" w:lineRule="auto"/>
        <w:rPr>
          <w:sz w:val="20"/>
          <w:szCs w:val="20"/>
          <w:color w:val="auto"/>
        </w:rPr>
      </w:pPr>
      <w:r>
        <w:rPr>
          <w:rFonts w:ascii="Arial" w:cs="Arial" w:eastAsia="Arial" w:hAnsi="Arial"/>
          <w:sz w:val="16"/>
          <w:szCs w:val="16"/>
          <w:color w:val="auto"/>
        </w:rPr>
        <w:t>For those portfolios that are not material and/or do not have specific credit scoring models, the option was to extrapolate the expected credit loss ratio of portfolios with comparable characteristics.</w:t>
      </w:r>
    </w:p>
    <w:p>
      <w:pPr>
        <w:spacing w:after="0" w:line="120"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main methodological calibrations made in the internal credit risk models during 2023 were:</w:t>
      </w:r>
    </w:p>
    <w:p>
      <w:pPr>
        <w:spacing w:after="0" w:line="183" w:lineRule="exact"/>
        <w:rPr>
          <w:sz w:val="20"/>
          <w:szCs w:val="20"/>
          <w:color w:val="auto"/>
        </w:rPr>
      </w:pPr>
    </w:p>
    <w:p>
      <w:pPr>
        <w:ind w:left="303" w:right="200" w:hanging="303"/>
        <w:spacing w:after="0" w:line="252" w:lineRule="auto"/>
        <w:tabs>
          <w:tab w:leader="none" w:pos="303"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PD models: in accordance with our internal governance scheme, throughout 2023 we continue to monitor the performance of the PD models and implement the necessary calibrations to maintain an adequate measurement of the credit risk of our loan portfolio. In this sense, in the first half of 2023, a new version of the PD FWL parameter was implemented for the estimation of expected credit loss of the SME portfolio, in which the GDP variable was added to better capture the impact of the macroeconomics condition.</w:t>
      </w:r>
    </w:p>
    <w:p>
      <w:pPr>
        <w:spacing w:after="0" w:line="143" w:lineRule="exact"/>
        <w:rPr>
          <w:rFonts w:ascii="Arial" w:cs="Arial" w:eastAsia="Arial" w:hAnsi="Arial"/>
          <w:sz w:val="16"/>
          <w:szCs w:val="16"/>
          <w:color w:val="auto"/>
        </w:rPr>
      </w:pPr>
    </w:p>
    <w:p>
      <w:pPr>
        <w:ind w:left="303" w:hanging="303"/>
        <w:spacing w:after="0" w:line="252" w:lineRule="auto"/>
        <w:tabs>
          <w:tab w:leader="none" w:pos="303" w:val="left"/>
        </w:tabs>
        <w:numPr>
          <w:ilvl w:val="0"/>
          <w:numId w:val="177"/>
        </w:numPr>
        <w:rPr>
          <w:rFonts w:ascii="Arial" w:cs="Arial" w:eastAsia="Arial" w:hAnsi="Arial"/>
          <w:sz w:val="16"/>
          <w:szCs w:val="16"/>
          <w:color w:val="auto"/>
        </w:rPr>
      </w:pPr>
      <w:r>
        <w:rPr>
          <w:rFonts w:ascii="Arial" w:cs="Arial" w:eastAsia="Arial" w:hAnsi="Arial"/>
          <w:sz w:val="16"/>
          <w:szCs w:val="16"/>
          <w:color w:val="auto"/>
        </w:rPr>
        <w:t>LGD models: In accordance with our internal governance scheme, throughout 2023 we continue to monitor the performance of LGD models and implement the necessary calibrations to maintain an adequate measurement of the credit risk of our loan portfolio. In this sense, in the fourth quarter of 2023, a new version of the LGD parameter was implemented for the estimation of the expected credit loss of the Hipotecario portfolio, which allowed the Government’s coverage of the Mivivienda program loans to be recognized in a more precise way.</w:t>
      </w:r>
    </w:p>
    <w:p>
      <w:pPr>
        <w:spacing w:after="0" w:line="143" w:lineRule="exact"/>
        <w:rPr>
          <w:rFonts w:ascii="Arial" w:cs="Arial" w:eastAsia="Arial" w:hAnsi="Arial"/>
          <w:sz w:val="16"/>
          <w:szCs w:val="16"/>
          <w:color w:val="auto"/>
        </w:rPr>
      </w:pPr>
    </w:p>
    <w:p>
      <w:pPr>
        <w:ind w:left="303" w:right="180" w:hanging="303"/>
        <w:spacing w:after="0" w:line="259" w:lineRule="auto"/>
        <w:tabs>
          <w:tab w:leader="none" w:pos="303" w:val="left"/>
        </w:tabs>
        <w:numPr>
          <w:ilvl w:val="0"/>
          <w:numId w:val="177"/>
        </w:numPr>
        <w:rPr>
          <w:rFonts w:ascii="Arial" w:cs="Arial" w:eastAsia="Arial" w:hAnsi="Arial"/>
          <w:sz w:val="16"/>
          <w:szCs w:val="16"/>
          <w:color w:val="auto"/>
        </w:rPr>
      </w:pPr>
      <w:r>
        <w:rPr>
          <w:rFonts w:ascii="Arial" w:cs="Arial" w:eastAsia="Arial" w:hAnsi="Arial"/>
          <w:sz w:val="16"/>
          <w:szCs w:val="16"/>
          <w:color w:val="auto"/>
        </w:rPr>
        <w:t>On an extraordinary basis, the expected impact of the El Niño phenomenon on the credit risk of the Group’s loan portfolio was measured, focusing the analysis on the geographic areas with the greatest potential impact, and the additional provisions associated with this event were recorded.</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6"/>
          <w:szCs w:val="16"/>
          <w:color w:val="auto"/>
        </w:rPr>
        <w:t>Prospective information -</w:t>
      </w:r>
    </w:p>
    <w:p>
      <w:pPr>
        <w:spacing w:after="0" w:line="183" w:lineRule="exact"/>
        <w:rPr>
          <w:sz w:val="20"/>
          <w:szCs w:val="20"/>
          <w:color w:val="auto"/>
        </w:rPr>
      </w:pPr>
    </w:p>
    <w:p>
      <w:pPr>
        <w:ind w:left="3" w:right="360"/>
        <w:spacing w:after="0" w:line="280" w:lineRule="auto"/>
        <w:rPr>
          <w:sz w:val="20"/>
          <w:szCs w:val="20"/>
          <w:color w:val="auto"/>
        </w:rPr>
      </w:pPr>
      <w:r>
        <w:rPr>
          <w:rFonts w:ascii="Arial" w:cs="Arial" w:eastAsia="Arial" w:hAnsi="Arial"/>
          <w:sz w:val="16"/>
          <w:szCs w:val="16"/>
          <w:color w:val="auto"/>
        </w:rPr>
        <w:t>The measurement of the expected credit loss for each stage and the evaluation of significant increase in credit risk consider information on previous events and current conditions, as well as reasonable projections based on future events and economic conditions.</w:t>
      </w:r>
    </w:p>
    <w:p>
      <w:pPr>
        <w:spacing w:after="0" w:line="120" w:lineRule="exact"/>
        <w:rPr>
          <w:sz w:val="20"/>
          <w:szCs w:val="20"/>
          <w:color w:val="auto"/>
        </w:rPr>
      </w:pPr>
    </w:p>
    <w:p>
      <w:pPr>
        <w:ind w:left="3"/>
        <w:spacing w:after="0" w:line="249" w:lineRule="auto"/>
        <w:rPr>
          <w:sz w:val="20"/>
          <w:szCs w:val="20"/>
          <w:color w:val="auto"/>
        </w:rPr>
      </w:pPr>
      <w:r>
        <w:rPr>
          <w:rFonts w:ascii="Arial" w:cs="Arial" w:eastAsia="Arial" w:hAnsi="Arial"/>
          <w:sz w:val="16"/>
          <w:szCs w:val="16"/>
          <w:color w:val="auto"/>
        </w:rPr>
        <w:t>For the estimate of the risk parameters (PD, LGD, EAD), used in the calculation of the expected credit loss in stages 1 and 2, the significance of the macroeconomic variables (or their variations) that have the greatest influence on each portfolio which provide a better prospective and systemic vision to the estimate, based on econometric techniques. Each macroeconomic scenario used in the estimate of the expected credit loss considers projections of relevant macroeconomic variables, such as the gross domestic product (GDP), employment, terms of trade, inflation rate, among others, for a period of 3 years and a long-term projection.</w:t>
      </w:r>
    </w:p>
    <w:p>
      <w:pPr>
        <w:spacing w:after="0" w:line="304" w:lineRule="exact"/>
        <w:rPr>
          <w:sz w:val="20"/>
          <w:szCs w:val="20"/>
          <w:color w:val="auto"/>
        </w:rPr>
      </w:pPr>
    </w:p>
    <w:p>
      <w:pPr>
        <w:ind w:left="4583"/>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43"/>
          </w:cols>
          <w:pgMar w:left="1197" w:top="124" w:right="359" w:bottom="1440" w:gutter="0" w:footer="0" w:header="0"/>
        </w:sectPr>
      </w:pPr>
    </w:p>
    <w:bookmarkStart w:id="150" w:name="page151"/>
    <w:bookmarkEnd w:id="150"/>
    <w:p>
      <w:pPr>
        <w:ind w:left="3" w:right="60"/>
        <w:spacing w:after="0" w:line="249" w:lineRule="auto"/>
        <w:rPr>
          <w:sz w:val="20"/>
          <w:szCs w:val="20"/>
          <w:color w:val="auto"/>
        </w:rPr>
      </w:pPr>
      <w:r>
        <w:rPr>
          <w:rFonts w:ascii="Arial" w:cs="Arial" w:eastAsia="Arial" w:hAnsi="Arial"/>
          <w:sz w:val="16"/>
          <w:szCs w:val="16"/>
          <w:color w:val="auto"/>
        </w:rPr>
        <w:t>The expected credit loss is a weighted estimate that considers three future macroeconomic scenarios (baseline, optimistic, pessimistic). These scenarios, as well as the probability of occurrence of each one, are projections provided by the internal Economic Studies team and are approved by Senior Management; These projections are made for the main countries where Credicorp operates. The design of the scenarios is reviewed quarterly. All scenarios considered apply to portfolios subject to expected credit loss with the same probabilities. Changes from one stage to another -</w:t>
      </w:r>
    </w:p>
    <w:p>
      <w:pPr>
        <w:spacing w:after="0" w:line="145" w:lineRule="exact"/>
        <w:rPr>
          <w:sz w:val="20"/>
          <w:szCs w:val="20"/>
          <w:color w:val="auto"/>
        </w:rPr>
      </w:pPr>
    </w:p>
    <w:p>
      <w:pPr>
        <w:ind w:left="3" w:right="300"/>
        <w:spacing w:after="0" w:line="280" w:lineRule="auto"/>
        <w:rPr>
          <w:sz w:val="20"/>
          <w:szCs w:val="20"/>
          <w:color w:val="auto"/>
        </w:rPr>
      </w:pPr>
      <w:r>
        <w:rPr>
          <w:rFonts w:ascii="Arial" w:cs="Arial" w:eastAsia="Arial" w:hAnsi="Arial"/>
          <w:sz w:val="16"/>
          <w:szCs w:val="16"/>
          <w:color w:val="auto"/>
        </w:rPr>
        <w:t>The classification of an instrument as stage 1 or stage 2 depends on the concept of “significant increase in credit risk” at the reporting date compared to the origin date. This classification is updated monthly. As the IFRS 9 states, this classification depends on the following criteria:</w:t>
      </w:r>
    </w:p>
    <w:p>
      <w:pPr>
        <w:spacing w:after="0" w:line="120" w:lineRule="exact"/>
        <w:rPr>
          <w:sz w:val="20"/>
          <w:szCs w:val="20"/>
          <w:color w:val="auto"/>
        </w:rPr>
      </w:pPr>
    </w:p>
    <w:p>
      <w:pPr>
        <w:ind w:left="303" w:hanging="303"/>
        <w:spacing w:after="0"/>
        <w:tabs>
          <w:tab w:leader="none" w:pos="30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An account is classified in stage 2 if it has more than 30 days in arrears.</w:t>
      </w:r>
    </w:p>
    <w:p>
      <w:pPr>
        <w:spacing w:after="0" w:line="15" w:lineRule="exact"/>
        <w:rPr>
          <w:rFonts w:ascii="Arial" w:cs="Arial" w:eastAsia="Arial" w:hAnsi="Arial"/>
          <w:sz w:val="16"/>
          <w:szCs w:val="16"/>
          <w:color w:val="auto"/>
        </w:rPr>
      </w:pPr>
    </w:p>
    <w:p>
      <w:pPr>
        <w:ind w:left="303" w:right="20" w:hanging="303"/>
        <w:spacing w:after="0" w:line="239" w:lineRule="auto"/>
        <w:tabs>
          <w:tab w:leader="none" w:pos="30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Additionally, significant risk thresholds were established based on absolute and relative thresholds that depend on the risk level in which the instrument was originated. The thresholds differ for each of the portfolios considered.</w:t>
      </w:r>
    </w:p>
    <w:p>
      <w:pPr>
        <w:ind w:left="303" w:right="200" w:hanging="303"/>
        <w:spacing w:after="0" w:line="259" w:lineRule="auto"/>
        <w:tabs>
          <w:tab w:leader="none" w:pos="30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Additional qualitative reviews are carried out based on the risk segmentation used in the management of Retail Banking and an individual review is carried out in Wholesale Banking.</w:t>
      </w:r>
    </w:p>
    <w:p>
      <w:pPr>
        <w:spacing w:after="0" w:line="137" w:lineRule="exact"/>
        <w:rPr>
          <w:sz w:val="20"/>
          <w:szCs w:val="20"/>
          <w:color w:val="auto"/>
        </w:rPr>
      </w:pPr>
    </w:p>
    <w:p>
      <w:pPr>
        <w:ind w:left="3"/>
        <w:spacing w:after="0" w:line="260" w:lineRule="auto"/>
        <w:rPr>
          <w:sz w:val="20"/>
          <w:szCs w:val="20"/>
          <w:color w:val="auto"/>
        </w:rPr>
      </w:pPr>
      <w:r>
        <w:rPr>
          <w:rFonts w:ascii="Arial" w:cs="Arial" w:eastAsia="Arial" w:hAnsi="Arial"/>
          <w:sz w:val="16"/>
          <w:szCs w:val="16"/>
          <w:color w:val="auto"/>
        </w:rPr>
        <w:t>Additionally, all those accounts classified as default at the reporting date, according to the definition used by the Group, are considered as stage 3.</w:t>
      </w:r>
    </w:p>
    <w:p>
      <w:pPr>
        <w:spacing w:after="0" w:line="350" w:lineRule="exact"/>
        <w:rPr>
          <w:sz w:val="20"/>
          <w:szCs w:val="20"/>
          <w:color w:val="auto"/>
        </w:rPr>
      </w:pPr>
    </w:p>
    <w:p>
      <w:pPr>
        <w:ind w:left="3" w:right="280"/>
        <w:spacing w:after="0" w:line="280" w:lineRule="auto"/>
        <w:rPr>
          <w:sz w:val="20"/>
          <w:szCs w:val="20"/>
          <w:color w:val="auto"/>
        </w:rPr>
      </w:pPr>
      <w:r>
        <w:rPr>
          <w:rFonts w:ascii="Arial" w:cs="Arial" w:eastAsia="Arial" w:hAnsi="Arial"/>
          <w:sz w:val="16"/>
          <w:szCs w:val="16"/>
          <w:color w:val="auto"/>
        </w:rPr>
        <w:t>Evaluations of significant increase in credit risk from initial recognition and credit impairment are carried out independently on each reporting date.</w:t>
      </w:r>
    </w:p>
    <w:p>
      <w:pPr>
        <w:spacing w:after="0" w:line="120" w:lineRule="exact"/>
        <w:rPr>
          <w:sz w:val="20"/>
          <w:szCs w:val="20"/>
          <w:color w:val="auto"/>
        </w:rPr>
      </w:pPr>
    </w:p>
    <w:p>
      <w:pPr>
        <w:ind w:left="3" w:right="180"/>
        <w:spacing w:after="0" w:line="252" w:lineRule="auto"/>
        <w:rPr>
          <w:sz w:val="20"/>
          <w:szCs w:val="20"/>
          <w:color w:val="auto"/>
        </w:rPr>
      </w:pPr>
      <w:r>
        <w:rPr>
          <w:rFonts w:ascii="Arial" w:cs="Arial" w:eastAsia="Arial" w:hAnsi="Arial"/>
          <w:sz w:val="16"/>
          <w:szCs w:val="16"/>
          <w:color w:val="auto"/>
        </w:rPr>
        <w:t>Wholesale Banking assets can be moved in both directions from one stage to another; in this sense, a financial asset that migrated to stage 2 will return to stage 1 if its credit risk did not increase significantly from its initial recognition until a subsequent reporting period. Likewise, an asset that is in stage 3 will return to stage 2 if the asset is no longer considered to be impaired (according to our definition of default) for a certain number of subsequent reporting periods.</w:t>
      </w:r>
    </w:p>
    <w:p>
      <w:pPr>
        <w:spacing w:after="0" w:line="144" w:lineRule="exact"/>
        <w:rPr>
          <w:sz w:val="20"/>
          <w:szCs w:val="20"/>
          <w:color w:val="auto"/>
        </w:rPr>
      </w:pPr>
    </w:p>
    <w:p>
      <w:pPr>
        <w:ind w:left="3" w:right="40"/>
        <w:spacing w:after="0" w:line="252" w:lineRule="auto"/>
        <w:rPr>
          <w:sz w:val="20"/>
          <w:szCs w:val="20"/>
          <w:color w:val="auto"/>
        </w:rPr>
      </w:pPr>
      <w:r>
        <w:rPr>
          <w:rFonts w:ascii="Arial" w:cs="Arial" w:eastAsia="Arial" w:hAnsi="Arial"/>
          <w:sz w:val="16"/>
          <w:szCs w:val="16"/>
          <w:color w:val="auto"/>
        </w:rPr>
        <w:t>On the other hand, Retail Banking assets that migrated to stage 2 will return to stage 1 if their credit risk has not increased significantly since their initial recognition during a certain number of subsequent reporting periods (cure period). In the case of assets housed in stage 3, these will not return to stage 2 except for refinanced loans, which will return to stage 2 if good payment behavior is demonstrated during a certain number of subsequent reporting periods.</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color w:val="auto"/>
        </w:rPr>
        <w:t>Expected life -</w:t>
      </w:r>
    </w:p>
    <w:p>
      <w:pPr>
        <w:spacing w:after="0" w:line="183" w:lineRule="exact"/>
        <w:rPr>
          <w:sz w:val="20"/>
          <w:szCs w:val="20"/>
          <w:color w:val="auto"/>
        </w:rPr>
      </w:pPr>
    </w:p>
    <w:p>
      <w:pPr>
        <w:ind w:left="3" w:right="40"/>
        <w:spacing w:after="0" w:line="259" w:lineRule="auto"/>
        <w:rPr>
          <w:sz w:val="20"/>
          <w:szCs w:val="20"/>
          <w:color w:val="auto"/>
        </w:rPr>
      </w:pPr>
      <w:r>
        <w:rPr>
          <w:rFonts w:ascii="Arial" w:cs="Arial" w:eastAsia="Arial" w:hAnsi="Arial"/>
          <w:sz w:val="16"/>
          <w:szCs w:val="16"/>
          <w:color w:val="auto"/>
        </w:rPr>
        <w:t>For the instruments in stage 2 or 3, the allowance for loan losses will cover the expected credit loss during the expected time of the remaining lifetime of the instrument. For most instruments, the expected life is limited to the remaining contractual life, adjusted by expected prepayments. In the case of revolving products, a statistical analysis was carried out to determine what would be the expected life period.</w:t>
      </w:r>
    </w:p>
    <w:p>
      <w:pPr>
        <w:spacing w:after="0" w:line="296" w:lineRule="exact"/>
        <w:rPr>
          <w:sz w:val="20"/>
          <w:szCs w:val="20"/>
          <w:color w:val="auto"/>
        </w:rPr>
      </w:pPr>
    </w:p>
    <w:p>
      <w:pPr>
        <w:ind w:left="4583"/>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63"/>
          </w:cols>
          <w:pgMar w:left="1197" w:top="306" w:right="339" w:bottom="1440" w:gutter="0" w:footer="0" w:header="0"/>
        </w:sectPr>
      </w:pPr>
    </w:p>
    <w:bookmarkStart w:id="151" w:name="page152"/>
    <w:bookmarkEnd w:id="151"/>
    <w:p>
      <w:pPr>
        <w:ind w:left="880" w:right="200"/>
        <w:spacing w:after="0" w:line="252" w:lineRule="auto"/>
        <w:rPr>
          <w:sz w:val="20"/>
          <w:szCs w:val="20"/>
          <w:color w:val="auto"/>
        </w:rPr>
      </w:pPr>
      <w:r>
        <w:rPr>
          <w:rFonts w:ascii="Arial" w:cs="Arial" w:eastAsia="Arial" w:hAnsi="Arial"/>
          <w:sz w:val="16"/>
          <w:szCs w:val="16"/>
          <w:color w:val="auto"/>
        </w:rPr>
        <w:t>The following is a summary of the direct credits (without interest) classified into three important groups and their respective allowance for loan losses for each type of loan; it is important to note that impaired loans are loans in default that are in stage 3. Additionally, it should be noted that, in accordance with IFRS 7, the total balance of the loan is considered overdue when the debtor has failed to make a payment at its contractual maturity.</w:t>
      </w:r>
    </w:p>
    <w:p>
      <w:pPr>
        <w:spacing w:after="0" w:line="144" w:lineRule="exact"/>
        <w:rPr>
          <w:sz w:val="20"/>
          <w:szCs w:val="20"/>
          <w:color w:val="auto"/>
        </w:rPr>
      </w:pPr>
    </w:p>
    <w:p>
      <w:pPr>
        <w:ind w:left="1180" w:right="420" w:hanging="303"/>
        <w:spacing w:after="0" w:line="249" w:lineRule="auto"/>
        <w:tabs>
          <w:tab w:leader="none" w:pos="11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Loans neither past due nor impaired, which comprise those direct loans which currently do not have characteristics of delinquency and which are not in default.</w:t>
      </w:r>
    </w:p>
    <w:p>
      <w:pPr>
        <w:ind w:left="1180" w:right="600" w:hanging="303"/>
        <w:spacing w:after="0" w:line="239" w:lineRule="auto"/>
        <w:tabs>
          <w:tab w:leader="none" w:pos="11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Past due but not impaired loans, which comprise all of the direct loans of customers who are not in default but have failed to make a payment at its contractual maturity, according to IFRS 7.</w:t>
      </w:r>
    </w:p>
    <w:p>
      <w:pPr>
        <w:ind w:left="1180" w:hanging="303"/>
        <w:spacing w:after="0"/>
        <w:tabs>
          <w:tab w:leader="none" w:pos="11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Impaired loans, those direct loans considered to be in stage 3 or default, as detailed in note 30.1(c).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75"/>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Commercial loans</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Fase 1</w:t>
            </w:r>
          </w:p>
        </w:tc>
        <w:tc>
          <w:tcPr>
            <w:tcW w:w="120" w:type="dxa"/>
            <w:vAlign w:val="bottom"/>
          </w:tcPr>
          <w:p>
            <w:pPr>
              <w:spacing w:after="0"/>
              <w:rPr>
                <w:sz w:val="15"/>
                <w:szCs w:val="15"/>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2</w:t>
            </w:r>
          </w:p>
        </w:tc>
        <w:tc>
          <w:tcPr>
            <w:tcW w:w="100" w:type="dxa"/>
            <w:vAlign w:val="bottom"/>
          </w:tcPr>
          <w:p>
            <w:pPr>
              <w:spacing w:after="0"/>
              <w:rPr>
                <w:sz w:val="15"/>
                <w:szCs w:val="15"/>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Fase 3</w:t>
            </w:r>
          </w:p>
        </w:tc>
        <w:tc>
          <w:tcPr>
            <w:tcW w:w="100" w:type="dxa"/>
            <w:vAlign w:val="bottom"/>
          </w:tcPr>
          <w:p>
            <w:pPr>
              <w:spacing w:after="0"/>
              <w:rPr>
                <w:sz w:val="15"/>
                <w:szCs w:val="15"/>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Fase 1</w:t>
            </w:r>
          </w:p>
        </w:tc>
        <w:tc>
          <w:tcPr>
            <w:tcW w:w="100" w:type="dxa"/>
            <w:vAlign w:val="bottom"/>
          </w:tcPr>
          <w:p>
            <w:pPr>
              <w:spacing w:after="0"/>
              <w:rPr>
                <w:sz w:val="15"/>
                <w:szCs w:val="15"/>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Fase 2</w:t>
            </w:r>
          </w:p>
        </w:tc>
        <w:tc>
          <w:tcPr>
            <w:tcW w:w="120" w:type="dxa"/>
            <w:vAlign w:val="bottom"/>
          </w:tcPr>
          <w:p>
            <w:pPr>
              <w:spacing w:after="0"/>
              <w:rPr>
                <w:sz w:val="15"/>
                <w:szCs w:val="15"/>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3</w:t>
            </w:r>
          </w:p>
        </w:tc>
        <w:tc>
          <w:tcPr>
            <w:tcW w:w="100" w:type="dxa"/>
            <w:vAlign w:val="bottom"/>
          </w:tcPr>
          <w:p>
            <w:pPr>
              <w:spacing w:after="0"/>
              <w:rPr>
                <w:sz w:val="15"/>
                <w:szCs w:val="15"/>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020" w:type="dxa"/>
            <w:vAlign w:val="bottom"/>
          </w:tcPr>
          <w:p>
            <w:pPr>
              <w:ind w:left="60"/>
              <w:spacing w:after="0"/>
              <w:rPr>
                <w:sz w:val="20"/>
                <w:szCs w:val="20"/>
                <w:color w:val="auto"/>
              </w:rPr>
            </w:pPr>
            <w:r>
              <w:rPr>
                <w:rFonts w:ascii="Arial" w:cs="Arial" w:eastAsia="Arial" w:hAnsi="Arial"/>
                <w:sz w:val="13"/>
                <w:szCs w:val="13"/>
                <w:b w:val="1"/>
                <w:bCs w:val="1"/>
                <w:color w:val="auto"/>
              </w:rPr>
              <w:t>S/(000)</w:t>
            </w:r>
          </w:p>
        </w:tc>
      </w:tr>
      <w:tr>
        <w:trPr>
          <w:trHeight w:val="177"/>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Neither past due nor impaired</w:t>
            </w: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65,012,679</w:t>
            </w:r>
          </w:p>
        </w:tc>
        <w:tc>
          <w:tcPr>
            <w:tcW w:w="120" w:type="dxa"/>
            <w:vAlign w:val="bottom"/>
          </w:tcPr>
          <w:p>
            <w:pPr>
              <w:spacing w:after="0"/>
              <w:rPr>
                <w:sz w:val="15"/>
                <w:szCs w:val="15"/>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4,076,777</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69,089,456</w:t>
            </w: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66,885,472</w:t>
            </w:r>
          </w:p>
        </w:tc>
        <w:tc>
          <w:tcPr>
            <w:tcW w:w="1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6,848,298</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73,733,770</w:t>
            </w:r>
          </w:p>
        </w:tc>
      </w:tr>
      <w:tr>
        <w:trPr>
          <w:trHeight w:val="183"/>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Past due but not impaired</w:t>
            </w: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937,720</w:t>
            </w:r>
          </w:p>
        </w:tc>
        <w:tc>
          <w:tcPr>
            <w:tcW w:w="120" w:type="dxa"/>
            <w:vAlign w:val="bottom"/>
          </w:tcPr>
          <w:p>
            <w:pPr>
              <w:spacing w:after="0"/>
              <w:rPr>
                <w:sz w:val="15"/>
                <w:szCs w:val="15"/>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693,084</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1,630,804</w:t>
            </w: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804,155</w:t>
            </w:r>
          </w:p>
        </w:tc>
        <w:tc>
          <w:tcPr>
            <w:tcW w:w="1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691,215</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1,495,370</w:t>
            </w:r>
          </w:p>
        </w:tc>
      </w:tr>
      <w:tr>
        <w:trPr>
          <w:trHeight w:val="178"/>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Impaired</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6,100,142</w:t>
            </w:r>
          </w:p>
        </w:tc>
        <w:tc>
          <w:tcPr>
            <w:tcW w:w="1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6,100,142</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6,439,760</w:t>
            </w:r>
          </w:p>
        </w:tc>
        <w:tc>
          <w:tcPr>
            <w:tcW w:w="100" w:type="dxa"/>
            <w:vAlign w:val="bottom"/>
          </w:tcPr>
          <w:p>
            <w:pPr>
              <w:spacing w:after="0"/>
              <w:rPr>
                <w:sz w:val="15"/>
                <w:szCs w:val="15"/>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6,439,760</w:t>
            </w:r>
          </w:p>
        </w:tc>
      </w:tr>
      <w:tr>
        <w:trPr>
          <w:trHeight w:val="155"/>
        </w:trPr>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Gross</w:t>
            </w: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65,950,399</w:t>
            </w:r>
          </w:p>
        </w:tc>
        <w:tc>
          <w:tcPr>
            <w:tcW w:w="12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4,769,861</w:t>
            </w:r>
          </w:p>
        </w:tc>
        <w:tc>
          <w:tcPr>
            <w:tcW w:w="1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6,100,142</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76,820,402</w:t>
            </w:r>
          </w:p>
        </w:tc>
        <w:tc>
          <w:tcPr>
            <w:tcW w:w="1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67,689,627</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7,539,513</w:t>
            </w:r>
          </w:p>
        </w:tc>
        <w:tc>
          <w:tcPr>
            <w:tcW w:w="1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6,439,760</w:t>
            </w:r>
          </w:p>
        </w:tc>
        <w:tc>
          <w:tcPr>
            <w:tcW w:w="1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81,668,900</w:t>
            </w:r>
          </w:p>
        </w:tc>
      </w:tr>
      <w:tr>
        <w:trPr>
          <w:trHeight w:val="183"/>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Less: Allowance for loan losses</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489,706</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394,868</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2,330,978</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3,215,552</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503,651</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489,381</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2,260,569</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3,253,601</w:t>
            </w:r>
          </w:p>
        </w:tc>
      </w:tr>
      <w:tr>
        <w:trPr>
          <w:trHeight w:val="155"/>
        </w:trPr>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net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65,460,693</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4,374,993</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3,769,164</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73,604,850</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67,185,976</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7,050,132</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4,179,191</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78,415,299</w:t>
            </w: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Residential mortgage loans</w:t>
            </w:r>
          </w:p>
        </w:tc>
        <w:tc>
          <w:tcPr>
            <w:tcW w:w="120" w:type="dxa"/>
            <w:vAlign w:val="bottom"/>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1</w:t>
            </w:r>
          </w:p>
        </w:tc>
        <w:tc>
          <w:tcPr>
            <w:tcW w:w="120" w:type="dxa"/>
            <w:vAlign w:val="bottom"/>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2</w:t>
            </w:r>
          </w:p>
        </w:tc>
        <w:tc>
          <w:tcPr>
            <w:tcW w:w="100" w:type="dxa"/>
            <w:vAlign w:val="bottom"/>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Fase 3</w:t>
            </w:r>
          </w:p>
        </w:tc>
        <w:tc>
          <w:tcPr>
            <w:tcW w:w="100" w:type="dxa"/>
            <w:vAlign w:val="bottom"/>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1</w:t>
            </w:r>
          </w:p>
        </w:tc>
        <w:tc>
          <w:tcPr>
            <w:tcW w:w="100" w:type="dxa"/>
            <w:vAlign w:val="bottom"/>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Fase 2</w:t>
            </w:r>
          </w:p>
        </w:tc>
        <w:tc>
          <w:tcPr>
            <w:tcW w:w="12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3</w:t>
            </w:r>
          </w:p>
        </w:tc>
        <w:tc>
          <w:tcPr>
            <w:tcW w:w="100" w:type="dxa"/>
            <w:vAlign w:val="bottom"/>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020" w:type="dxa"/>
            <w:vAlign w:val="bottom"/>
          </w:tcPr>
          <w:p>
            <w:pPr>
              <w:ind w:left="60"/>
              <w:spacing w:after="0"/>
              <w:rPr>
                <w:sz w:val="20"/>
                <w:szCs w:val="20"/>
                <w:color w:val="auto"/>
              </w:rPr>
            </w:pPr>
            <w:r>
              <w:rPr>
                <w:rFonts w:ascii="Arial" w:cs="Arial" w:eastAsia="Arial" w:hAnsi="Arial"/>
                <w:sz w:val="13"/>
                <w:szCs w:val="13"/>
                <w:b w:val="1"/>
                <w:bCs w:val="1"/>
                <w:color w:val="auto"/>
              </w:rPr>
              <w:t>S/(000)</w:t>
            </w:r>
          </w:p>
        </w:tc>
      </w:tr>
      <w:tr>
        <w:trPr>
          <w:trHeight w:val="177"/>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Neither past due nor impaired</w:t>
            </w: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18,590,193</w:t>
            </w:r>
          </w:p>
        </w:tc>
        <w:tc>
          <w:tcPr>
            <w:tcW w:w="120" w:type="dxa"/>
            <w:vAlign w:val="bottom"/>
          </w:tcPr>
          <w:p>
            <w:pPr>
              <w:spacing w:after="0"/>
              <w:rPr>
                <w:sz w:val="15"/>
                <w:szCs w:val="15"/>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2,952,908</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21,543,101</w:t>
            </w: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18,213,711</w:t>
            </w:r>
          </w:p>
        </w:tc>
        <w:tc>
          <w:tcPr>
            <w:tcW w:w="1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2,747,557</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20,961,268</w:t>
            </w:r>
          </w:p>
        </w:tc>
      </w:tr>
      <w:tr>
        <w:trPr>
          <w:trHeight w:val="183"/>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Past due but not impaired</w:t>
            </w: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559,877</w:t>
            </w:r>
          </w:p>
        </w:tc>
        <w:tc>
          <w:tcPr>
            <w:tcW w:w="120" w:type="dxa"/>
            <w:vAlign w:val="bottom"/>
          </w:tcPr>
          <w:p>
            <w:pPr>
              <w:spacing w:after="0"/>
              <w:rPr>
                <w:sz w:val="15"/>
                <w:szCs w:val="15"/>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605,193</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1,165,070</w:t>
            </w: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426,722</w:t>
            </w:r>
          </w:p>
        </w:tc>
        <w:tc>
          <w:tcPr>
            <w:tcW w:w="1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459,525</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886,247</w:t>
            </w:r>
          </w:p>
        </w:tc>
      </w:tr>
      <w:tr>
        <w:trPr>
          <w:trHeight w:val="178"/>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Impaired</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1,468,747</w:t>
            </w:r>
          </w:p>
        </w:tc>
        <w:tc>
          <w:tcPr>
            <w:tcW w:w="1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1,468,747</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1,388,060</w:t>
            </w:r>
          </w:p>
        </w:tc>
        <w:tc>
          <w:tcPr>
            <w:tcW w:w="100" w:type="dxa"/>
            <w:vAlign w:val="bottom"/>
          </w:tcPr>
          <w:p>
            <w:pPr>
              <w:spacing w:after="0"/>
              <w:rPr>
                <w:sz w:val="15"/>
                <w:szCs w:val="15"/>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1,388,060</w:t>
            </w:r>
          </w:p>
        </w:tc>
      </w:tr>
      <w:tr>
        <w:trPr>
          <w:trHeight w:val="155"/>
        </w:trPr>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Gross</w:t>
            </w: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19,150,070</w:t>
            </w:r>
          </w:p>
        </w:tc>
        <w:tc>
          <w:tcPr>
            <w:tcW w:w="12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3,558,101</w:t>
            </w:r>
          </w:p>
        </w:tc>
        <w:tc>
          <w:tcPr>
            <w:tcW w:w="1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1,468,747</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24,176,918</w:t>
            </w:r>
          </w:p>
        </w:tc>
        <w:tc>
          <w:tcPr>
            <w:tcW w:w="1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18,640,433</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3,207,082</w:t>
            </w:r>
          </w:p>
        </w:tc>
        <w:tc>
          <w:tcPr>
            <w:tcW w:w="1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1,388,060</w:t>
            </w:r>
          </w:p>
        </w:tc>
        <w:tc>
          <w:tcPr>
            <w:tcW w:w="1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23,235,575</w:t>
            </w:r>
          </w:p>
        </w:tc>
      </w:tr>
      <w:tr>
        <w:trPr>
          <w:trHeight w:val="183"/>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Less: Allowance for loan losses</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54,102</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121,257</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785,261</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960,620</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83,536</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126,834</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757,778</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968,148</w:t>
            </w:r>
          </w:p>
        </w:tc>
      </w:tr>
      <w:tr>
        <w:trPr>
          <w:trHeight w:val="155"/>
        </w:trPr>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net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19,095,968</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3,436,844</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683,486</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23,216,298</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18,556,897</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3,080,248</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630,282</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22,267,427</w:t>
            </w: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Microbusiness loans</w:t>
            </w:r>
          </w:p>
        </w:tc>
        <w:tc>
          <w:tcPr>
            <w:tcW w:w="120" w:type="dxa"/>
            <w:vAlign w:val="bottom"/>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1</w:t>
            </w:r>
          </w:p>
        </w:tc>
        <w:tc>
          <w:tcPr>
            <w:tcW w:w="120" w:type="dxa"/>
            <w:vAlign w:val="bottom"/>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2</w:t>
            </w:r>
          </w:p>
        </w:tc>
        <w:tc>
          <w:tcPr>
            <w:tcW w:w="100" w:type="dxa"/>
            <w:vAlign w:val="bottom"/>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Fase 3</w:t>
            </w:r>
          </w:p>
        </w:tc>
        <w:tc>
          <w:tcPr>
            <w:tcW w:w="100" w:type="dxa"/>
            <w:vAlign w:val="bottom"/>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1</w:t>
            </w:r>
          </w:p>
        </w:tc>
        <w:tc>
          <w:tcPr>
            <w:tcW w:w="100" w:type="dxa"/>
            <w:vAlign w:val="bottom"/>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Fase 2</w:t>
            </w:r>
          </w:p>
        </w:tc>
        <w:tc>
          <w:tcPr>
            <w:tcW w:w="12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3</w:t>
            </w:r>
          </w:p>
        </w:tc>
        <w:tc>
          <w:tcPr>
            <w:tcW w:w="100" w:type="dxa"/>
            <w:vAlign w:val="bottom"/>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020" w:type="dxa"/>
            <w:vAlign w:val="bottom"/>
          </w:tcPr>
          <w:p>
            <w:pPr>
              <w:ind w:left="60"/>
              <w:spacing w:after="0"/>
              <w:rPr>
                <w:sz w:val="20"/>
                <w:szCs w:val="20"/>
                <w:color w:val="auto"/>
              </w:rPr>
            </w:pPr>
            <w:r>
              <w:rPr>
                <w:rFonts w:ascii="Arial" w:cs="Arial" w:eastAsia="Arial" w:hAnsi="Arial"/>
                <w:sz w:val="13"/>
                <w:szCs w:val="13"/>
                <w:b w:val="1"/>
                <w:bCs w:val="1"/>
                <w:color w:val="auto"/>
              </w:rPr>
              <w:t>S/(000)</w:t>
            </w:r>
          </w:p>
        </w:tc>
      </w:tr>
      <w:tr>
        <w:trPr>
          <w:trHeight w:val="177"/>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Neither past due nor impaired</w:t>
            </w: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15,728,517</w:t>
            </w:r>
          </w:p>
        </w:tc>
        <w:tc>
          <w:tcPr>
            <w:tcW w:w="120" w:type="dxa"/>
            <w:vAlign w:val="bottom"/>
          </w:tcPr>
          <w:p>
            <w:pPr>
              <w:spacing w:after="0"/>
              <w:rPr>
                <w:sz w:val="15"/>
                <w:szCs w:val="15"/>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3,862,859</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19,591,376</w:t>
            </w: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13,128,339</w:t>
            </w:r>
          </w:p>
        </w:tc>
        <w:tc>
          <w:tcPr>
            <w:tcW w:w="1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6,452,839</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19,581,178</w:t>
            </w:r>
          </w:p>
        </w:tc>
      </w:tr>
      <w:tr>
        <w:trPr>
          <w:trHeight w:val="183"/>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Past due but not impaired</w:t>
            </w: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264,477</w:t>
            </w:r>
          </w:p>
        </w:tc>
        <w:tc>
          <w:tcPr>
            <w:tcW w:w="120" w:type="dxa"/>
            <w:vAlign w:val="bottom"/>
          </w:tcPr>
          <w:p>
            <w:pPr>
              <w:spacing w:after="0"/>
              <w:rPr>
                <w:sz w:val="15"/>
                <w:szCs w:val="15"/>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767,325</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1,031,802</w:t>
            </w: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236,253</w:t>
            </w:r>
          </w:p>
        </w:tc>
        <w:tc>
          <w:tcPr>
            <w:tcW w:w="1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813,423</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1,049,676</w:t>
            </w:r>
          </w:p>
        </w:tc>
      </w:tr>
      <w:tr>
        <w:trPr>
          <w:trHeight w:val="178"/>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Impaired</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1,802,572</w:t>
            </w:r>
          </w:p>
        </w:tc>
        <w:tc>
          <w:tcPr>
            <w:tcW w:w="1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1,802,572</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1,741,439</w:t>
            </w:r>
          </w:p>
        </w:tc>
        <w:tc>
          <w:tcPr>
            <w:tcW w:w="100" w:type="dxa"/>
            <w:vAlign w:val="bottom"/>
          </w:tcPr>
          <w:p>
            <w:pPr>
              <w:spacing w:after="0"/>
              <w:rPr>
                <w:sz w:val="15"/>
                <w:szCs w:val="15"/>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1,741,439</w:t>
            </w:r>
          </w:p>
        </w:tc>
      </w:tr>
      <w:tr>
        <w:trPr>
          <w:trHeight w:val="155"/>
        </w:trPr>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Gross</w:t>
            </w: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15,992,994</w:t>
            </w:r>
          </w:p>
        </w:tc>
        <w:tc>
          <w:tcPr>
            <w:tcW w:w="12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4,630,184</w:t>
            </w:r>
          </w:p>
        </w:tc>
        <w:tc>
          <w:tcPr>
            <w:tcW w:w="1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1,802,572</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22,425,750</w:t>
            </w:r>
          </w:p>
        </w:tc>
        <w:tc>
          <w:tcPr>
            <w:tcW w:w="1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13,364,592</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7,266,262</w:t>
            </w:r>
          </w:p>
        </w:tc>
        <w:tc>
          <w:tcPr>
            <w:tcW w:w="1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1,741,439</w:t>
            </w:r>
          </w:p>
        </w:tc>
        <w:tc>
          <w:tcPr>
            <w:tcW w:w="1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22,372,293</w:t>
            </w:r>
          </w:p>
        </w:tc>
      </w:tr>
      <w:tr>
        <w:trPr>
          <w:trHeight w:val="183"/>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Less: Allowance for loan losses</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347,783</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431,278</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1,288,068</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2,067,129</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315,837</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540,906</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1,113,145</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1,969,888</w:t>
            </w:r>
          </w:p>
        </w:tc>
      </w:tr>
      <w:tr>
        <w:trPr>
          <w:trHeight w:val="155"/>
        </w:trPr>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net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15,645,211</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4,198,906</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514,504</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20,358,621</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13,048,755</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6,725,356</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628,294</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20,402,405</w:t>
            </w: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Consumer loans</w:t>
            </w:r>
          </w:p>
        </w:tc>
        <w:tc>
          <w:tcPr>
            <w:tcW w:w="120" w:type="dxa"/>
            <w:vAlign w:val="bottom"/>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1</w:t>
            </w:r>
          </w:p>
        </w:tc>
        <w:tc>
          <w:tcPr>
            <w:tcW w:w="120" w:type="dxa"/>
            <w:vAlign w:val="bottom"/>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2</w:t>
            </w:r>
          </w:p>
        </w:tc>
        <w:tc>
          <w:tcPr>
            <w:tcW w:w="100" w:type="dxa"/>
            <w:vAlign w:val="bottom"/>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Fase 3</w:t>
            </w:r>
          </w:p>
        </w:tc>
        <w:tc>
          <w:tcPr>
            <w:tcW w:w="100" w:type="dxa"/>
            <w:vAlign w:val="bottom"/>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1</w:t>
            </w:r>
          </w:p>
        </w:tc>
        <w:tc>
          <w:tcPr>
            <w:tcW w:w="100" w:type="dxa"/>
            <w:vAlign w:val="bottom"/>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Fase 2</w:t>
            </w:r>
          </w:p>
        </w:tc>
        <w:tc>
          <w:tcPr>
            <w:tcW w:w="12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3</w:t>
            </w:r>
          </w:p>
        </w:tc>
        <w:tc>
          <w:tcPr>
            <w:tcW w:w="100" w:type="dxa"/>
            <w:vAlign w:val="bottom"/>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020" w:type="dxa"/>
            <w:vAlign w:val="bottom"/>
          </w:tcPr>
          <w:p>
            <w:pPr>
              <w:ind w:left="60"/>
              <w:spacing w:after="0"/>
              <w:rPr>
                <w:sz w:val="20"/>
                <w:szCs w:val="20"/>
                <w:color w:val="auto"/>
              </w:rPr>
            </w:pPr>
            <w:r>
              <w:rPr>
                <w:rFonts w:ascii="Arial" w:cs="Arial" w:eastAsia="Arial" w:hAnsi="Arial"/>
                <w:sz w:val="13"/>
                <w:szCs w:val="13"/>
                <w:b w:val="1"/>
                <w:bCs w:val="1"/>
                <w:color w:val="auto"/>
              </w:rPr>
              <w:t>S/(000)</w:t>
            </w:r>
          </w:p>
        </w:tc>
      </w:tr>
      <w:tr>
        <w:trPr>
          <w:trHeight w:val="177"/>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Neither past due nor impaired</w:t>
            </w: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14,934,631</w:t>
            </w:r>
          </w:p>
        </w:tc>
        <w:tc>
          <w:tcPr>
            <w:tcW w:w="120" w:type="dxa"/>
            <w:vAlign w:val="bottom"/>
          </w:tcPr>
          <w:p>
            <w:pPr>
              <w:spacing w:after="0"/>
              <w:rPr>
                <w:sz w:val="15"/>
                <w:szCs w:val="15"/>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2,827,796</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17,762,427</w:t>
            </w: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15,136,571</w:t>
            </w:r>
          </w:p>
        </w:tc>
        <w:tc>
          <w:tcPr>
            <w:tcW w:w="1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3,029,538</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18,166,109</w:t>
            </w:r>
          </w:p>
        </w:tc>
      </w:tr>
      <w:tr>
        <w:trPr>
          <w:trHeight w:val="183"/>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Past due but not impaired</w:t>
            </w: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261,414</w:t>
            </w:r>
          </w:p>
        </w:tc>
        <w:tc>
          <w:tcPr>
            <w:tcW w:w="120" w:type="dxa"/>
            <w:vAlign w:val="bottom"/>
          </w:tcPr>
          <w:p>
            <w:pPr>
              <w:spacing w:after="0"/>
              <w:rPr>
                <w:sz w:val="15"/>
                <w:szCs w:val="15"/>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489,658</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751,072</w:t>
            </w: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205,944</w:t>
            </w:r>
          </w:p>
        </w:tc>
        <w:tc>
          <w:tcPr>
            <w:tcW w:w="1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442,066</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648,010</w:t>
            </w:r>
          </w:p>
        </w:tc>
      </w:tr>
      <w:tr>
        <w:trPr>
          <w:trHeight w:val="178"/>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Impaired</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1,546,685</w:t>
            </w:r>
          </w:p>
        </w:tc>
        <w:tc>
          <w:tcPr>
            <w:tcW w:w="1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1,546,685</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1,099,382</w:t>
            </w:r>
          </w:p>
        </w:tc>
        <w:tc>
          <w:tcPr>
            <w:tcW w:w="100" w:type="dxa"/>
            <w:vAlign w:val="bottom"/>
          </w:tcPr>
          <w:p>
            <w:pPr>
              <w:spacing w:after="0"/>
              <w:rPr>
                <w:sz w:val="15"/>
                <w:szCs w:val="15"/>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1,099,382</w:t>
            </w:r>
          </w:p>
        </w:tc>
      </w:tr>
      <w:tr>
        <w:trPr>
          <w:trHeight w:val="155"/>
        </w:trPr>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Gross</w:t>
            </w: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15,196,045</w:t>
            </w:r>
          </w:p>
        </w:tc>
        <w:tc>
          <w:tcPr>
            <w:tcW w:w="12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3,317,454</w:t>
            </w:r>
          </w:p>
        </w:tc>
        <w:tc>
          <w:tcPr>
            <w:tcW w:w="1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1,546,685</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20,060,184</w:t>
            </w:r>
          </w:p>
        </w:tc>
        <w:tc>
          <w:tcPr>
            <w:tcW w:w="1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15,342,515</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3,471,604</w:t>
            </w:r>
          </w:p>
        </w:tc>
        <w:tc>
          <w:tcPr>
            <w:tcW w:w="1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1,099,382</w:t>
            </w:r>
          </w:p>
        </w:tc>
        <w:tc>
          <w:tcPr>
            <w:tcW w:w="1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19,913,501</w:t>
            </w:r>
          </w:p>
        </w:tc>
      </w:tr>
      <w:tr>
        <w:trPr>
          <w:trHeight w:val="183"/>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Less: Allowance for loan losses</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285,091</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435,151</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1,314,373</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2,034,615</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300,321</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439,572</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940,872</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1,680,765</w:t>
            </w:r>
          </w:p>
        </w:tc>
      </w:tr>
      <w:tr>
        <w:trPr>
          <w:trHeight w:val="155"/>
        </w:trPr>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net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14,910,954</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2,882,303</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232,312</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18,025,569</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15,042,194</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3,032,032</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158,510</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18,232,736</w:t>
            </w: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Consolidated of loans</w:t>
            </w:r>
          </w:p>
        </w:tc>
        <w:tc>
          <w:tcPr>
            <w:tcW w:w="120" w:type="dxa"/>
            <w:vAlign w:val="bottom"/>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1</w:t>
            </w:r>
          </w:p>
        </w:tc>
        <w:tc>
          <w:tcPr>
            <w:tcW w:w="120" w:type="dxa"/>
            <w:vAlign w:val="bottom"/>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2</w:t>
            </w:r>
          </w:p>
        </w:tc>
        <w:tc>
          <w:tcPr>
            <w:tcW w:w="100" w:type="dxa"/>
            <w:vAlign w:val="bottom"/>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Fase 3</w:t>
            </w:r>
          </w:p>
        </w:tc>
        <w:tc>
          <w:tcPr>
            <w:tcW w:w="100" w:type="dxa"/>
            <w:vAlign w:val="bottom"/>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1</w:t>
            </w:r>
          </w:p>
        </w:tc>
        <w:tc>
          <w:tcPr>
            <w:tcW w:w="100" w:type="dxa"/>
            <w:vAlign w:val="bottom"/>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Fase 2</w:t>
            </w:r>
          </w:p>
        </w:tc>
        <w:tc>
          <w:tcPr>
            <w:tcW w:w="12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Fase 3</w:t>
            </w:r>
          </w:p>
        </w:tc>
        <w:tc>
          <w:tcPr>
            <w:tcW w:w="100" w:type="dxa"/>
            <w:vAlign w:val="bottom"/>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S/(000)</w:t>
            </w: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S/(000)</w:t>
            </w:r>
          </w:p>
        </w:tc>
        <w:tc>
          <w:tcPr>
            <w:tcW w:w="1020" w:type="dxa"/>
            <w:vAlign w:val="bottom"/>
          </w:tcPr>
          <w:p>
            <w:pPr>
              <w:ind w:left="60"/>
              <w:spacing w:after="0"/>
              <w:rPr>
                <w:sz w:val="20"/>
                <w:szCs w:val="20"/>
                <w:color w:val="auto"/>
              </w:rPr>
            </w:pPr>
            <w:r>
              <w:rPr>
                <w:rFonts w:ascii="Arial" w:cs="Arial" w:eastAsia="Arial" w:hAnsi="Arial"/>
                <w:sz w:val="13"/>
                <w:szCs w:val="13"/>
                <w:b w:val="1"/>
                <w:bCs w:val="1"/>
                <w:color w:val="auto"/>
              </w:rPr>
              <w:t>S/(000)</w:t>
            </w:r>
          </w:p>
        </w:tc>
      </w:tr>
      <w:tr>
        <w:trPr>
          <w:trHeight w:val="152"/>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Total gross direct loans, Note 7(a)</w:t>
            </w: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116,289,508</w:t>
            </w:r>
          </w:p>
        </w:tc>
        <w:tc>
          <w:tcPr>
            <w:tcW w:w="120" w:type="dxa"/>
            <w:vAlign w:val="bottom"/>
          </w:tcPr>
          <w:p>
            <w:pPr>
              <w:spacing w:after="0"/>
              <w:rPr>
                <w:sz w:val="13"/>
                <w:szCs w:val="13"/>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16,275,600</w:t>
            </w:r>
          </w:p>
        </w:tc>
        <w:tc>
          <w:tcPr>
            <w:tcW w:w="100" w:type="dxa"/>
            <w:vAlign w:val="bottom"/>
          </w:tcPr>
          <w:p>
            <w:pPr>
              <w:spacing w:after="0"/>
              <w:rPr>
                <w:sz w:val="13"/>
                <w:szCs w:val="13"/>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10,918,146</w:t>
            </w:r>
          </w:p>
        </w:tc>
        <w:tc>
          <w:tcPr>
            <w:tcW w:w="100" w:type="dxa"/>
            <w:vAlign w:val="bottom"/>
          </w:tcPr>
          <w:p>
            <w:pPr>
              <w:spacing w:after="0"/>
              <w:rPr>
                <w:sz w:val="13"/>
                <w:szCs w:val="13"/>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143,483,254</w:t>
            </w:r>
          </w:p>
        </w:tc>
        <w:tc>
          <w:tcPr>
            <w:tcW w:w="120" w:type="dxa"/>
            <w:vAlign w:val="bottom"/>
          </w:tcPr>
          <w:p>
            <w:pPr>
              <w:spacing w:after="0"/>
              <w:rPr>
                <w:sz w:val="13"/>
                <w:szCs w:val="13"/>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115,037,167</w:t>
            </w:r>
          </w:p>
        </w:tc>
        <w:tc>
          <w:tcPr>
            <w:tcW w:w="100" w:type="dxa"/>
            <w:vAlign w:val="bottom"/>
          </w:tcPr>
          <w:p>
            <w:pPr>
              <w:spacing w:after="0"/>
              <w:rPr>
                <w:sz w:val="13"/>
                <w:szCs w:val="13"/>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21,484,461</w:t>
            </w:r>
          </w:p>
        </w:tc>
        <w:tc>
          <w:tcPr>
            <w:tcW w:w="120" w:type="dxa"/>
            <w:vAlign w:val="bottom"/>
          </w:tcPr>
          <w:p>
            <w:pPr>
              <w:spacing w:after="0"/>
              <w:rPr>
                <w:sz w:val="13"/>
                <w:szCs w:val="13"/>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10,668,641</w:t>
            </w:r>
          </w:p>
        </w:tc>
        <w:tc>
          <w:tcPr>
            <w:tcW w:w="100" w:type="dxa"/>
            <w:vAlign w:val="bottom"/>
          </w:tcPr>
          <w:p>
            <w:pPr>
              <w:spacing w:after="0"/>
              <w:rPr>
                <w:sz w:val="13"/>
                <w:szCs w:val="13"/>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147,190,269</w:t>
            </w:r>
          </w:p>
        </w:tc>
      </w:tr>
      <w:tr>
        <w:trPr>
          <w:trHeight w:val="147"/>
        </w:trPr>
        <w:tc>
          <w:tcPr>
            <w:tcW w:w="2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Total allowance for loan losses, Note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7"/>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7(a)</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1,176,682</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1,382,554</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5,718,680</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8,277,916</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1,203,345</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1,596,693</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5,072,364</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7,872,402</w:t>
            </w:r>
          </w:p>
        </w:tc>
      </w:tr>
      <w:tr>
        <w:trPr>
          <w:trHeight w:val="155"/>
        </w:trPr>
        <w:tc>
          <w:tcPr>
            <w:tcW w:w="23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net direct loans</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115,112,826</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14,893,046</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5,199,466</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135,205,338</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113,833,822</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19,887,768</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5,596,277</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139,317,867</w:t>
            </w:r>
          </w:p>
        </w:tc>
      </w:tr>
    </w:tbl>
    <w:p>
      <w:pPr>
        <w:spacing w:after="0" w:line="32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306" w:right="319" w:bottom="1440" w:gutter="0" w:footer="0" w:header="0"/>
        </w:sectPr>
      </w:pPr>
    </w:p>
    <w:bookmarkStart w:id="152" w:name="page153"/>
    <w:bookmarkEnd w:id="152"/>
    <w:p>
      <w:pPr>
        <w:ind w:left="303"/>
        <w:spacing w:after="0"/>
        <w:rPr>
          <w:sz w:val="20"/>
          <w:szCs w:val="20"/>
          <w:color w:val="auto"/>
        </w:rPr>
      </w:pPr>
      <w:r>
        <w:rPr>
          <w:rFonts w:ascii="Arial" w:cs="Arial" w:eastAsia="Arial" w:hAnsi="Arial"/>
          <w:sz w:val="16"/>
          <w:szCs w:val="16"/>
          <w:color w:val="auto"/>
        </w:rPr>
        <w:t>The general explanation of the variations in the allowance for loan losses is found in note 7(c).</w:t>
      </w:r>
    </w:p>
    <w:p>
      <w:pPr>
        <w:spacing w:after="0" w:line="183" w:lineRule="exact"/>
        <w:rPr>
          <w:sz w:val="20"/>
          <w:szCs w:val="20"/>
          <w:color w:val="auto"/>
        </w:rPr>
      </w:pPr>
    </w:p>
    <w:p>
      <w:pPr>
        <w:ind w:left="303" w:right="140"/>
        <w:spacing w:after="0" w:line="280" w:lineRule="auto"/>
        <w:rPr>
          <w:sz w:val="20"/>
          <w:szCs w:val="20"/>
          <w:color w:val="auto"/>
        </w:rPr>
      </w:pPr>
      <w:r>
        <w:rPr>
          <w:rFonts w:ascii="Arial" w:cs="Arial" w:eastAsia="Arial" w:hAnsi="Arial"/>
          <w:sz w:val="16"/>
          <w:szCs w:val="16"/>
          <w:color w:val="auto"/>
        </w:rPr>
        <w:t>At Credicorp, we separate renegotiated loans into two groups, focusing on operations that have suffered a significant increase in credit risk since their disbursement, which has generated modifications to the original loan agreement. Both groups are defined below:</w:t>
      </w:r>
    </w:p>
    <w:p>
      <w:pPr>
        <w:spacing w:after="0" w:line="120" w:lineRule="exact"/>
        <w:rPr>
          <w:sz w:val="20"/>
          <w:szCs w:val="20"/>
          <w:color w:val="auto"/>
        </w:rPr>
      </w:pPr>
    </w:p>
    <w:p>
      <w:pPr>
        <w:ind w:left="583" w:right="100" w:hanging="289"/>
        <w:spacing w:after="0" w:line="249" w:lineRule="auto"/>
        <w:tabs>
          <w:tab w:leader="none" w:pos="58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Refinanced loans: are those loans that have undergone modifications in the initial loan agreement (term and interest rate), according to the accounting definition.</w:t>
      </w:r>
    </w:p>
    <w:p>
      <w:pPr>
        <w:ind w:left="583" w:right="60" w:hanging="289"/>
        <w:spacing w:after="0" w:line="249" w:lineRule="auto"/>
        <w:tabs>
          <w:tab w:leader="none" w:pos="58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Renegotiated loans due to the COVID-19 pandemic: are those loans for which, due to the pandemic, the SBS and other local regulators of the countries where Credicorp operates have established that certain benefits be granted, and that Credicorp has also voluntarily granted to its clients (grace periods, debt consolidation, etc.), which were not in the initial credit agreements.</w:t>
      </w:r>
    </w:p>
    <w:p>
      <w:pPr>
        <w:spacing w:after="0" w:line="144" w:lineRule="exact"/>
        <w:rPr>
          <w:sz w:val="20"/>
          <w:szCs w:val="20"/>
          <w:color w:val="auto"/>
        </w:rPr>
      </w:pPr>
    </w:p>
    <w:p>
      <w:pPr>
        <w:jc w:val="both"/>
        <w:ind w:left="303" w:right="180"/>
        <w:spacing w:after="0" w:line="252" w:lineRule="auto"/>
        <w:rPr>
          <w:sz w:val="20"/>
          <w:szCs w:val="20"/>
          <w:color w:val="auto"/>
        </w:rPr>
      </w:pPr>
      <w:r>
        <w:rPr>
          <w:rFonts w:ascii="Arial" w:cs="Arial" w:eastAsia="Arial" w:hAnsi="Arial"/>
          <w:sz w:val="16"/>
          <w:szCs w:val="16"/>
          <w:color w:val="auto"/>
        </w:rPr>
        <w:t>Below is the amount of gross portfolio balance and allowance for loan losses for Credicorp’s renegotiated loans. The presentation is made for each of the two groups defined above and by opening the balances by stage. It should be noted that for the construction of the tables, the information of the three subsidiaries that concentrate more than 95.0 percent of the balance of renegotiated loans (BCP, Mibanco and BCB) has been considered.</w:t>
      </w:r>
    </w:p>
    <w:p>
      <w:pPr>
        <w:spacing w:after="0" w:line="144" w:lineRule="exact"/>
        <w:rPr>
          <w:sz w:val="20"/>
          <w:szCs w:val="20"/>
          <w:color w:val="auto"/>
        </w:rPr>
      </w:pPr>
    </w:p>
    <w:p>
      <w:pPr>
        <w:ind w:left="303"/>
        <w:spacing w:after="0"/>
        <w:rPr>
          <w:sz w:val="20"/>
          <w:szCs w:val="20"/>
          <w:color w:val="auto"/>
        </w:rPr>
      </w:pPr>
      <w:r>
        <w:rPr>
          <w:rFonts w:ascii="Arial" w:cs="Arial" w:eastAsia="Arial" w:hAnsi="Arial"/>
          <w:sz w:val="16"/>
          <w:szCs w:val="16"/>
          <w:color w:val="auto"/>
        </w:rPr>
        <w:t>As of December 31, 2023 and 2022, renegotiated loans, refinanced loans and their expected loss are composed as follows:</w:t>
      </w:r>
    </w:p>
    <w:p>
      <w:pPr>
        <w:spacing w:after="0" w:line="195" w:lineRule="exact"/>
        <w:rPr>
          <w:sz w:val="20"/>
          <w:szCs w:val="20"/>
          <w:color w:val="auto"/>
        </w:rPr>
      </w:pPr>
    </w:p>
    <w:tbl>
      <w:tblPr>
        <w:tblLayout w:type="fixed"/>
        <w:tblInd w:w="343" w:type="dxa"/>
        <w:tblCellMar>
          <w:top w:w="0" w:type="dxa"/>
          <w:left w:w="0" w:type="dxa"/>
          <w:bottom w:w="0" w:type="dxa"/>
          <w:right w:w="0" w:type="dxa"/>
        </w:tblCellMar>
      </w:tblPr>
      <w:tr>
        <w:trPr>
          <w:trHeight w:val="200"/>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59"/>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tcPr>
          <w:p>
            <w:pPr>
              <w:ind w:left="40"/>
              <w:spacing w:after="0" w:line="159" w:lineRule="exact"/>
              <w:rPr>
                <w:sz w:val="20"/>
                <w:szCs w:val="20"/>
                <w:color w:val="auto"/>
              </w:rPr>
            </w:pPr>
            <w:r>
              <w:rPr>
                <w:rFonts w:ascii="Arial" w:cs="Arial" w:eastAsia="Arial" w:hAnsi="Arial"/>
                <w:sz w:val="16"/>
                <w:szCs w:val="16"/>
                <w:b w:val="1"/>
                <w:bCs w:val="1"/>
                <w:color w:val="auto"/>
              </w:rPr>
              <w:t>Refinanced</w:t>
            </w: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tcPr>
          <w:p>
            <w:pPr>
              <w:ind w:left="40"/>
              <w:spacing w:after="0" w:line="159" w:lineRule="exact"/>
              <w:rPr>
                <w:sz w:val="20"/>
                <w:szCs w:val="20"/>
                <w:color w:val="auto"/>
              </w:rPr>
            </w:pPr>
            <w:r>
              <w:rPr>
                <w:rFonts w:ascii="Arial" w:cs="Arial" w:eastAsia="Arial" w:hAnsi="Arial"/>
                <w:sz w:val="16"/>
                <w:szCs w:val="16"/>
                <w:b w:val="1"/>
                <w:bCs w:val="1"/>
                <w:color w:val="auto"/>
              </w:rPr>
              <w:t>Refinanced</w:t>
            </w:r>
          </w:p>
        </w:tc>
        <w:tc>
          <w:tcPr>
            <w:tcW w:w="1300" w:type="dxa"/>
            <w:vAlign w:val="bottom"/>
          </w:tcPr>
          <w:p>
            <w:pPr>
              <w:spacing w:after="0"/>
              <w:rPr>
                <w:sz w:val="13"/>
                <w:szCs w:val="13"/>
                <w:color w:val="auto"/>
              </w:rPr>
            </w:pPr>
          </w:p>
        </w:tc>
      </w:tr>
      <w:tr>
        <w:trPr>
          <w:trHeight w:val="200"/>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loans</w:t>
            </w:r>
          </w:p>
        </w:tc>
        <w:tc>
          <w:tcPr>
            <w:tcW w:w="1360" w:type="dxa"/>
            <w:vAlign w:val="bottom"/>
            <w:gridSpan w:val="4"/>
          </w:tcPr>
          <w:p>
            <w:pPr>
              <w:ind w:left="40"/>
              <w:spacing w:after="0"/>
              <w:rPr>
                <w:sz w:val="20"/>
                <w:szCs w:val="20"/>
                <w:color w:val="auto"/>
              </w:rPr>
            </w:pPr>
            <w:r>
              <w:rPr>
                <w:rFonts w:ascii="Arial" w:cs="Arial" w:eastAsia="Arial" w:hAnsi="Arial"/>
                <w:sz w:val="16"/>
                <w:szCs w:val="16"/>
                <w:b w:val="1"/>
                <w:bCs w:val="1"/>
                <w:color w:val="auto"/>
              </w:rPr>
              <w:t>Expected loss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loans</w:t>
            </w:r>
          </w:p>
        </w:tc>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Expected loss</w:t>
            </w: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3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3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r>
      <w:tr>
        <w:trPr>
          <w:trHeight w:val="310"/>
        </w:trPr>
        <w:tc>
          <w:tcPr>
            <w:tcW w:w="1240" w:type="dxa"/>
            <w:vAlign w:val="bottom"/>
            <w:gridSpan w:val="2"/>
          </w:tcPr>
          <w:p>
            <w:pPr>
              <w:spacing w:after="0"/>
              <w:rPr>
                <w:sz w:val="20"/>
                <w:szCs w:val="20"/>
                <w:color w:val="auto"/>
              </w:rPr>
            </w:pPr>
            <w:r>
              <w:rPr>
                <w:rFonts w:ascii="Arial" w:cs="Arial" w:eastAsia="Arial" w:hAnsi="Arial"/>
                <w:sz w:val="16"/>
                <w:szCs w:val="16"/>
                <w:color w:val="auto"/>
              </w:rPr>
              <w:t>Stage 1</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56,439</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67,619</w:t>
            </w:r>
          </w:p>
        </w:tc>
        <w:tc>
          <w:tcPr>
            <w:tcW w:w="10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702</w:t>
            </w:r>
          </w:p>
        </w:tc>
      </w:tr>
      <w:tr>
        <w:trPr>
          <w:trHeight w:val="195"/>
        </w:trPr>
        <w:tc>
          <w:tcPr>
            <w:tcW w:w="1240" w:type="dxa"/>
            <w:vAlign w:val="bottom"/>
            <w:gridSpan w:val="2"/>
          </w:tcPr>
          <w:p>
            <w:pPr>
              <w:spacing w:after="0"/>
              <w:rPr>
                <w:sz w:val="20"/>
                <w:szCs w:val="20"/>
                <w:color w:val="auto"/>
              </w:rPr>
            </w:pPr>
            <w:r>
              <w:rPr>
                <w:rFonts w:ascii="Arial" w:cs="Arial" w:eastAsia="Arial" w:hAnsi="Arial"/>
                <w:sz w:val="16"/>
                <w:szCs w:val="16"/>
                <w:color w:val="auto"/>
              </w:rPr>
              <w:t>Stage 2</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41,380</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23,157</w:t>
            </w:r>
          </w:p>
        </w:tc>
        <w:tc>
          <w:tcPr>
            <w:tcW w:w="10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1,698</w:t>
            </w:r>
          </w:p>
        </w:tc>
      </w:tr>
      <w:tr>
        <w:trPr>
          <w:trHeight w:val="200"/>
        </w:trPr>
        <w:tc>
          <w:tcPr>
            <w:tcW w:w="1240" w:type="dxa"/>
            <w:vAlign w:val="bottom"/>
            <w:gridSpan w:val="2"/>
          </w:tcPr>
          <w:p>
            <w:pPr>
              <w:spacing w:after="0"/>
              <w:rPr>
                <w:sz w:val="20"/>
                <w:szCs w:val="20"/>
                <w:color w:val="auto"/>
              </w:rPr>
            </w:pPr>
            <w:r>
              <w:rPr>
                <w:rFonts w:ascii="Arial" w:cs="Arial" w:eastAsia="Arial" w:hAnsi="Arial"/>
                <w:sz w:val="16"/>
                <w:szCs w:val="16"/>
                <w:color w:val="auto"/>
              </w:rPr>
              <w:t>Stage 3</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2,288,349</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1,018,911</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1,999,383</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863,751</w:t>
            </w:r>
          </w:p>
        </w:tc>
      </w:tr>
      <w:tr>
        <w:trPr>
          <w:trHeight w:val="180"/>
        </w:trPr>
        <w:tc>
          <w:tcPr>
            <w:tcW w:w="12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Total</w:t>
            </w:r>
          </w:p>
        </w:tc>
        <w:tc>
          <w:tcPr>
            <w:tcW w:w="1300" w:type="dxa"/>
            <w:vAlign w:val="bottom"/>
            <w:tcBorders>
              <w:bottom w:val="single" w:sz="8" w:color="auto"/>
            </w:tcBorders>
          </w:tcPr>
          <w:p>
            <w:pPr>
              <w:jc w:val="right"/>
              <w:ind w:right="19"/>
              <w:spacing w:after="0" w:line="175" w:lineRule="exact"/>
              <w:rPr>
                <w:sz w:val="20"/>
                <w:szCs w:val="20"/>
                <w:color w:val="auto"/>
              </w:rPr>
            </w:pPr>
            <w:r>
              <w:rPr>
                <w:rFonts w:ascii="Arial" w:cs="Arial" w:eastAsia="Arial" w:hAnsi="Arial"/>
                <w:sz w:val="16"/>
                <w:szCs w:val="16"/>
                <w:color w:val="auto"/>
              </w:rPr>
              <w:t>2,386,168</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1,026,340</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bottom w:val="single" w:sz="8" w:color="auto"/>
            </w:tcBorders>
          </w:tcPr>
          <w:p>
            <w:pPr>
              <w:jc w:val="right"/>
              <w:ind w:right="19"/>
              <w:spacing w:after="0" w:line="175" w:lineRule="exact"/>
              <w:rPr>
                <w:sz w:val="20"/>
                <w:szCs w:val="20"/>
                <w:color w:val="auto"/>
              </w:rPr>
            </w:pPr>
            <w:r>
              <w:rPr>
                <w:rFonts w:ascii="Arial" w:cs="Arial" w:eastAsia="Arial" w:hAnsi="Arial"/>
                <w:sz w:val="16"/>
                <w:szCs w:val="16"/>
                <w:color w:val="auto"/>
              </w:rPr>
              <w:t>2,090,159</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19"/>
              <w:spacing w:after="0" w:line="175" w:lineRule="exact"/>
              <w:rPr>
                <w:sz w:val="20"/>
                <w:szCs w:val="20"/>
                <w:color w:val="auto"/>
              </w:rPr>
            </w:pPr>
            <w:r>
              <w:rPr>
                <w:rFonts w:ascii="Arial" w:cs="Arial" w:eastAsia="Arial" w:hAnsi="Arial"/>
                <w:sz w:val="16"/>
                <w:szCs w:val="16"/>
                <w:color w:val="auto"/>
              </w:rPr>
              <w:t>866,151</w:t>
            </w:r>
          </w:p>
        </w:tc>
      </w:tr>
      <w:tr>
        <w:trPr>
          <w:trHeight w:val="379"/>
        </w:trPr>
        <w:tc>
          <w:tcPr>
            <w:tcW w:w="1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59"/>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tcPr>
          <w:p>
            <w:pPr>
              <w:ind w:left="40"/>
              <w:spacing w:after="0" w:line="159" w:lineRule="exact"/>
              <w:rPr>
                <w:sz w:val="20"/>
                <w:szCs w:val="20"/>
                <w:color w:val="auto"/>
              </w:rPr>
            </w:pPr>
            <w:r>
              <w:rPr>
                <w:rFonts w:ascii="Arial" w:cs="Arial" w:eastAsia="Arial" w:hAnsi="Arial"/>
                <w:sz w:val="16"/>
                <w:szCs w:val="16"/>
                <w:b w:val="1"/>
                <w:bCs w:val="1"/>
                <w:color w:val="auto"/>
              </w:rPr>
              <w:t>Renegotiated</w:t>
            </w: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tcPr>
          <w:p>
            <w:pPr>
              <w:ind w:left="40"/>
              <w:spacing w:after="0" w:line="159" w:lineRule="exact"/>
              <w:rPr>
                <w:sz w:val="20"/>
                <w:szCs w:val="20"/>
                <w:color w:val="auto"/>
              </w:rPr>
            </w:pPr>
            <w:r>
              <w:rPr>
                <w:rFonts w:ascii="Arial" w:cs="Arial" w:eastAsia="Arial" w:hAnsi="Arial"/>
                <w:sz w:val="16"/>
                <w:szCs w:val="16"/>
                <w:b w:val="1"/>
                <w:bCs w:val="1"/>
                <w:color w:val="auto"/>
              </w:rPr>
              <w:t>Renegotiated</w:t>
            </w:r>
          </w:p>
        </w:tc>
        <w:tc>
          <w:tcPr>
            <w:tcW w:w="1300" w:type="dxa"/>
            <w:vAlign w:val="bottom"/>
          </w:tcPr>
          <w:p>
            <w:pPr>
              <w:spacing w:after="0"/>
              <w:rPr>
                <w:sz w:val="13"/>
                <w:szCs w:val="13"/>
                <w:color w:val="auto"/>
              </w:rPr>
            </w:pPr>
          </w:p>
        </w:tc>
      </w:tr>
      <w:tr>
        <w:trPr>
          <w:trHeight w:val="200"/>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loans</w:t>
            </w:r>
          </w:p>
        </w:tc>
        <w:tc>
          <w:tcPr>
            <w:tcW w:w="1360" w:type="dxa"/>
            <w:vAlign w:val="bottom"/>
            <w:gridSpan w:val="4"/>
          </w:tcPr>
          <w:p>
            <w:pPr>
              <w:ind w:left="40"/>
              <w:spacing w:after="0"/>
              <w:rPr>
                <w:sz w:val="20"/>
                <w:szCs w:val="20"/>
                <w:color w:val="auto"/>
              </w:rPr>
            </w:pPr>
            <w:r>
              <w:rPr>
                <w:rFonts w:ascii="Arial" w:cs="Arial" w:eastAsia="Arial" w:hAnsi="Arial"/>
                <w:sz w:val="16"/>
                <w:szCs w:val="16"/>
                <w:b w:val="1"/>
                <w:bCs w:val="1"/>
                <w:color w:val="auto"/>
              </w:rPr>
              <w:t>Expected loss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loans</w:t>
            </w:r>
          </w:p>
        </w:tc>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Expected loss</w:t>
            </w:r>
          </w:p>
        </w:tc>
      </w:tr>
      <w:tr>
        <w:trPr>
          <w:trHeight w:val="216"/>
        </w:trPr>
        <w:tc>
          <w:tcPr>
            <w:tcW w:w="1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6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3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r>
      <w:tr>
        <w:trPr>
          <w:trHeight w:val="310"/>
        </w:trPr>
        <w:tc>
          <w:tcPr>
            <w:tcW w:w="1240" w:type="dxa"/>
            <w:vAlign w:val="bottom"/>
            <w:gridSpan w:val="2"/>
          </w:tcPr>
          <w:p>
            <w:pPr>
              <w:spacing w:after="0"/>
              <w:rPr>
                <w:sz w:val="20"/>
                <w:szCs w:val="20"/>
                <w:color w:val="auto"/>
              </w:rPr>
            </w:pPr>
            <w:r>
              <w:rPr>
                <w:rFonts w:ascii="Arial" w:cs="Arial" w:eastAsia="Arial" w:hAnsi="Arial"/>
                <w:sz w:val="16"/>
                <w:szCs w:val="16"/>
                <w:color w:val="auto"/>
              </w:rPr>
              <w:t>Stage 1</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4,093,815</w:t>
            </w:r>
          </w:p>
        </w:tc>
        <w:tc>
          <w:tcPr>
            <w:tcW w:w="100" w:type="dxa"/>
            <w:vAlign w:val="bottom"/>
          </w:tcPr>
          <w:p>
            <w:pPr>
              <w:spacing w:after="0"/>
              <w:rPr>
                <w:sz w:val="24"/>
                <w:szCs w:val="24"/>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36,800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5,137,915</w:t>
            </w:r>
          </w:p>
        </w:tc>
        <w:tc>
          <w:tcPr>
            <w:tcW w:w="10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60,660</w:t>
            </w:r>
          </w:p>
        </w:tc>
      </w:tr>
      <w:tr>
        <w:trPr>
          <w:trHeight w:val="195"/>
        </w:trPr>
        <w:tc>
          <w:tcPr>
            <w:tcW w:w="1240" w:type="dxa"/>
            <w:vAlign w:val="bottom"/>
            <w:gridSpan w:val="2"/>
          </w:tcPr>
          <w:p>
            <w:pPr>
              <w:spacing w:after="0"/>
              <w:rPr>
                <w:sz w:val="20"/>
                <w:szCs w:val="20"/>
                <w:color w:val="auto"/>
              </w:rPr>
            </w:pPr>
            <w:r>
              <w:rPr>
                <w:rFonts w:ascii="Arial" w:cs="Arial" w:eastAsia="Arial" w:hAnsi="Arial"/>
                <w:sz w:val="16"/>
                <w:szCs w:val="16"/>
                <w:color w:val="auto"/>
              </w:rPr>
              <w:t>Stage 2</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1,536,104</w:t>
            </w:r>
          </w:p>
        </w:tc>
        <w:tc>
          <w:tcPr>
            <w:tcW w:w="1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146,087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2,544,631</w:t>
            </w:r>
          </w:p>
        </w:tc>
        <w:tc>
          <w:tcPr>
            <w:tcW w:w="10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211,866</w:t>
            </w:r>
          </w:p>
        </w:tc>
      </w:tr>
      <w:tr>
        <w:trPr>
          <w:trHeight w:val="200"/>
        </w:trPr>
        <w:tc>
          <w:tcPr>
            <w:tcW w:w="1240" w:type="dxa"/>
            <w:vAlign w:val="bottom"/>
            <w:gridSpan w:val="2"/>
          </w:tcPr>
          <w:p>
            <w:pPr>
              <w:spacing w:after="0"/>
              <w:rPr>
                <w:sz w:val="20"/>
                <w:szCs w:val="20"/>
                <w:color w:val="auto"/>
              </w:rPr>
            </w:pPr>
            <w:r>
              <w:rPr>
                <w:rFonts w:ascii="Arial" w:cs="Arial" w:eastAsia="Arial" w:hAnsi="Arial"/>
                <w:sz w:val="16"/>
                <w:szCs w:val="16"/>
                <w:color w:val="auto"/>
              </w:rPr>
              <w:t>Stage 3</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1,366,287</w:t>
            </w:r>
          </w:p>
        </w:tc>
        <w:tc>
          <w:tcPr>
            <w:tcW w:w="1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877,839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2,023,938</w:t>
            </w:r>
          </w:p>
        </w:tc>
        <w:tc>
          <w:tcPr>
            <w:tcW w:w="10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1,268,559</w:t>
            </w:r>
          </w:p>
        </w:tc>
      </w:tr>
      <w:tr>
        <w:trPr>
          <w:trHeight w:val="180"/>
        </w:trPr>
        <w:tc>
          <w:tcPr>
            <w:tcW w:w="122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2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19"/>
              <w:spacing w:after="0" w:line="175" w:lineRule="exact"/>
              <w:rPr>
                <w:sz w:val="20"/>
                <w:szCs w:val="20"/>
                <w:color w:val="auto"/>
              </w:rPr>
            </w:pPr>
            <w:r>
              <w:rPr>
                <w:rFonts w:ascii="Arial" w:cs="Arial" w:eastAsia="Arial" w:hAnsi="Arial"/>
                <w:sz w:val="16"/>
                <w:szCs w:val="16"/>
                <w:color w:val="auto"/>
              </w:rPr>
              <w:t>6,996,206</w:t>
            </w:r>
          </w:p>
        </w:tc>
        <w:tc>
          <w:tcPr>
            <w:tcW w:w="10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ind w:right="19"/>
              <w:spacing w:after="0" w:line="175" w:lineRule="exact"/>
              <w:rPr>
                <w:sz w:val="20"/>
                <w:szCs w:val="20"/>
                <w:color w:val="auto"/>
              </w:rPr>
            </w:pPr>
            <w:r>
              <w:rPr>
                <w:rFonts w:ascii="Arial" w:cs="Arial" w:eastAsia="Arial" w:hAnsi="Arial"/>
                <w:sz w:val="16"/>
                <w:szCs w:val="16"/>
                <w:color w:val="auto"/>
              </w:rPr>
              <w:t>1,060,726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19"/>
              <w:spacing w:after="0" w:line="175" w:lineRule="exact"/>
              <w:rPr>
                <w:sz w:val="20"/>
                <w:szCs w:val="20"/>
                <w:color w:val="auto"/>
              </w:rPr>
            </w:pPr>
            <w:r>
              <w:rPr>
                <w:rFonts w:ascii="Arial" w:cs="Arial" w:eastAsia="Arial" w:hAnsi="Arial"/>
                <w:sz w:val="16"/>
                <w:szCs w:val="16"/>
                <w:color w:val="auto"/>
              </w:rPr>
              <w:t>9,706,484</w:t>
            </w:r>
          </w:p>
        </w:tc>
        <w:tc>
          <w:tcPr>
            <w:tcW w:w="1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ind w:right="19"/>
              <w:spacing w:after="0" w:line="175" w:lineRule="exact"/>
              <w:rPr>
                <w:sz w:val="20"/>
                <w:szCs w:val="20"/>
                <w:color w:val="auto"/>
              </w:rPr>
            </w:pPr>
            <w:r>
              <w:rPr>
                <w:rFonts w:ascii="Arial" w:cs="Arial" w:eastAsia="Arial" w:hAnsi="Arial"/>
                <w:sz w:val="16"/>
                <w:szCs w:val="16"/>
                <w:color w:val="auto"/>
              </w:rPr>
              <w:t>1,541,085</w:t>
            </w:r>
          </w:p>
        </w:tc>
      </w:tr>
    </w:tbl>
    <w:p>
      <w:pPr>
        <w:spacing w:after="0" w:line="166" w:lineRule="exact"/>
        <w:rPr>
          <w:sz w:val="20"/>
          <w:szCs w:val="20"/>
          <w:color w:val="auto"/>
        </w:rPr>
      </w:pPr>
    </w:p>
    <w:p>
      <w:pPr>
        <w:ind w:left="303" w:right="120"/>
        <w:spacing w:after="0" w:line="280" w:lineRule="auto"/>
        <w:rPr>
          <w:sz w:val="20"/>
          <w:szCs w:val="20"/>
          <w:color w:val="auto"/>
        </w:rPr>
      </w:pPr>
      <w:r>
        <w:rPr>
          <w:rFonts w:ascii="Arial" w:cs="Arial" w:eastAsia="Arial" w:hAnsi="Arial"/>
          <w:sz w:val="16"/>
          <w:szCs w:val="16"/>
          <w:color w:val="auto"/>
        </w:rPr>
        <w:t>The detail of the gross amount of impaired direct loans by type of loan, together with the fair value of the related collateral and the amounts of its allowance for loan losses, are as follows:</w:t>
      </w:r>
    </w:p>
    <w:p>
      <w:pPr>
        <w:spacing w:after="0" w:line="124" w:lineRule="exact"/>
        <w:rPr>
          <w:sz w:val="20"/>
          <w:szCs w:val="20"/>
          <w:color w:val="auto"/>
        </w:rPr>
      </w:pPr>
    </w:p>
    <w:tbl>
      <w:tblPr>
        <w:tblLayout w:type="fixed"/>
        <w:tblInd w:w="343" w:type="dxa"/>
        <w:tblCellMar>
          <w:top w:w="0" w:type="dxa"/>
          <w:left w:w="0" w:type="dxa"/>
          <w:bottom w:w="0" w:type="dxa"/>
          <w:right w:w="0" w:type="dxa"/>
        </w:tblCellMar>
      </w:tblPr>
      <w:tr>
        <w:trPr>
          <w:trHeight w:val="123"/>
        </w:trPr>
        <w:tc>
          <w:tcPr>
            <w:tcW w:w="1260" w:type="dxa"/>
            <w:vAlign w:val="bottom"/>
          </w:tcPr>
          <w:p>
            <w:pPr>
              <w:spacing w:after="0"/>
              <w:rPr>
                <w:sz w:val="10"/>
                <w:szCs w:val="10"/>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89"/>
        </w:trPr>
        <w:tc>
          <w:tcPr>
            <w:tcW w:w="1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ind w:left="40"/>
              <w:spacing w:after="0" w:line="90" w:lineRule="exact"/>
              <w:rPr>
                <w:sz w:val="20"/>
                <w:szCs w:val="20"/>
                <w:color w:val="auto"/>
              </w:rPr>
            </w:pPr>
            <w:r>
              <w:rPr>
                <w:rFonts w:ascii="Arial" w:cs="Arial" w:eastAsia="Arial" w:hAnsi="Arial"/>
                <w:sz w:val="10"/>
                <w:szCs w:val="10"/>
                <w:b w:val="1"/>
                <w:bCs w:val="1"/>
                <w:color w:val="auto"/>
              </w:rPr>
              <w:t>Residential</w:t>
            </w: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ind w:left="40"/>
              <w:spacing w:after="0" w:line="90" w:lineRule="exact"/>
              <w:rPr>
                <w:sz w:val="20"/>
                <w:szCs w:val="20"/>
                <w:color w:val="auto"/>
              </w:rPr>
            </w:pPr>
            <w:r>
              <w:rPr>
                <w:rFonts w:ascii="Arial" w:cs="Arial" w:eastAsia="Arial" w:hAnsi="Arial"/>
                <w:sz w:val="10"/>
                <w:szCs w:val="10"/>
                <w:b w:val="1"/>
                <w:bCs w:val="1"/>
                <w:color w:val="auto"/>
              </w:rPr>
              <w:t>Residential</w:t>
            </w: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10"/>
        </w:trPr>
        <w:tc>
          <w:tcPr>
            <w:tcW w:w="1260" w:type="dxa"/>
            <w:vAlign w:val="bottom"/>
          </w:tcPr>
          <w:p>
            <w:pPr>
              <w:spacing w:after="0"/>
              <w:rPr>
                <w:sz w:val="9"/>
                <w:szCs w:val="9"/>
                <w:color w:val="auto"/>
              </w:rPr>
            </w:pPr>
          </w:p>
        </w:tc>
        <w:tc>
          <w:tcPr>
            <w:tcW w:w="8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Commercial</w:t>
            </w:r>
          </w:p>
        </w:tc>
        <w:tc>
          <w:tcPr>
            <w:tcW w:w="82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mortgage</w:t>
            </w:r>
          </w:p>
        </w:tc>
        <w:tc>
          <w:tcPr>
            <w:tcW w:w="96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Microbusiness</w:t>
            </w:r>
          </w:p>
        </w:tc>
        <w:tc>
          <w:tcPr>
            <w:tcW w:w="8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Consumer</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Commercial</w:t>
            </w:r>
          </w:p>
        </w:tc>
        <w:tc>
          <w:tcPr>
            <w:tcW w:w="86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mortgage</w:t>
            </w:r>
          </w:p>
        </w:tc>
        <w:tc>
          <w:tcPr>
            <w:tcW w:w="10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Microbusiness</w:t>
            </w:r>
          </w:p>
        </w:tc>
        <w:tc>
          <w:tcPr>
            <w:tcW w:w="86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Consumer</w:t>
            </w:r>
          </w:p>
        </w:tc>
        <w:tc>
          <w:tcPr>
            <w:tcW w:w="820" w:type="dxa"/>
            <w:vAlign w:val="bottom"/>
          </w:tcPr>
          <w:p>
            <w:pPr>
              <w:spacing w:after="0"/>
              <w:rPr>
                <w:sz w:val="9"/>
                <w:szCs w:val="9"/>
                <w:color w:val="auto"/>
              </w:rPr>
            </w:pPr>
          </w:p>
        </w:tc>
      </w:tr>
      <w:tr>
        <w:trPr>
          <w:trHeight w:val="123"/>
        </w:trPr>
        <w:tc>
          <w:tcPr>
            <w:tcW w:w="1260" w:type="dxa"/>
            <w:vAlign w:val="bottom"/>
          </w:tcPr>
          <w:p>
            <w:pPr>
              <w:spacing w:after="0"/>
              <w:rPr>
                <w:sz w:val="10"/>
                <w:szCs w:val="10"/>
                <w:color w:val="auto"/>
              </w:rPr>
            </w:pPr>
          </w:p>
        </w:tc>
        <w:tc>
          <w:tcPr>
            <w:tcW w:w="840" w:type="dxa"/>
            <w:vAlign w:val="bottom"/>
            <w:gridSpan w:val="2"/>
          </w:tcPr>
          <w:p>
            <w:pPr>
              <w:ind w:left="40"/>
              <w:spacing w:after="0"/>
              <w:rPr>
                <w:sz w:val="20"/>
                <w:szCs w:val="20"/>
                <w:color w:val="auto"/>
              </w:rPr>
            </w:pPr>
            <w:r>
              <w:rPr>
                <w:rFonts w:ascii="Arial" w:cs="Arial" w:eastAsia="Arial" w:hAnsi="Arial"/>
                <w:sz w:val="10"/>
                <w:szCs w:val="10"/>
                <w:b w:val="1"/>
                <w:bCs w:val="1"/>
                <w:color w:val="auto"/>
              </w:rPr>
              <w:t>loans</w:t>
            </w:r>
          </w:p>
        </w:tc>
        <w:tc>
          <w:tcPr>
            <w:tcW w:w="820" w:type="dxa"/>
            <w:vAlign w:val="bottom"/>
            <w:gridSpan w:val="2"/>
          </w:tcPr>
          <w:p>
            <w:pPr>
              <w:ind w:left="40"/>
              <w:spacing w:after="0"/>
              <w:rPr>
                <w:sz w:val="20"/>
                <w:szCs w:val="20"/>
                <w:color w:val="auto"/>
              </w:rPr>
            </w:pPr>
            <w:r>
              <w:rPr>
                <w:rFonts w:ascii="Arial" w:cs="Arial" w:eastAsia="Arial" w:hAnsi="Arial"/>
                <w:sz w:val="10"/>
                <w:szCs w:val="10"/>
                <w:b w:val="1"/>
                <w:bCs w:val="1"/>
                <w:color w:val="auto"/>
              </w:rPr>
              <w:t>loans</w:t>
            </w:r>
          </w:p>
        </w:tc>
        <w:tc>
          <w:tcPr>
            <w:tcW w:w="960" w:type="dxa"/>
            <w:vAlign w:val="bottom"/>
            <w:gridSpan w:val="2"/>
          </w:tcPr>
          <w:p>
            <w:pPr>
              <w:ind w:left="40"/>
              <w:spacing w:after="0"/>
              <w:rPr>
                <w:sz w:val="20"/>
                <w:szCs w:val="20"/>
                <w:color w:val="auto"/>
              </w:rPr>
            </w:pPr>
            <w:r>
              <w:rPr>
                <w:rFonts w:ascii="Arial" w:cs="Arial" w:eastAsia="Arial" w:hAnsi="Arial"/>
                <w:sz w:val="10"/>
                <w:szCs w:val="10"/>
                <w:b w:val="1"/>
                <w:bCs w:val="1"/>
                <w:color w:val="auto"/>
              </w:rPr>
              <w:t>loans</w:t>
            </w:r>
          </w:p>
        </w:tc>
        <w:tc>
          <w:tcPr>
            <w:tcW w:w="820" w:type="dxa"/>
            <w:vAlign w:val="bottom"/>
            <w:gridSpan w:val="2"/>
          </w:tcPr>
          <w:p>
            <w:pPr>
              <w:ind w:left="60"/>
              <w:spacing w:after="0"/>
              <w:rPr>
                <w:sz w:val="20"/>
                <w:szCs w:val="20"/>
                <w:color w:val="auto"/>
              </w:rPr>
            </w:pPr>
            <w:r>
              <w:rPr>
                <w:rFonts w:ascii="Arial" w:cs="Arial" w:eastAsia="Arial" w:hAnsi="Arial"/>
                <w:sz w:val="10"/>
                <w:szCs w:val="10"/>
                <w:b w:val="1"/>
                <w:bCs w:val="1"/>
                <w:color w:val="auto"/>
              </w:rPr>
              <w:t>loans</w:t>
            </w:r>
          </w:p>
        </w:tc>
        <w:tc>
          <w:tcPr>
            <w:tcW w:w="900" w:type="dxa"/>
            <w:vAlign w:val="bottom"/>
            <w:gridSpan w:val="2"/>
          </w:tcPr>
          <w:p>
            <w:pPr>
              <w:ind w:left="60"/>
              <w:spacing w:after="0"/>
              <w:rPr>
                <w:sz w:val="20"/>
                <w:szCs w:val="20"/>
                <w:color w:val="auto"/>
              </w:rPr>
            </w:pPr>
            <w:r>
              <w:rPr>
                <w:rFonts w:ascii="Arial" w:cs="Arial" w:eastAsia="Arial" w:hAnsi="Arial"/>
                <w:sz w:val="10"/>
                <w:szCs w:val="10"/>
                <w:b w:val="1"/>
                <w:bCs w:val="1"/>
                <w:color w:val="auto"/>
              </w:rPr>
              <w:t>Total</w:t>
            </w:r>
          </w:p>
        </w:tc>
        <w:tc>
          <w:tcPr>
            <w:tcW w:w="900" w:type="dxa"/>
            <w:vAlign w:val="bottom"/>
            <w:gridSpan w:val="2"/>
          </w:tcPr>
          <w:p>
            <w:pPr>
              <w:ind w:left="60"/>
              <w:spacing w:after="0"/>
              <w:rPr>
                <w:sz w:val="20"/>
                <w:szCs w:val="20"/>
                <w:color w:val="auto"/>
              </w:rPr>
            </w:pPr>
            <w:r>
              <w:rPr>
                <w:rFonts w:ascii="Arial" w:cs="Arial" w:eastAsia="Arial" w:hAnsi="Arial"/>
                <w:sz w:val="10"/>
                <w:szCs w:val="10"/>
                <w:b w:val="1"/>
                <w:bCs w:val="1"/>
                <w:color w:val="auto"/>
              </w:rPr>
              <w:t>loans</w:t>
            </w:r>
          </w:p>
        </w:tc>
        <w:tc>
          <w:tcPr>
            <w:tcW w:w="860" w:type="dxa"/>
            <w:vAlign w:val="bottom"/>
            <w:gridSpan w:val="2"/>
          </w:tcPr>
          <w:p>
            <w:pPr>
              <w:ind w:left="40"/>
              <w:spacing w:after="0"/>
              <w:rPr>
                <w:sz w:val="20"/>
                <w:szCs w:val="20"/>
                <w:color w:val="auto"/>
              </w:rPr>
            </w:pPr>
            <w:r>
              <w:rPr>
                <w:rFonts w:ascii="Arial" w:cs="Arial" w:eastAsia="Arial" w:hAnsi="Arial"/>
                <w:sz w:val="10"/>
                <w:szCs w:val="10"/>
                <w:b w:val="1"/>
                <w:bCs w:val="1"/>
                <w:color w:val="auto"/>
              </w:rPr>
              <w:t>loans</w:t>
            </w:r>
          </w:p>
        </w:tc>
        <w:tc>
          <w:tcPr>
            <w:tcW w:w="1020" w:type="dxa"/>
            <w:vAlign w:val="bottom"/>
            <w:gridSpan w:val="2"/>
          </w:tcPr>
          <w:p>
            <w:pPr>
              <w:ind w:left="60"/>
              <w:spacing w:after="0"/>
              <w:rPr>
                <w:sz w:val="20"/>
                <w:szCs w:val="20"/>
                <w:color w:val="auto"/>
              </w:rPr>
            </w:pPr>
            <w:r>
              <w:rPr>
                <w:rFonts w:ascii="Arial" w:cs="Arial" w:eastAsia="Arial" w:hAnsi="Arial"/>
                <w:sz w:val="10"/>
                <w:szCs w:val="10"/>
                <w:b w:val="1"/>
                <w:bCs w:val="1"/>
                <w:color w:val="auto"/>
              </w:rPr>
              <w:t>loans</w:t>
            </w:r>
          </w:p>
        </w:tc>
        <w:tc>
          <w:tcPr>
            <w:tcW w:w="860" w:type="dxa"/>
            <w:vAlign w:val="bottom"/>
            <w:gridSpan w:val="2"/>
          </w:tcPr>
          <w:p>
            <w:pPr>
              <w:ind w:left="40"/>
              <w:spacing w:after="0"/>
              <w:rPr>
                <w:sz w:val="20"/>
                <w:szCs w:val="20"/>
                <w:color w:val="auto"/>
              </w:rPr>
            </w:pPr>
            <w:r>
              <w:rPr>
                <w:rFonts w:ascii="Arial" w:cs="Arial" w:eastAsia="Arial" w:hAnsi="Arial"/>
                <w:sz w:val="10"/>
                <w:szCs w:val="10"/>
                <w:b w:val="1"/>
                <w:bCs w:val="1"/>
                <w:color w:val="auto"/>
              </w:rPr>
              <w:t>loans</w:t>
            </w:r>
          </w:p>
        </w:tc>
        <w:tc>
          <w:tcPr>
            <w:tcW w:w="820" w:type="dxa"/>
            <w:vAlign w:val="bottom"/>
          </w:tcPr>
          <w:p>
            <w:pPr>
              <w:jc w:val="right"/>
              <w:ind w:right="491"/>
              <w:spacing w:after="0"/>
              <w:rPr>
                <w:sz w:val="20"/>
                <w:szCs w:val="20"/>
                <w:color w:val="auto"/>
              </w:rPr>
            </w:pPr>
            <w:r>
              <w:rPr>
                <w:rFonts w:ascii="Arial" w:cs="Arial" w:eastAsia="Arial" w:hAnsi="Arial"/>
                <w:sz w:val="10"/>
                <w:szCs w:val="10"/>
                <w:b w:val="1"/>
                <w:bCs w:val="1"/>
                <w:color w:val="auto"/>
              </w:rPr>
              <w:t>Total</w:t>
            </w:r>
          </w:p>
        </w:tc>
      </w:tr>
      <w:tr>
        <w:trPr>
          <w:trHeight w:val="91"/>
        </w:trPr>
        <w:tc>
          <w:tcPr>
            <w:tcW w:w="1260" w:type="dxa"/>
            <w:vAlign w:val="bottom"/>
          </w:tcPr>
          <w:p>
            <w:pPr>
              <w:spacing w:after="0"/>
              <w:rPr>
                <w:sz w:val="7"/>
                <w:szCs w:val="7"/>
                <w:color w:val="auto"/>
              </w:rPr>
            </w:pPr>
          </w:p>
        </w:tc>
        <w:tc>
          <w:tcPr>
            <w:tcW w:w="740" w:type="dxa"/>
            <w:vAlign w:val="bottom"/>
            <w:tcBorders>
              <w:top w:val="single" w:sz="8" w:color="auto"/>
            </w:tcBorders>
          </w:tcPr>
          <w:p>
            <w:pPr>
              <w:jc w:val="right"/>
              <w:ind w:right="51"/>
              <w:spacing w:after="0" w:line="92"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720" w:type="dxa"/>
            <w:vAlign w:val="bottom"/>
            <w:tcBorders>
              <w:top w:val="single" w:sz="8" w:color="auto"/>
            </w:tcBorders>
          </w:tcPr>
          <w:p>
            <w:pPr>
              <w:jc w:val="right"/>
              <w:ind w:right="51"/>
              <w:spacing w:after="0" w:line="92"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860" w:type="dxa"/>
            <w:vAlign w:val="bottom"/>
            <w:tcBorders>
              <w:top w:val="single" w:sz="8" w:color="auto"/>
            </w:tcBorders>
          </w:tcPr>
          <w:p>
            <w:pPr>
              <w:jc w:val="right"/>
              <w:ind w:right="51"/>
              <w:spacing w:after="0" w:line="92"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720" w:type="dxa"/>
            <w:vAlign w:val="bottom"/>
            <w:tcBorders>
              <w:top w:val="single" w:sz="8" w:color="auto"/>
            </w:tcBorders>
          </w:tcPr>
          <w:p>
            <w:pPr>
              <w:jc w:val="right"/>
              <w:ind w:right="51"/>
              <w:spacing w:after="0" w:line="92"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800" w:type="dxa"/>
            <w:vAlign w:val="bottom"/>
            <w:tcBorders>
              <w:top w:val="single" w:sz="8" w:color="auto"/>
            </w:tcBorders>
          </w:tcPr>
          <w:p>
            <w:pPr>
              <w:jc w:val="right"/>
              <w:ind w:right="71"/>
              <w:spacing w:after="0" w:line="92"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780" w:type="dxa"/>
            <w:vAlign w:val="bottom"/>
            <w:tcBorders>
              <w:top w:val="single" w:sz="8" w:color="auto"/>
            </w:tcBorders>
          </w:tcPr>
          <w:p>
            <w:pPr>
              <w:jc w:val="right"/>
              <w:ind w:right="51"/>
              <w:spacing w:after="0" w:line="92"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760" w:type="dxa"/>
            <w:vAlign w:val="bottom"/>
            <w:tcBorders>
              <w:top w:val="single" w:sz="8" w:color="auto"/>
            </w:tcBorders>
          </w:tcPr>
          <w:p>
            <w:pPr>
              <w:jc w:val="right"/>
              <w:ind w:right="71"/>
              <w:spacing w:after="0" w:line="92"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920" w:type="dxa"/>
            <w:vAlign w:val="bottom"/>
            <w:tcBorders>
              <w:top w:val="single" w:sz="8" w:color="auto"/>
            </w:tcBorders>
          </w:tcPr>
          <w:p>
            <w:pPr>
              <w:jc w:val="right"/>
              <w:ind w:right="71"/>
              <w:spacing w:after="0" w:line="92"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760" w:type="dxa"/>
            <w:vAlign w:val="bottom"/>
            <w:tcBorders>
              <w:top w:val="single" w:sz="8" w:color="auto"/>
            </w:tcBorders>
          </w:tcPr>
          <w:p>
            <w:pPr>
              <w:jc w:val="right"/>
              <w:ind w:right="71"/>
              <w:spacing w:after="0" w:line="92" w:lineRule="exact"/>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7"/>
                <w:szCs w:val="7"/>
                <w:color w:val="auto"/>
              </w:rPr>
            </w:pPr>
          </w:p>
        </w:tc>
        <w:tc>
          <w:tcPr>
            <w:tcW w:w="820" w:type="dxa"/>
            <w:vAlign w:val="bottom"/>
            <w:tcBorders>
              <w:top w:val="single" w:sz="8" w:color="auto"/>
            </w:tcBorders>
          </w:tcPr>
          <w:p>
            <w:pPr>
              <w:jc w:val="right"/>
              <w:ind w:right="51"/>
              <w:spacing w:after="0" w:line="92" w:lineRule="exact"/>
              <w:rPr>
                <w:sz w:val="20"/>
                <w:szCs w:val="20"/>
                <w:color w:val="auto"/>
              </w:rPr>
            </w:pPr>
            <w:r>
              <w:rPr>
                <w:rFonts w:ascii="Arial" w:cs="Arial" w:eastAsia="Arial" w:hAnsi="Arial"/>
                <w:sz w:val="10"/>
                <w:szCs w:val="10"/>
                <w:b w:val="1"/>
                <w:bCs w:val="1"/>
                <w:color w:val="auto"/>
              </w:rPr>
              <w:t>S/(000)</w:t>
            </w:r>
          </w:p>
        </w:tc>
      </w:tr>
      <w:tr>
        <w:trPr>
          <w:trHeight w:val="110"/>
        </w:trPr>
        <w:tc>
          <w:tcPr>
            <w:tcW w:w="1260" w:type="dxa"/>
            <w:vAlign w:val="bottom"/>
          </w:tcPr>
          <w:p>
            <w:pPr>
              <w:spacing w:after="0" w:line="110" w:lineRule="exact"/>
              <w:rPr>
                <w:sz w:val="20"/>
                <w:szCs w:val="20"/>
                <w:color w:val="auto"/>
              </w:rPr>
            </w:pPr>
            <w:r>
              <w:rPr>
                <w:rFonts w:ascii="Arial" w:cs="Arial" w:eastAsia="Arial" w:hAnsi="Arial"/>
                <w:sz w:val="10"/>
                <w:szCs w:val="10"/>
                <w:color w:val="auto"/>
              </w:rPr>
              <w:t>Impaired loans</w:t>
            </w:r>
          </w:p>
        </w:tc>
        <w:tc>
          <w:tcPr>
            <w:tcW w:w="7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6,100,142</w:t>
            </w:r>
          </w:p>
        </w:tc>
        <w:tc>
          <w:tcPr>
            <w:tcW w:w="100" w:type="dxa"/>
            <w:vAlign w:val="bottom"/>
          </w:tcPr>
          <w:p>
            <w:pPr>
              <w:spacing w:after="0"/>
              <w:rPr>
                <w:sz w:val="9"/>
                <w:szCs w:val="9"/>
                <w:color w:val="auto"/>
              </w:rPr>
            </w:pPr>
          </w:p>
        </w:tc>
        <w:tc>
          <w:tcPr>
            <w:tcW w:w="72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1,468,747</w:t>
            </w:r>
          </w:p>
        </w:tc>
        <w:tc>
          <w:tcPr>
            <w:tcW w:w="100" w:type="dxa"/>
            <w:vAlign w:val="bottom"/>
          </w:tcPr>
          <w:p>
            <w:pPr>
              <w:spacing w:after="0"/>
              <w:rPr>
                <w:sz w:val="9"/>
                <w:szCs w:val="9"/>
                <w:color w:val="auto"/>
              </w:rPr>
            </w:pPr>
          </w:p>
        </w:tc>
        <w:tc>
          <w:tcPr>
            <w:tcW w:w="86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1,802,572</w:t>
            </w:r>
          </w:p>
        </w:tc>
        <w:tc>
          <w:tcPr>
            <w:tcW w:w="100" w:type="dxa"/>
            <w:vAlign w:val="bottom"/>
          </w:tcPr>
          <w:p>
            <w:pPr>
              <w:spacing w:after="0"/>
              <w:rPr>
                <w:sz w:val="9"/>
                <w:szCs w:val="9"/>
                <w:color w:val="auto"/>
              </w:rPr>
            </w:pPr>
          </w:p>
        </w:tc>
        <w:tc>
          <w:tcPr>
            <w:tcW w:w="72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1,546,685</w:t>
            </w:r>
          </w:p>
        </w:tc>
        <w:tc>
          <w:tcPr>
            <w:tcW w:w="100" w:type="dxa"/>
            <w:vAlign w:val="bottom"/>
          </w:tcPr>
          <w:p>
            <w:pPr>
              <w:spacing w:after="0"/>
              <w:rPr>
                <w:sz w:val="9"/>
                <w:szCs w:val="9"/>
                <w:color w:val="auto"/>
              </w:rPr>
            </w:pPr>
          </w:p>
        </w:tc>
        <w:tc>
          <w:tcPr>
            <w:tcW w:w="800" w:type="dxa"/>
            <w:vAlign w:val="bottom"/>
          </w:tcPr>
          <w:p>
            <w:pPr>
              <w:jc w:val="right"/>
              <w:ind w:right="71"/>
              <w:spacing w:after="0" w:line="110" w:lineRule="exact"/>
              <w:rPr>
                <w:sz w:val="20"/>
                <w:szCs w:val="20"/>
                <w:color w:val="auto"/>
              </w:rPr>
            </w:pPr>
            <w:r>
              <w:rPr>
                <w:rFonts w:ascii="Arial" w:cs="Arial" w:eastAsia="Arial" w:hAnsi="Arial"/>
                <w:sz w:val="10"/>
                <w:szCs w:val="10"/>
                <w:color w:val="auto"/>
              </w:rPr>
              <w:t>10,918,146</w:t>
            </w:r>
          </w:p>
        </w:tc>
        <w:tc>
          <w:tcPr>
            <w:tcW w:w="100" w:type="dxa"/>
            <w:vAlign w:val="bottom"/>
          </w:tcPr>
          <w:p>
            <w:pPr>
              <w:spacing w:after="0"/>
              <w:rPr>
                <w:sz w:val="9"/>
                <w:szCs w:val="9"/>
                <w:color w:val="auto"/>
              </w:rPr>
            </w:pPr>
          </w:p>
        </w:tc>
        <w:tc>
          <w:tcPr>
            <w:tcW w:w="7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6,439,760</w:t>
            </w:r>
          </w:p>
        </w:tc>
        <w:tc>
          <w:tcPr>
            <w:tcW w:w="120" w:type="dxa"/>
            <w:vAlign w:val="bottom"/>
          </w:tcPr>
          <w:p>
            <w:pPr>
              <w:spacing w:after="0"/>
              <w:rPr>
                <w:sz w:val="9"/>
                <w:szCs w:val="9"/>
                <w:color w:val="auto"/>
              </w:rPr>
            </w:pPr>
          </w:p>
        </w:tc>
        <w:tc>
          <w:tcPr>
            <w:tcW w:w="760" w:type="dxa"/>
            <w:vAlign w:val="bottom"/>
          </w:tcPr>
          <w:p>
            <w:pPr>
              <w:jc w:val="right"/>
              <w:ind w:right="71"/>
              <w:spacing w:after="0" w:line="110" w:lineRule="exact"/>
              <w:rPr>
                <w:sz w:val="20"/>
                <w:szCs w:val="20"/>
                <w:color w:val="auto"/>
              </w:rPr>
            </w:pPr>
            <w:r>
              <w:rPr>
                <w:rFonts w:ascii="Arial" w:cs="Arial" w:eastAsia="Arial" w:hAnsi="Arial"/>
                <w:sz w:val="10"/>
                <w:szCs w:val="10"/>
                <w:color w:val="auto"/>
              </w:rPr>
              <w:t>1,388,060</w:t>
            </w:r>
          </w:p>
        </w:tc>
        <w:tc>
          <w:tcPr>
            <w:tcW w:w="100" w:type="dxa"/>
            <w:vAlign w:val="bottom"/>
          </w:tcPr>
          <w:p>
            <w:pPr>
              <w:spacing w:after="0"/>
              <w:rPr>
                <w:sz w:val="9"/>
                <w:szCs w:val="9"/>
                <w:color w:val="auto"/>
              </w:rPr>
            </w:pPr>
          </w:p>
        </w:tc>
        <w:tc>
          <w:tcPr>
            <w:tcW w:w="920" w:type="dxa"/>
            <w:vAlign w:val="bottom"/>
          </w:tcPr>
          <w:p>
            <w:pPr>
              <w:jc w:val="right"/>
              <w:ind w:right="71"/>
              <w:spacing w:after="0" w:line="110" w:lineRule="exact"/>
              <w:rPr>
                <w:sz w:val="20"/>
                <w:szCs w:val="20"/>
                <w:color w:val="auto"/>
              </w:rPr>
            </w:pPr>
            <w:r>
              <w:rPr>
                <w:rFonts w:ascii="Arial" w:cs="Arial" w:eastAsia="Arial" w:hAnsi="Arial"/>
                <w:sz w:val="10"/>
                <w:szCs w:val="10"/>
                <w:color w:val="auto"/>
              </w:rPr>
              <w:t>1,741,439</w:t>
            </w:r>
          </w:p>
        </w:tc>
        <w:tc>
          <w:tcPr>
            <w:tcW w:w="100" w:type="dxa"/>
            <w:vAlign w:val="bottom"/>
          </w:tcPr>
          <w:p>
            <w:pPr>
              <w:spacing w:after="0"/>
              <w:rPr>
                <w:sz w:val="9"/>
                <w:szCs w:val="9"/>
                <w:color w:val="auto"/>
              </w:rPr>
            </w:pPr>
          </w:p>
        </w:tc>
        <w:tc>
          <w:tcPr>
            <w:tcW w:w="760" w:type="dxa"/>
            <w:vAlign w:val="bottom"/>
          </w:tcPr>
          <w:p>
            <w:pPr>
              <w:jc w:val="right"/>
              <w:ind w:right="71"/>
              <w:spacing w:after="0" w:line="110" w:lineRule="exact"/>
              <w:rPr>
                <w:sz w:val="20"/>
                <w:szCs w:val="20"/>
                <w:color w:val="auto"/>
              </w:rPr>
            </w:pPr>
            <w:r>
              <w:rPr>
                <w:rFonts w:ascii="Arial" w:cs="Arial" w:eastAsia="Arial" w:hAnsi="Arial"/>
                <w:sz w:val="10"/>
                <w:szCs w:val="10"/>
                <w:color w:val="auto"/>
              </w:rPr>
              <w:t>1,099,382</w:t>
            </w:r>
          </w:p>
        </w:tc>
        <w:tc>
          <w:tcPr>
            <w:tcW w:w="100" w:type="dxa"/>
            <w:vAlign w:val="bottom"/>
          </w:tcPr>
          <w:p>
            <w:pPr>
              <w:spacing w:after="0"/>
              <w:rPr>
                <w:sz w:val="9"/>
                <w:szCs w:val="9"/>
                <w:color w:val="auto"/>
              </w:rPr>
            </w:pPr>
          </w:p>
        </w:tc>
        <w:tc>
          <w:tcPr>
            <w:tcW w:w="82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10,668,641</w:t>
            </w:r>
          </w:p>
        </w:tc>
      </w:tr>
      <w:tr>
        <w:trPr>
          <w:trHeight w:val="110"/>
        </w:trPr>
        <w:tc>
          <w:tcPr>
            <w:tcW w:w="1260" w:type="dxa"/>
            <w:vAlign w:val="bottom"/>
          </w:tcPr>
          <w:p>
            <w:pPr>
              <w:spacing w:after="0" w:line="110" w:lineRule="exact"/>
              <w:rPr>
                <w:sz w:val="20"/>
                <w:szCs w:val="20"/>
                <w:color w:val="auto"/>
              </w:rPr>
            </w:pPr>
            <w:r>
              <w:rPr>
                <w:rFonts w:ascii="Arial" w:cs="Arial" w:eastAsia="Arial" w:hAnsi="Arial"/>
                <w:sz w:val="10"/>
                <w:szCs w:val="10"/>
                <w:color w:val="auto"/>
              </w:rPr>
              <w:t>Fair value of collateral</w:t>
            </w:r>
          </w:p>
        </w:tc>
        <w:tc>
          <w:tcPr>
            <w:tcW w:w="7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5,013,453</w:t>
            </w:r>
          </w:p>
        </w:tc>
        <w:tc>
          <w:tcPr>
            <w:tcW w:w="100" w:type="dxa"/>
            <w:vAlign w:val="bottom"/>
          </w:tcPr>
          <w:p>
            <w:pPr>
              <w:spacing w:after="0"/>
              <w:rPr>
                <w:sz w:val="9"/>
                <w:szCs w:val="9"/>
                <w:color w:val="auto"/>
              </w:rPr>
            </w:pPr>
          </w:p>
        </w:tc>
        <w:tc>
          <w:tcPr>
            <w:tcW w:w="72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1,257,251</w:t>
            </w:r>
          </w:p>
        </w:tc>
        <w:tc>
          <w:tcPr>
            <w:tcW w:w="100" w:type="dxa"/>
            <w:vAlign w:val="bottom"/>
          </w:tcPr>
          <w:p>
            <w:pPr>
              <w:spacing w:after="0"/>
              <w:rPr>
                <w:sz w:val="9"/>
                <w:szCs w:val="9"/>
                <w:color w:val="auto"/>
              </w:rPr>
            </w:pPr>
          </w:p>
        </w:tc>
        <w:tc>
          <w:tcPr>
            <w:tcW w:w="860" w:type="dxa"/>
            <w:vAlign w:val="bottom"/>
          </w:tcPr>
          <w:p>
            <w:pPr>
              <w:jc w:val="right"/>
              <w:ind w:right="51"/>
              <w:spacing w:after="0" w:line="110" w:lineRule="exact"/>
              <w:rPr>
                <w:sz w:val="20"/>
                <w:szCs w:val="20"/>
                <w:color w:val="auto"/>
              </w:rPr>
            </w:pPr>
            <w:r>
              <w:rPr>
                <w:rFonts w:ascii="Arial" w:cs="Arial" w:eastAsia="Arial" w:hAnsi="Arial"/>
                <w:sz w:val="10"/>
                <w:szCs w:val="10"/>
                <w:color w:val="auto"/>
              </w:rPr>
              <w:t>347,343</w:t>
            </w:r>
          </w:p>
        </w:tc>
        <w:tc>
          <w:tcPr>
            <w:tcW w:w="100" w:type="dxa"/>
            <w:vAlign w:val="bottom"/>
          </w:tcPr>
          <w:p>
            <w:pPr>
              <w:spacing w:after="0"/>
              <w:rPr>
                <w:sz w:val="9"/>
                <w:szCs w:val="9"/>
                <w:color w:val="auto"/>
              </w:rPr>
            </w:pPr>
          </w:p>
        </w:tc>
        <w:tc>
          <w:tcPr>
            <w:tcW w:w="720" w:type="dxa"/>
            <w:vAlign w:val="bottom"/>
          </w:tcPr>
          <w:p>
            <w:pPr>
              <w:jc w:val="right"/>
              <w:ind w:right="51"/>
              <w:spacing w:after="0" w:line="110" w:lineRule="exact"/>
              <w:rPr>
                <w:sz w:val="20"/>
                <w:szCs w:val="20"/>
                <w:color w:val="auto"/>
              </w:rPr>
            </w:pPr>
            <w:r>
              <w:rPr>
                <w:rFonts w:ascii="Arial" w:cs="Arial" w:eastAsia="Arial" w:hAnsi="Arial"/>
                <w:sz w:val="10"/>
                <w:szCs w:val="10"/>
                <w:color w:val="auto"/>
              </w:rPr>
              <w:t>370,790</w:t>
            </w:r>
          </w:p>
        </w:tc>
        <w:tc>
          <w:tcPr>
            <w:tcW w:w="100" w:type="dxa"/>
            <w:vAlign w:val="bottom"/>
          </w:tcPr>
          <w:p>
            <w:pPr>
              <w:spacing w:after="0"/>
              <w:rPr>
                <w:sz w:val="9"/>
                <w:szCs w:val="9"/>
                <w:color w:val="auto"/>
              </w:rPr>
            </w:pPr>
          </w:p>
        </w:tc>
        <w:tc>
          <w:tcPr>
            <w:tcW w:w="800" w:type="dxa"/>
            <w:vAlign w:val="bottom"/>
          </w:tcPr>
          <w:p>
            <w:pPr>
              <w:jc w:val="right"/>
              <w:ind w:right="71"/>
              <w:spacing w:after="0" w:line="110" w:lineRule="exact"/>
              <w:rPr>
                <w:sz w:val="20"/>
                <w:szCs w:val="20"/>
                <w:color w:val="auto"/>
              </w:rPr>
            </w:pPr>
            <w:r>
              <w:rPr>
                <w:rFonts w:ascii="Arial" w:cs="Arial" w:eastAsia="Arial" w:hAnsi="Arial"/>
                <w:sz w:val="10"/>
                <w:szCs w:val="10"/>
                <w:color w:val="auto"/>
              </w:rPr>
              <w:t>6,988,837</w:t>
            </w:r>
          </w:p>
        </w:tc>
        <w:tc>
          <w:tcPr>
            <w:tcW w:w="100" w:type="dxa"/>
            <w:vAlign w:val="bottom"/>
          </w:tcPr>
          <w:p>
            <w:pPr>
              <w:spacing w:after="0"/>
              <w:rPr>
                <w:sz w:val="9"/>
                <w:szCs w:val="9"/>
                <w:color w:val="auto"/>
              </w:rPr>
            </w:pPr>
          </w:p>
        </w:tc>
        <w:tc>
          <w:tcPr>
            <w:tcW w:w="7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5,646,832</w:t>
            </w:r>
          </w:p>
        </w:tc>
        <w:tc>
          <w:tcPr>
            <w:tcW w:w="120" w:type="dxa"/>
            <w:vAlign w:val="bottom"/>
          </w:tcPr>
          <w:p>
            <w:pPr>
              <w:spacing w:after="0"/>
              <w:rPr>
                <w:sz w:val="9"/>
                <w:szCs w:val="9"/>
                <w:color w:val="auto"/>
              </w:rPr>
            </w:pPr>
          </w:p>
        </w:tc>
        <w:tc>
          <w:tcPr>
            <w:tcW w:w="760" w:type="dxa"/>
            <w:vAlign w:val="bottom"/>
          </w:tcPr>
          <w:p>
            <w:pPr>
              <w:jc w:val="right"/>
              <w:ind w:right="71"/>
              <w:spacing w:after="0" w:line="110" w:lineRule="exact"/>
              <w:rPr>
                <w:sz w:val="20"/>
                <w:szCs w:val="20"/>
                <w:color w:val="auto"/>
              </w:rPr>
            </w:pPr>
            <w:r>
              <w:rPr>
                <w:rFonts w:ascii="Arial" w:cs="Arial" w:eastAsia="Arial" w:hAnsi="Arial"/>
                <w:sz w:val="10"/>
                <w:szCs w:val="10"/>
                <w:color w:val="auto"/>
              </w:rPr>
              <w:t>1,204,144</w:t>
            </w:r>
          </w:p>
        </w:tc>
        <w:tc>
          <w:tcPr>
            <w:tcW w:w="100" w:type="dxa"/>
            <w:vAlign w:val="bottom"/>
          </w:tcPr>
          <w:p>
            <w:pPr>
              <w:spacing w:after="0"/>
              <w:rPr>
                <w:sz w:val="9"/>
                <w:szCs w:val="9"/>
                <w:color w:val="auto"/>
              </w:rPr>
            </w:pPr>
          </w:p>
        </w:tc>
        <w:tc>
          <w:tcPr>
            <w:tcW w:w="920" w:type="dxa"/>
            <w:vAlign w:val="bottom"/>
          </w:tcPr>
          <w:p>
            <w:pPr>
              <w:jc w:val="right"/>
              <w:ind w:right="71"/>
              <w:spacing w:after="0" w:line="110" w:lineRule="exact"/>
              <w:rPr>
                <w:sz w:val="20"/>
                <w:szCs w:val="20"/>
                <w:color w:val="auto"/>
              </w:rPr>
            </w:pPr>
            <w:r>
              <w:rPr>
                <w:rFonts w:ascii="Arial" w:cs="Arial" w:eastAsia="Arial" w:hAnsi="Arial"/>
                <w:sz w:val="10"/>
                <w:szCs w:val="10"/>
                <w:color w:val="auto"/>
              </w:rPr>
              <w:t>440,715</w:t>
            </w:r>
          </w:p>
        </w:tc>
        <w:tc>
          <w:tcPr>
            <w:tcW w:w="100" w:type="dxa"/>
            <w:vAlign w:val="bottom"/>
          </w:tcPr>
          <w:p>
            <w:pPr>
              <w:spacing w:after="0"/>
              <w:rPr>
                <w:sz w:val="9"/>
                <w:szCs w:val="9"/>
                <w:color w:val="auto"/>
              </w:rPr>
            </w:pPr>
          </w:p>
        </w:tc>
        <w:tc>
          <w:tcPr>
            <w:tcW w:w="760" w:type="dxa"/>
            <w:vAlign w:val="bottom"/>
          </w:tcPr>
          <w:p>
            <w:pPr>
              <w:jc w:val="right"/>
              <w:ind w:right="71"/>
              <w:spacing w:after="0" w:line="110" w:lineRule="exact"/>
              <w:rPr>
                <w:sz w:val="20"/>
                <w:szCs w:val="20"/>
                <w:color w:val="auto"/>
              </w:rPr>
            </w:pPr>
            <w:r>
              <w:rPr>
                <w:rFonts w:ascii="Arial" w:cs="Arial" w:eastAsia="Arial" w:hAnsi="Arial"/>
                <w:sz w:val="10"/>
                <w:szCs w:val="10"/>
                <w:color w:val="auto"/>
              </w:rPr>
              <w:t>279,380</w:t>
            </w:r>
          </w:p>
        </w:tc>
        <w:tc>
          <w:tcPr>
            <w:tcW w:w="100" w:type="dxa"/>
            <w:vAlign w:val="bottom"/>
          </w:tcPr>
          <w:p>
            <w:pPr>
              <w:spacing w:after="0"/>
              <w:rPr>
                <w:sz w:val="9"/>
                <w:szCs w:val="9"/>
                <w:color w:val="auto"/>
              </w:rPr>
            </w:pPr>
          </w:p>
        </w:tc>
        <w:tc>
          <w:tcPr>
            <w:tcW w:w="820" w:type="dxa"/>
            <w:vAlign w:val="bottom"/>
          </w:tcPr>
          <w:p>
            <w:pPr>
              <w:jc w:val="right"/>
              <w:ind w:right="51"/>
              <w:spacing w:after="0" w:line="110" w:lineRule="exact"/>
              <w:rPr>
                <w:sz w:val="20"/>
                <w:szCs w:val="20"/>
                <w:color w:val="auto"/>
              </w:rPr>
            </w:pPr>
            <w:r>
              <w:rPr>
                <w:rFonts w:ascii="Arial" w:cs="Arial" w:eastAsia="Arial" w:hAnsi="Arial"/>
                <w:sz w:val="10"/>
                <w:szCs w:val="10"/>
                <w:color w:val="auto"/>
              </w:rPr>
              <w:t>7,571,071</w:t>
            </w:r>
          </w:p>
        </w:tc>
      </w:tr>
      <w:tr>
        <w:trPr>
          <w:trHeight w:val="126"/>
        </w:trPr>
        <w:tc>
          <w:tcPr>
            <w:tcW w:w="1260" w:type="dxa"/>
            <w:vAlign w:val="bottom"/>
          </w:tcPr>
          <w:p>
            <w:pPr>
              <w:spacing w:after="0"/>
              <w:rPr>
                <w:sz w:val="20"/>
                <w:szCs w:val="20"/>
                <w:color w:val="auto"/>
              </w:rPr>
            </w:pPr>
            <w:r>
              <w:rPr>
                <w:rFonts w:ascii="Arial" w:cs="Arial" w:eastAsia="Arial" w:hAnsi="Arial"/>
                <w:sz w:val="10"/>
                <w:szCs w:val="10"/>
                <w:color w:val="auto"/>
              </w:rPr>
              <w:t>Allowance for loan losses</w:t>
            </w:r>
          </w:p>
        </w:tc>
        <w:tc>
          <w:tcPr>
            <w:tcW w:w="740" w:type="dxa"/>
            <w:vAlign w:val="bottom"/>
          </w:tcPr>
          <w:p>
            <w:pPr>
              <w:jc w:val="right"/>
              <w:ind w:right="51"/>
              <w:spacing w:after="0"/>
              <w:rPr>
                <w:sz w:val="20"/>
                <w:szCs w:val="20"/>
                <w:color w:val="auto"/>
              </w:rPr>
            </w:pPr>
            <w:r>
              <w:rPr>
                <w:rFonts w:ascii="Arial" w:cs="Arial" w:eastAsia="Arial" w:hAnsi="Arial"/>
                <w:sz w:val="10"/>
                <w:szCs w:val="10"/>
                <w:color w:val="auto"/>
              </w:rPr>
              <w:t>2,330,978</w:t>
            </w:r>
          </w:p>
        </w:tc>
        <w:tc>
          <w:tcPr>
            <w:tcW w:w="100" w:type="dxa"/>
            <w:vAlign w:val="bottom"/>
          </w:tcPr>
          <w:p>
            <w:pPr>
              <w:spacing w:after="0"/>
              <w:rPr>
                <w:sz w:val="10"/>
                <w:szCs w:val="10"/>
                <w:color w:val="auto"/>
              </w:rPr>
            </w:pP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785,261</w:t>
            </w:r>
          </w:p>
        </w:tc>
        <w:tc>
          <w:tcPr>
            <w:tcW w:w="100" w:type="dxa"/>
            <w:vAlign w:val="bottom"/>
          </w:tcPr>
          <w:p>
            <w:pPr>
              <w:spacing w:after="0"/>
              <w:rPr>
                <w:sz w:val="10"/>
                <w:szCs w:val="10"/>
                <w:color w:val="auto"/>
              </w:rPr>
            </w:pP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1,288,068</w:t>
            </w:r>
          </w:p>
        </w:tc>
        <w:tc>
          <w:tcPr>
            <w:tcW w:w="100" w:type="dxa"/>
            <w:vAlign w:val="bottom"/>
          </w:tcPr>
          <w:p>
            <w:pPr>
              <w:spacing w:after="0"/>
              <w:rPr>
                <w:sz w:val="10"/>
                <w:szCs w:val="10"/>
                <w:color w:val="auto"/>
              </w:rPr>
            </w:pP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1,314,373</w:t>
            </w:r>
          </w:p>
        </w:tc>
        <w:tc>
          <w:tcPr>
            <w:tcW w:w="100" w:type="dxa"/>
            <w:vAlign w:val="bottom"/>
          </w:tcPr>
          <w:p>
            <w:pPr>
              <w:spacing w:after="0"/>
              <w:rPr>
                <w:sz w:val="10"/>
                <w:szCs w:val="10"/>
                <w:color w:val="auto"/>
              </w:rPr>
            </w:pPr>
          </w:p>
        </w:tc>
        <w:tc>
          <w:tcPr>
            <w:tcW w:w="800" w:type="dxa"/>
            <w:vAlign w:val="bottom"/>
          </w:tcPr>
          <w:p>
            <w:pPr>
              <w:jc w:val="right"/>
              <w:ind w:right="71"/>
              <w:spacing w:after="0"/>
              <w:rPr>
                <w:sz w:val="20"/>
                <w:szCs w:val="20"/>
                <w:color w:val="auto"/>
              </w:rPr>
            </w:pPr>
            <w:r>
              <w:rPr>
                <w:rFonts w:ascii="Arial" w:cs="Arial" w:eastAsia="Arial" w:hAnsi="Arial"/>
                <w:sz w:val="10"/>
                <w:szCs w:val="10"/>
                <w:color w:val="auto"/>
              </w:rPr>
              <w:t>5,718,680</w:t>
            </w:r>
          </w:p>
        </w:tc>
        <w:tc>
          <w:tcPr>
            <w:tcW w:w="100" w:type="dxa"/>
            <w:vAlign w:val="bottom"/>
          </w:tcPr>
          <w:p>
            <w:pPr>
              <w:spacing w:after="0"/>
              <w:rPr>
                <w:sz w:val="10"/>
                <w:szCs w:val="10"/>
                <w:color w:val="auto"/>
              </w:rPr>
            </w:pPr>
          </w:p>
        </w:tc>
        <w:tc>
          <w:tcPr>
            <w:tcW w:w="780" w:type="dxa"/>
            <w:vAlign w:val="bottom"/>
          </w:tcPr>
          <w:p>
            <w:pPr>
              <w:jc w:val="right"/>
              <w:ind w:right="51"/>
              <w:spacing w:after="0"/>
              <w:rPr>
                <w:sz w:val="20"/>
                <w:szCs w:val="20"/>
                <w:color w:val="auto"/>
              </w:rPr>
            </w:pPr>
            <w:r>
              <w:rPr>
                <w:rFonts w:ascii="Arial" w:cs="Arial" w:eastAsia="Arial" w:hAnsi="Arial"/>
                <w:sz w:val="10"/>
                <w:szCs w:val="10"/>
                <w:color w:val="auto"/>
              </w:rPr>
              <w:t>2,260,569</w:t>
            </w:r>
          </w:p>
        </w:tc>
        <w:tc>
          <w:tcPr>
            <w:tcW w:w="120" w:type="dxa"/>
            <w:vAlign w:val="bottom"/>
          </w:tcPr>
          <w:p>
            <w:pPr>
              <w:spacing w:after="0"/>
              <w:rPr>
                <w:sz w:val="10"/>
                <w:szCs w:val="10"/>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757,778</w:t>
            </w:r>
          </w:p>
        </w:tc>
        <w:tc>
          <w:tcPr>
            <w:tcW w:w="100" w:type="dxa"/>
            <w:vAlign w:val="bottom"/>
          </w:tcPr>
          <w:p>
            <w:pPr>
              <w:spacing w:after="0"/>
              <w:rPr>
                <w:sz w:val="10"/>
                <w:szCs w:val="10"/>
                <w:color w:val="auto"/>
              </w:rPr>
            </w:pPr>
          </w:p>
        </w:tc>
        <w:tc>
          <w:tcPr>
            <w:tcW w:w="920" w:type="dxa"/>
            <w:vAlign w:val="bottom"/>
          </w:tcPr>
          <w:p>
            <w:pPr>
              <w:jc w:val="right"/>
              <w:ind w:right="71"/>
              <w:spacing w:after="0"/>
              <w:rPr>
                <w:sz w:val="20"/>
                <w:szCs w:val="20"/>
                <w:color w:val="auto"/>
              </w:rPr>
            </w:pPr>
            <w:r>
              <w:rPr>
                <w:rFonts w:ascii="Arial" w:cs="Arial" w:eastAsia="Arial" w:hAnsi="Arial"/>
                <w:sz w:val="10"/>
                <w:szCs w:val="10"/>
                <w:color w:val="auto"/>
              </w:rPr>
              <w:t>1,113,145</w:t>
            </w:r>
          </w:p>
        </w:tc>
        <w:tc>
          <w:tcPr>
            <w:tcW w:w="100" w:type="dxa"/>
            <w:vAlign w:val="bottom"/>
          </w:tcPr>
          <w:p>
            <w:pPr>
              <w:spacing w:after="0"/>
              <w:rPr>
                <w:sz w:val="10"/>
                <w:szCs w:val="10"/>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940,872</w:t>
            </w:r>
          </w:p>
        </w:tc>
        <w:tc>
          <w:tcPr>
            <w:tcW w:w="100" w:type="dxa"/>
            <w:vAlign w:val="bottom"/>
          </w:tcPr>
          <w:p>
            <w:pPr>
              <w:spacing w:after="0"/>
              <w:rPr>
                <w:sz w:val="10"/>
                <w:szCs w:val="10"/>
                <w:color w:val="auto"/>
              </w:rPr>
            </w:pP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5,072,364</w:t>
            </w:r>
          </w:p>
        </w:tc>
      </w:tr>
    </w:tbl>
    <w:p>
      <w:pPr>
        <w:spacing w:after="0" w:line="161" w:lineRule="exact"/>
        <w:rPr>
          <w:sz w:val="20"/>
          <w:szCs w:val="20"/>
          <w:color w:val="auto"/>
        </w:rPr>
      </w:pPr>
    </w:p>
    <w:p>
      <w:pPr>
        <w:ind w:left="3"/>
        <w:spacing w:after="0"/>
        <w:rPr>
          <w:sz w:val="20"/>
          <w:szCs w:val="20"/>
          <w:color w:val="auto"/>
        </w:rPr>
      </w:pPr>
      <w:r>
        <w:rPr>
          <w:rFonts w:ascii="Arial" w:cs="Arial" w:eastAsia="Arial" w:hAnsi="Arial"/>
          <w:sz w:val="16"/>
          <w:szCs w:val="16"/>
          <w:color w:val="auto"/>
        </w:rPr>
        <w:t>On the other hand, the breakdown of direct loans classified by maturity is shown below, according to the following criteria:</w:t>
      </w:r>
    </w:p>
    <w:p>
      <w:pPr>
        <w:spacing w:after="0" w:line="183" w:lineRule="exact"/>
        <w:rPr>
          <w:sz w:val="20"/>
          <w:szCs w:val="20"/>
          <w:color w:val="auto"/>
        </w:rPr>
      </w:pPr>
    </w:p>
    <w:p>
      <w:pPr>
        <w:ind w:left="303" w:right="100" w:hanging="303"/>
        <w:spacing w:after="0" w:line="249" w:lineRule="auto"/>
        <w:tabs>
          <w:tab w:leader="none" w:pos="30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Current loans, which comprise those direct loans which do not currently have characteristics of delinquency, nor are they in default or stage 3, according to the rules of IFRS 9.</w:t>
      </w:r>
    </w:p>
    <w:p>
      <w:pPr>
        <w:ind w:left="303" w:right="160" w:hanging="303"/>
        <w:spacing w:after="0" w:line="239" w:lineRule="auto"/>
        <w:tabs>
          <w:tab w:leader="none" w:pos="30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Current but impaired loans, which comprise those direct loans which do not currently have characteristics of delinquency, but are in default or stage 3, according to IFRS 9.</w:t>
      </w:r>
    </w:p>
    <w:p>
      <w:pPr>
        <w:ind w:left="303" w:right="100" w:hanging="303"/>
        <w:spacing w:after="0" w:line="239" w:lineRule="auto"/>
        <w:tabs>
          <w:tab w:leader="none" w:pos="30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Loans with payment delay of one day or more but that are not past due according to our internal guidelines, which comprise those direct loans of customers who have failed to make a payment at its contractual maturity, that is, with at least one day past due. However, the days of delinquency are insufficient to be considered as past due under the Group’s internal criteria.</w:t>
      </w:r>
    </w:p>
    <w:p>
      <w:pPr>
        <w:ind w:left="303" w:hanging="303"/>
        <w:spacing w:after="0"/>
        <w:tabs>
          <w:tab w:leader="none" w:pos="30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Past due loans under internal criteria.</w:t>
      </w:r>
    </w:p>
    <w:p>
      <w:pPr>
        <w:spacing w:after="0" w:line="325" w:lineRule="exact"/>
        <w:rPr>
          <w:sz w:val="20"/>
          <w:szCs w:val="20"/>
          <w:color w:val="auto"/>
        </w:rPr>
      </w:pPr>
    </w:p>
    <w:p>
      <w:pPr>
        <w:ind w:left="4583"/>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403"/>
          </w:cols>
          <w:pgMar w:left="1197" w:top="306" w:right="299" w:bottom="1440" w:gutter="0" w:footer="0" w:header="0"/>
        </w:sectPr>
      </w:pPr>
    </w:p>
    <w:bookmarkStart w:id="153" w:name="page154"/>
    <w:bookmarkEnd w:id="153"/>
    <w:p>
      <w:pPr>
        <w:ind w:right="460"/>
        <w:spacing w:after="0" w:line="280" w:lineRule="auto"/>
        <w:rPr>
          <w:sz w:val="20"/>
          <w:szCs w:val="20"/>
          <w:color w:val="auto"/>
        </w:rPr>
      </w:pPr>
      <w:r>
        <w:rPr>
          <w:rFonts w:ascii="Arial" w:cs="Arial" w:eastAsia="Arial" w:hAnsi="Arial"/>
          <w:sz w:val="16"/>
          <w:szCs w:val="16"/>
          <w:color w:val="auto"/>
        </w:rPr>
        <w:t>The total of the following reflects all overdue loans according to IFRS 7: (i) loans with payment delays of one day or more but that are not considered overdue under internal criteria and (ii) overdue loans under internal criteria.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900" w:type="dxa"/>
            <w:vAlign w:val="bottom"/>
          </w:tcPr>
          <w:p>
            <w:pPr>
              <w:spacing w:after="0"/>
              <w:rPr>
                <w:sz w:val="10"/>
                <w:szCs w:val="10"/>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2022</w:t>
            </w:r>
          </w:p>
        </w:tc>
        <w:tc>
          <w:tcPr>
            <w:tcW w:w="6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ind w:left="100"/>
              <w:spacing w:after="0" w:line="90" w:lineRule="exact"/>
              <w:rPr>
                <w:sz w:val="20"/>
                <w:szCs w:val="20"/>
                <w:color w:val="auto"/>
              </w:rPr>
            </w:pPr>
            <w:r>
              <w:rPr>
                <w:rFonts w:ascii="Arial" w:cs="Arial" w:eastAsia="Arial" w:hAnsi="Arial"/>
                <w:sz w:val="10"/>
                <w:szCs w:val="10"/>
                <w:b w:val="1"/>
                <w:bCs w:val="1"/>
                <w:color w:val="auto"/>
              </w:rPr>
              <w:t>Loans with delays</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in</w:t>
            </w: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Loans with delays in</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payments of one</w:t>
            </w: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Current</w:t>
            </w:r>
          </w:p>
        </w:tc>
        <w:tc>
          <w:tcPr>
            <w:tcW w:w="126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payments of one day</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Total past</w:t>
            </w:r>
          </w:p>
        </w:tc>
        <w:tc>
          <w:tcPr>
            <w:tcW w:w="700" w:type="dxa"/>
            <w:vAlign w:val="bottom"/>
          </w:tcPr>
          <w:p>
            <w:pPr>
              <w:spacing w:after="0"/>
              <w:rPr>
                <w:sz w:val="9"/>
                <w:szCs w:val="9"/>
                <w:color w:val="auto"/>
              </w:rPr>
            </w:pPr>
          </w:p>
        </w:tc>
        <w:tc>
          <w:tcPr>
            <w:tcW w:w="680" w:type="dxa"/>
            <w:vAlign w:val="bottom"/>
          </w:tcPr>
          <w:p>
            <w:pPr>
              <w:ind w:left="80"/>
              <w:spacing w:after="0" w:line="110" w:lineRule="exact"/>
              <w:rPr>
                <w:sz w:val="20"/>
                <w:szCs w:val="20"/>
                <w:color w:val="auto"/>
              </w:rPr>
            </w:pPr>
            <w:r>
              <w:rPr>
                <w:rFonts w:ascii="Arial" w:cs="Arial" w:eastAsia="Arial" w:hAnsi="Arial"/>
                <w:sz w:val="10"/>
                <w:szCs w:val="10"/>
                <w:b w:val="1"/>
                <w:bCs w:val="1"/>
                <w:color w:val="auto"/>
              </w:rPr>
              <w:t>Current</w:t>
            </w:r>
          </w:p>
        </w:tc>
        <w:tc>
          <w:tcPr>
            <w:tcW w:w="10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day or more but</w:t>
            </w: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but</w:t>
            </w:r>
          </w:p>
        </w:tc>
        <w:tc>
          <w:tcPr>
            <w:tcW w:w="126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or more but not</w:t>
            </w:r>
          </w:p>
        </w:tc>
        <w:tc>
          <w:tcPr>
            <w:tcW w:w="6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Internal</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due</w:t>
            </w:r>
          </w:p>
        </w:tc>
        <w:tc>
          <w:tcPr>
            <w:tcW w:w="700" w:type="dxa"/>
            <w:vAlign w:val="bottom"/>
          </w:tcPr>
          <w:p>
            <w:pPr>
              <w:spacing w:after="0"/>
              <w:rPr>
                <w:sz w:val="9"/>
                <w:szCs w:val="9"/>
                <w:color w:val="auto"/>
              </w:rPr>
            </w:pPr>
          </w:p>
        </w:tc>
        <w:tc>
          <w:tcPr>
            <w:tcW w:w="680" w:type="dxa"/>
            <w:vAlign w:val="bottom"/>
          </w:tcPr>
          <w:p>
            <w:pPr>
              <w:ind w:left="80"/>
              <w:spacing w:after="0" w:line="110" w:lineRule="exact"/>
              <w:rPr>
                <w:sz w:val="20"/>
                <w:szCs w:val="20"/>
                <w:color w:val="auto"/>
              </w:rPr>
            </w:pPr>
            <w:r>
              <w:rPr>
                <w:rFonts w:ascii="Arial" w:cs="Arial" w:eastAsia="Arial" w:hAnsi="Arial"/>
                <w:sz w:val="10"/>
                <w:szCs w:val="10"/>
                <w:b w:val="1"/>
                <w:bCs w:val="1"/>
                <w:color w:val="auto"/>
              </w:rPr>
              <w:t>but</w:t>
            </w:r>
          </w:p>
        </w:tc>
        <w:tc>
          <w:tcPr>
            <w:tcW w:w="10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not considered</w:t>
            </w:r>
          </w:p>
        </w:tc>
        <w:tc>
          <w:tcPr>
            <w:tcW w:w="6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Internal</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Total past</w:t>
            </w:r>
          </w:p>
        </w:tc>
        <w:tc>
          <w:tcPr>
            <w:tcW w:w="0" w:type="dxa"/>
            <w:vAlign w:val="bottom"/>
          </w:tcPr>
          <w:p>
            <w:pPr>
              <w:spacing w:after="0"/>
              <w:rPr>
                <w:sz w:val="1"/>
                <w:szCs w:val="1"/>
                <w:color w:val="auto"/>
              </w:rPr>
            </w:pPr>
          </w:p>
        </w:tc>
      </w:tr>
      <w:tr>
        <w:trPr>
          <w:trHeight w:val="110"/>
        </w:trPr>
        <w:tc>
          <w:tcPr>
            <w:tcW w:w="90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Current</w:t>
            </w:r>
          </w:p>
        </w:tc>
        <w:tc>
          <w:tcPr>
            <w:tcW w:w="7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impaired</w:t>
            </w:r>
          </w:p>
        </w:tc>
        <w:tc>
          <w:tcPr>
            <w:tcW w:w="126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considered internal</w:t>
            </w:r>
          </w:p>
        </w:tc>
        <w:tc>
          <w:tcPr>
            <w:tcW w:w="6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overdue</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under</w:t>
            </w:r>
          </w:p>
        </w:tc>
        <w:tc>
          <w:tcPr>
            <w:tcW w:w="7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Current</w:t>
            </w:r>
          </w:p>
        </w:tc>
        <w:tc>
          <w:tcPr>
            <w:tcW w:w="680" w:type="dxa"/>
            <w:vAlign w:val="bottom"/>
          </w:tcPr>
          <w:p>
            <w:pPr>
              <w:ind w:left="80"/>
              <w:spacing w:after="0" w:line="110" w:lineRule="exact"/>
              <w:rPr>
                <w:sz w:val="20"/>
                <w:szCs w:val="20"/>
                <w:color w:val="auto"/>
              </w:rPr>
            </w:pPr>
            <w:r>
              <w:rPr>
                <w:rFonts w:ascii="Arial" w:cs="Arial" w:eastAsia="Arial" w:hAnsi="Arial"/>
                <w:sz w:val="10"/>
                <w:szCs w:val="10"/>
                <w:b w:val="1"/>
                <w:bCs w:val="1"/>
                <w:color w:val="auto"/>
              </w:rPr>
              <w:t>impaired</w:t>
            </w:r>
          </w:p>
        </w:tc>
        <w:tc>
          <w:tcPr>
            <w:tcW w:w="10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internal overdue</w:t>
            </w:r>
          </w:p>
        </w:tc>
        <w:tc>
          <w:tcPr>
            <w:tcW w:w="6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overdue</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due under</w:t>
            </w:r>
          </w:p>
        </w:tc>
        <w:tc>
          <w:tcPr>
            <w:tcW w:w="0" w:type="dxa"/>
            <w:vAlign w:val="bottom"/>
          </w:tcPr>
          <w:p>
            <w:pPr>
              <w:spacing w:after="0"/>
              <w:rPr>
                <w:sz w:val="1"/>
                <w:szCs w:val="1"/>
                <w:color w:val="auto"/>
              </w:rPr>
            </w:pPr>
          </w:p>
        </w:tc>
      </w:tr>
      <w:tr>
        <w:trPr>
          <w:trHeight w:val="123"/>
        </w:trPr>
        <w:tc>
          <w:tcPr>
            <w:tcW w:w="90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0"/>
                <w:szCs w:val="10"/>
                <w:b w:val="1"/>
                <w:bCs w:val="1"/>
                <w:color w:val="auto"/>
              </w:rPr>
              <w:t>loans</w:t>
            </w: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loans</w:t>
            </w:r>
          </w:p>
        </w:tc>
        <w:tc>
          <w:tcPr>
            <w:tcW w:w="1260" w:type="dxa"/>
            <w:vAlign w:val="bottom"/>
            <w:gridSpan w:val="2"/>
          </w:tcPr>
          <w:p>
            <w:pPr>
              <w:ind w:left="40"/>
              <w:spacing w:after="0"/>
              <w:rPr>
                <w:sz w:val="20"/>
                <w:szCs w:val="20"/>
                <w:color w:val="auto"/>
              </w:rPr>
            </w:pPr>
            <w:r>
              <w:rPr>
                <w:rFonts w:ascii="Arial" w:cs="Arial" w:eastAsia="Arial" w:hAnsi="Arial"/>
                <w:sz w:val="10"/>
                <w:szCs w:val="10"/>
                <w:b w:val="1"/>
                <w:bCs w:val="1"/>
                <w:color w:val="auto"/>
              </w:rPr>
              <w:t>overdue loans</w:t>
            </w:r>
          </w:p>
        </w:tc>
        <w:tc>
          <w:tcPr>
            <w:tcW w:w="640" w:type="dxa"/>
            <w:vAlign w:val="bottom"/>
            <w:gridSpan w:val="2"/>
          </w:tcPr>
          <w:p>
            <w:pPr>
              <w:ind w:left="60"/>
              <w:spacing w:after="0"/>
              <w:rPr>
                <w:sz w:val="20"/>
                <w:szCs w:val="20"/>
                <w:color w:val="auto"/>
              </w:rPr>
            </w:pPr>
            <w:r>
              <w:rPr>
                <w:rFonts w:ascii="Arial" w:cs="Arial" w:eastAsia="Arial" w:hAnsi="Arial"/>
                <w:sz w:val="10"/>
                <w:szCs w:val="10"/>
                <w:b w:val="1"/>
                <w:bCs w:val="1"/>
                <w:color w:val="auto"/>
              </w:rPr>
              <w:t>loans</w:t>
            </w:r>
          </w:p>
        </w:tc>
        <w:tc>
          <w:tcPr>
            <w:tcW w:w="740" w:type="dxa"/>
            <w:vAlign w:val="bottom"/>
            <w:gridSpan w:val="2"/>
          </w:tcPr>
          <w:p>
            <w:pPr>
              <w:ind w:left="40"/>
              <w:spacing w:after="0"/>
              <w:rPr>
                <w:sz w:val="20"/>
                <w:szCs w:val="20"/>
                <w:color w:val="auto"/>
              </w:rPr>
            </w:pPr>
            <w:r>
              <w:rPr>
                <w:rFonts w:ascii="Arial" w:cs="Arial" w:eastAsia="Arial" w:hAnsi="Arial"/>
                <w:sz w:val="10"/>
                <w:szCs w:val="10"/>
                <w:b w:val="1"/>
                <w:bCs w:val="1"/>
                <w:color w:val="auto"/>
              </w:rPr>
              <w:t>Total</w:t>
            </w: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IFRS 7</w:t>
            </w:r>
          </w:p>
        </w:tc>
        <w:tc>
          <w:tcPr>
            <w:tcW w:w="700" w:type="dxa"/>
            <w:vAlign w:val="bottom"/>
          </w:tcPr>
          <w:p>
            <w:pPr>
              <w:ind w:left="40"/>
              <w:spacing w:after="0"/>
              <w:rPr>
                <w:sz w:val="20"/>
                <w:szCs w:val="20"/>
                <w:color w:val="auto"/>
              </w:rPr>
            </w:pPr>
            <w:r>
              <w:rPr>
                <w:rFonts w:ascii="Arial" w:cs="Arial" w:eastAsia="Arial" w:hAnsi="Arial"/>
                <w:sz w:val="10"/>
                <w:szCs w:val="10"/>
                <w:b w:val="1"/>
                <w:bCs w:val="1"/>
                <w:color w:val="auto"/>
              </w:rPr>
              <w:t>loans</w:t>
            </w:r>
          </w:p>
        </w:tc>
        <w:tc>
          <w:tcPr>
            <w:tcW w:w="680" w:type="dxa"/>
            <w:vAlign w:val="bottom"/>
          </w:tcPr>
          <w:p>
            <w:pPr>
              <w:ind w:left="80"/>
              <w:spacing w:after="0"/>
              <w:rPr>
                <w:sz w:val="20"/>
                <w:szCs w:val="20"/>
                <w:color w:val="auto"/>
              </w:rPr>
            </w:pPr>
            <w:r>
              <w:rPr>
                <w:rFonts w:ascii="Arial" w:cs="Arial" w:eastAsia="Arial" w:hAnsi="Arial"/>
                <w:sz w:val="10"/>
                <w:szCs w:val="10"/>
                <w:b w:val="1"/>
                <w:bCs w:val="1"/>
                <w:color w:val="auto"/>
              </w:rPr>
              <w:t>loans</w:t>
            </w:r>
          </w:p>
        </w:tc>
        <w:tc>
          <w:tcPr>
            <w:tcW w:w="1040" w:type="dxa"/>
            <w:vAlign w:val="bottom"/>
          </w:tcPr>
          <w:p>
            <w:pPr>
              <w:ind w:left="100"/>
              <w:spacing w:after="0"/>
              <w:rPr>
                <w:sz w:val="20"/>
                <w:szCs w:val="20"/>
                <w:color w:val="auto"/>
              </w:rPr>
            </w:pPr>
            <w:r>
              <w:rPr>
                <w:rFonts w:ascii="Arial" w:cs="Arial" w:eastAsia="Arial" w:hAnsi="Arial"/>
                <w:sz w:val="10"/>
                <w:szCs w:val="10"/>
                <w:b w:val="1"/>
                <w:bCs w:val="1"/>
                <w:color w:val="auto"/>
              </w:rPr>
              <w:t>loans</w:t>
            </w:r>
          </w:p>
        </w:tc>
        <w:tc>
          <w:tcPr>
            <w:tcW w:w="640" w:type="dxa"/>
            <w:vAlign w:val="bottom"/>
          </w:tcPr>
          <w:p>
            <w:pPr>
              <w:ind w:left="100"/>
              <w:spacing w:after="0"/>
              <w:rPr>
                <w:sz w:val="20"/>
                <w:szCs w:val="20"/>
                <w:color w:val="auto"/>
              </w:rPr>
            </w:pPr>
            <w:r>
              <w:rPr>
                <w:rFonts w:ascii="Arial" w:cs="Arial" w:eastAsia="Arial" w:hAnsi="Arial"/>
                <w:sz w:val="10"/>
                <w:szCs w:val="10"/>
                <w:b w:val="1"/>
                <w:bCs w:val="1"/>
                <w:color w:val="auto"/>
              </w:rPr>
              <w:t>loans</w:t>
            </w: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Total</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IFRS 7</w:t>
            </w:r>
          </w:p>
        </w:tc>
        <w:tc>
          <w:tcPr>
            <w:tcW w:w="0" w:type="dxa"/>
            <w:vAlign w:val="bottom"/>
          </w:tcPr>
          <w:p>
            <w:pPr>
              <w:spacing w:after="0"/>
              <w:rPr>
                <w:sz w:val="1"/>
                <w:szCs w:val="1"/>
                <w:color w:val="auto"/>
              </w:rPr>
            </w:pPr>
          </w:p>
        </w:tc>
      </w:tr>
      <w:tr>
        <w:trPr>
          <w:trHeight w:val="127"/>
        </w:trPr>
        <w:tc>
          <w:tcPr>
            <w:tcW w:w="900" w:type="dxa"/>
            <w:vAlign w:val="bottom"/>
            <w:vMerge w:val="restart"/>
          </w:tcPr>
          <w:p>
            <w:pPr>
              <w:spacing w:after="0"/>
              <w:rPr>
                <w:sz w:val="20"/>
                <w:szCs w:val="20"/>
                <w:color w:val="auto"/>
              </w:rPr>
            </w:pPr>
            <w:r>
              <w:rPr>
                <w:rFonts w:ascii="Arial" w:cs="Arial" w:eastAsia="Arial" w:hAnsi="Arial"/>
                <w:sz w:val="10"/>
                <w:szCs w:val="10"/>
                <w:color w:val="auto"/>
              </w:rPr>
              <w:t>Neither past due</w:t>
            </w: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1"/>
                <w:szCs w:val="11"/>
                <w:color w:val="auto"/>
              </w:rPr>
            </w:pPr>
          </w:p>
        </w:tc>
        <w:tc>
          <w:tcPr>
            <w:tcW w:w="60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1"/>
                <w:szCs w:val="11"/>
                <w:color w:val="auto"/>
              </w:rPr>
            </w:pPr>
          </w:p>
        </w:tc>
        <w:tc>
          <w:tcPr>
            <w:tcW w:w="1160" w:type="dxa"/>
            <w:vAlign w:val="bottom"/>
            <w:tcBorders>
              <w:top w:val="single" w:sz="8" w:color="auto"/>
            </w:tcBorders>
          </w:tcPr>
          <w:p>
            <w:pPr>
              <w:ind w:left="40"/>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1"/>
                <w:szCs w:val="11"/>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1"/>
                <w:szCs w:val="11"/>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1"/>
                <w:szCs w:val="11"/>
                <w:color w:val="auto"/>
              </w:rPr>
            </w:pPr>
          </w:p>
        </w:tc>
        <w:tc>
          <w:tcPr>
            <w:tcW w:w="58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1"/>
                <w:szCs w:val="11"/>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0"/>
                <w:szCs w:val="10"/>
                <w:b w:val="1"/>
                <w:bCs w:val="1"/>
                <w:color w:val="auto"/>
              </w:rPr>
              <w:t>S/(000)</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S/(000)</w:t>
            </w:r>
          </w:p>
        </w:tc>
        <w:tc>
          <w:tcPr>
            <w:tcW w:w="104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64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S/(000)</w:t>
            </w:r>
          </w:p>
        </w:tc>
        <w:tc>
          <w:tcPr>
            <w:tcW w:w="80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S/(000)</w:t>
            </w: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0"/>
                <w:szCs w:val="10"/>
                <w:b w:val="1"/>
                <w:bCs w:val="1"/>
                <w:color w:val="auto"/>
              </w:rPr>
              <w:t>S/(000)</w:t>
            </w:r>
          </w:p>
        </w:tc>
        <w:tc>
          <w:tcPr>
            <w:tcW w:w="0" w:type="dxa"/>
            <w:vAlign w:val="bottom"/>
          </w:tcPr>
          <w:p>
            <w:pPr>
              <w:spacing w:after="0"/>
              <w:rPr>
                <w:sz w:val="1"/>
                <w:szCs w:val="1"/>
                <w:color w:val="auto"/>
              </w:rPr>
            </w:pPr>
          </w:p>
        </w:tc>
      </w:tr>
      <w:tr>
        <w:trPr>
          <w:trHeight w:val="75"/>
        </w:trPr>
        <w:tc>
          <w:tcPr>
            <w:tcW w:w="9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900" w:type="dxa"/>
            <w:vAlign w:val="bottom"/>
          </w:tcPr>
          <w:p>
            <w:pPr>
              <w:ind w:left="140"/>
              <w:spacing w:after="0" w:line="110" w:lineRule="exact"/>
              <w:rPr>
                <w:sz w:val="20"/>
                <w:szCs w:val="20"/>
                <w:color w:val="auto"/>
              </w:rPr>
            </w:pPr>
            <w:r>
              <w:rPr>
                <w:rFonts w:ascii="Arial" w:cs="Arial" w:eastAsia="Arial" w:hAnsi="Arial"/>
                <w:sz w:val="10"/>
                <w:szCs w:val="10"/>
                <w:color w:val="auto"/>
              </w:rPr>
              <w:t>nor impaired</w:t>
            </w:r>
          </w:p>
        </w:tc>
        <w:tc>
          <w:tcPr>
            <w:tcW w:w="640" w:type="dxa"/>
            <w:vAlign w:val="bottom"/>
          </w:tcPr>
          <w:p>
            <w:pPr>
              <w:jc w:val="right"/>
              <w:spacing w:after="0" w:line="110" w:lineRule="exact"/>
              <w:rPr>
                <w:sz w:val="20"/>
                <w:szCs w:val="20"/>
                <w:color w:val="auto"/>
              </w:rPr>
            </w:pPr>
            <w:r>
              <w:rPr>
                <w:rFonts w:ascii="Arial" w:cs="Arial" w:eastAsia="Arial" w:hAnsi="Arial"/>
                <w:sz w:val="10"/>
                <w:szCs w:val="10"/>
                <w:color w:val="auto"/>
              </w:rPr>
              <w:t>127,986,359</w:t>
            </w:r>
          </w:p>
        </w:tc>
        <w:tc>
          <w:tcPr>
            <w:tcW w:w="100" w:type="dxa"/>
            <w:vAlign w:val="bottom"/>
          </w:tcPr>
          <w:p>
            <w:pPr>
              <w:spacing w:after="0"/>
              <w:rPr>
                <w:sz w:val="9"/>
                <w:szCs w:val="9"/>
                <w:color w:val="auto"/>
              </w:rPr>
            </w:pPr>
          </w:p>
        </w:tc>
        <w:tc>
          <w:tcPr>
            <w:tcW w:w="7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126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0" w:lineRule="exact"/>
              <w:rPr>
                <w:sz w:val="20"/>
                <w:szCs w:val="20"/>
                <w:color w:val="auto"/>
              </w:rPr>
            </w:pPr>
            <w:r>
              <w:rPr>
                <w:rFonts w:ascii="Arial" w:cs="Arial" w:eastAsia="Arial" w:hAnsi="Arial"/>
                <w:sz w:val="10"/>
                <w:szCs w:val="10"/>
                <w:color w:val="auto"/>
              </w:rPr>
              <w:t>127,986,359</w:t>
            </w:r>
          </w:p>
        </w:tc>
        <w:tc>
          <w:tcPr>
            <w:tcW w:w="100" w:type="dxa"/>
            <w:vAlign w:val="bottom"/>
          </w:tcPr>
          <w:p>
            <w:pPr>
              <w:spacing w:after="0"/>
              <w:rPr>
                <w:sz w:val="9"/>
                <w:szCs w:val="9"/>
                <w:color w:val="auto"/>
              </w:rPr>
            </w:pPr>
          </w:p>
        </w:tc>
        <w:tc>
          <w:tcPr>
            <w:tcW w:w="68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132,442,147</w:t>
            </w: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w:t>
            </w:r>
          </w:p>
        </w:tc>
        <w:tc>
          <w:tcPr>
            <w:tcW w:w="10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178</w:t>
            </w:r>
          </w:p>
        </w:tc>
        <w:tc>
          <w:tcPr>
            <w:tcW w:w="70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132,442,325</w:t>
            </w:r>
          </w:p>
        </w:tc>
        <w:tc>
          <w:tcPr>
            <w:tcW w:w="100" w:type="dxa"/>
            <w:vAlign w:val="bottom"/>
          </w:tcPr>
          <w:p>
            <w:pPr>
              <w:spacing w:after="0"/>
              <w:rPr>
                <w:sz w:val="9"/>
                <w:szCs w:val="9"/>
                <w:color w:val="auto"/>
              </w:rPr>
            </w:pPr>
          </w:p>
        </w:tc>
        <w:tc>
          <w:tcPr>
            <w:tcW w:w="60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178</w:t>
            </w:r>
          </w:p>
        </w:tc>
        <w:tc>
          <w:tcPr>
            <w:tcW w:w="0" w:type="dxa"/>
            <w:vAlign w:val="bottom"/>
          </w:tcPr>
          <w:p>
            <w:pPr>
              <w:spacing w:after="0"/>
              <w:rPr>
                <w:sz w:val="1"/>
                <w:szCs w:val="1"/>
                <w:color w:val="auto"/>
              </w:rPr>
            </w:pPr>
          </w:p>
        </w:tc>
      </w:tr>
      <w:tr>
        <w:trPr>
          <w:trHeight w:val="110"/>
        </w:trPr>
        <w:tc>
          <w:tcPr>
            <w:tcW w:w="900" w:type="dxa"/>
            <w:vAlign w:val="bottom"/>
          </w:tcPr>
          <w:p>
            <w:pPr>
              <w:spacing w:after="0" w:line="110" w:lineRule="exact"/>
              <w:rPr>
                <w:sz w:val="20"/>
                <w:szCs w:val="20"/>
                <w:color w:val="auto"/>
              </w:rPr>
            </w:pPr>
            <w:r>
              <w:rPr>
                <w:rFonts w:ascii="Arial" w:cs="Arial" w:eastAsia="Arial" w:hAnsi="Arial"/>
                <w:sz w:val="10"/>
                <w:szCs w:val="10"/>
                <w:color w:val="auto"/>
              </w:rPr>
              <w:t>Past due but not</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00" w:type="dxa"/>
            <w:vAlign w:val="bottom"/>
          </w:tcPr>
          <w:p>
            <w:pPr>
              <w:ind w:left="140"/>
              <w:spacing w:after="0" w:line="110" w:lineRule="exact"/>
              <w:rPr>
                <w:sz w:val="20"/>
                <w:szCs w:val="20"/>
                <w:color w:val="auto"/>
              </w:rPr>
            </w:pPr>
            <w:r>
              <w:rPr>
                <w:rFonts w:ascii="Arial" w:cs="Arial" w:eastAsia="Arial" w:hAnsi="Arial"/>
                <w:sz w:val="10"/>
                <w:szCs w:val="10"/>
                <w:color w:val="auto"/>
              </w:rPr>
              <w:t>impaired</w:t>
            </w:r>
          </w:p>
        </w:tc>
        <w:tc>
          <w:tcPr>
            <w:tcW w:w="740" w:type="dxa"/>
            <w:vAlign w:val="bottom"/>
            <w:gridSpan w:val="2"/>
          </w:tcPr>
          <w:p>
            <w:pPr>
              <w:jc w:val="right"/>
              <w:ind w:right="140"/>
              <w:spacing w:after="0" w:line="110"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1160" w:type="dxa"/>
            <w:vAlign w:val="bottom"/>
          </w:tcPr>
          <w:p>
            <w:pPr>
              <w:jc w:val="right"/>
              <w:spacing w:after="0" w:line="110" w:lineRule="exact"/>
              <w:rPr>
                <w:sz w:val="20"/>
                <w:szCs w:val="20"/>
                <w:color w:val="auto"/>
              </w:rPr>
            </w:pPr>
            <w:r>
              <w:rPr>
                <w:rFonts w:ascii="Arial" w:cs="Arial" w:eastAsia="Arial" w:hAnsi="Arial"/>
                <w:sz w:val="10"/>
                <w:szCs w:val="10"/>
                <w:color w:val="auto"/>
              </w:rPr>
              <w:t>4,067,581</w:t>
            </w:r>
          </w:p>
        </w:tc>
        <w:tc>
          <w:tcPr>
            <w:tcW w:w="100" w:type="dxa"/>
            <w:vAlign w:val="bottom"/>
          </w:tcPr>
          <w:p>
            <w:pPr>
              <w:spacing w:after="0"/>
              <w:rPr>
                <w:sz w:val="9"/>
                <w:szCs w:val="9"/>
                <w:color w:val="auto"/>
              </w:rPr>
            </w:pPr>
          </w:p>
        </w:tc>
        <w:tc>
          <w:tcPr>
            <w:tcW w:w="540" w:type="dxa"/>
            <w:vAlign w:val="bottom"/>
          </w:tcPr>
          <w:p>
            <w:pPr>
              <w:jc w:val="right"/>
              <w:spacing w:after="0" w:line="110" w:lineRule="exact"/>
              <w:rPr>
                <w:sz w:val="20"/>
                <w:szCs w:val="20"/>
                <w:color w:val="auto"/>
              </w:rPr>
            </w:pPr>
            <w:r>
              <w:rPr>
                <w:rFonts w:ascii="Arial" w:cs="Arial" w:eastAsia="Arial" w:hAnsi="Arial"/>
                <w:sz w:val="10"/>
                <w:szCs w:val="10"/>
                <w:color w:val="auto"/>
              </w:rPr>
              <w:t>511,167</w:t>
            </w:r>
          </w:p>
        </w:tc>
        <w:tc>
          <w:tcPr>
            <w:tcW w:w="100" w:type="dxa"/>
            <w:vAlign w:val="bottom"/>
          </w:tcPr>
          <w:p>
            <w:pPr>
              <w:spacing w:after="0"/>
              <w:rPr>
                <w:sz w:val="9"/>
                <w:szCs w:val="9"/>
                <w:color w:val="auto"/>
              </w:rPr>
            </w:pPr>
          </w:p>
        </w:tc>
        <w:tc>
          <w:tcPr>
            <w:tcW w:w="640" w:type="dxa"/>
            <w:vAlign w:val="bottom"/>
          </w:tcPr>
          <w:p>
            <w:pPr>
              <w:jc w:val="right"/>
              <w:spacing w:after="0" w:line="110" w:lineRule="exact"/>
              <w:rPr>
                <w:sz w:val="20"/>
                <w:szCs w:val="20"/>
                <w:color w:val="auto"/>
              </w:rPr>
            </w:pPr>
            <w:r>
              <w:rPr>
                <w:rFonts w:ascii="Arial" w:cs="Arial" w:eastAsia="Arial" w:hAnsi="Arial"/>
                <w:sz w:val="10"/>
                <w:szCs w:val="10"/>
                <w:color w:val="auto"/>
              </w:rPr>
              <w:t>4,578,748</w:t>
            </w:r>
          </w:p>
        </w:tc>
        <w:tc>
          <w:tcPr>
            <w:tcW w:w="10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0"/>
                <w:szCs w:val="10"/>
                <w:color w:val="auto"/>
              </w:rPr>
              <w:t>4,578,747</w:t>
            </w:r>
          </w:p>
        </w:tc>
        <w:tc>
          <w:tcPr>
            <w:tcW w:w="100" w:type="dxa"/>
            <w:vAlign w:val="bottom"/>
          </w:tcPr>
          <w:p>
            <w:pPr>
              <w:spacing w:after="0"/>
              <w:rPr>
                <w:sz w:val="9"/>
                <w:szCs w:val="9"/>
                <w:color w:val="auto"/>
              </w:rPr>
            </w:pPr>
          </w:p>
        </w:tc>
        <w:tc>
          <w:tcPr>
            <w:tcW w:w="700" w:type="dxa"/>
            <w:vAlign w:val="bottom"/>
          </w:tcPr>
          <w:p>
            <w:pPr>
              <w:jc w:val="right"/>
              <w:ind w:right="51"/>
              <w:spacing w:after="0" w:line="110"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51"/>
              <w:spacing w:after="0" w:line="110" w:lineRule="exact"/>
              <w:rPr>
                <w:sz w:val="20"/>
                <w:szCs w:val="20"/>
                <w:color w:val="auto"/>
              </w:rPr>
            </w:pPr>
            <w:r>
              <w:rPr>
                <w:rFonts w:ascii="Arial" w:cs="Arial" w:eastAsia="Arial" w:hAnsi="Arial"/>
                <w:sz w:val="10"/>
                <w:szCs w:val="10"/>
                <w:color w:val="auto"/>
              </w:rPr>
              <w:t>–</w:t>
            </w:r>
          </w:p>
        </w:tc>
        <w:tc>
          <w:tcPr>
            <w:tcW w:w="10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3,504,999</w:t>
            </w:r>
          </w:p>
        </w:tc>
        <w:tc>
          <w:tcPr>
            <w:tcW w:w="640" w:type="dxa"/>
            <w:vAlign w:val="bottom"/>
          </w:tcPr>
          <w:p>
            <w:pPr>
              <w:jc w:val="right"/>
              <w:ind w:right="51"/>
              <w:spacing w:after="0" w:line="110" w:lineRule="exact"/>
              <w:rPr>
                <w:sz w:val="20"/>
                <w:szCs w:val="20"/>
                <w:color w:val="auto"/>
              </w:rPr>
            </w:pPr>
            <w:r>
              <w:rPr>
                <w:rFonts w:ascii="Arial" w:cs="Arial" w:eastAsia="Arial" w:hAnsi="Arial"/>
                <w:sz w:val="10"/>
                <w:szCs w:val="10"/>
                <w:color w:val="auto"/>
              </w:rPr>
              <w:t>574,304</w:t>
            </w:r>
          </w:p>
        </w:tc>
        <w:tc>
          <w:tcPr>
            <w:tcW w:w="700" w:type="dxa"/>
            <w:vAlign w:val="bottom"/>
          </w:tcPr>
          <w:p>
            <w:pPr>
              <w:jc w:val="right"/>
              <w:ind w:right="11"/>
              <w:spacing w:after="0" w:line="110" w:lineRule="exact"/>
              <w:rPr>
                <w:sz w:val="20"/>
                <w:szCs w:val="20"/>
                <w:color w:val="auto"/>
              </w:rPr>
            </w:pPr>
            <w:r>
              <w:rPr>
                <w:rFonts w:ascii="Arial" w:cs="Arial" w:eastAsia="Arial" w:hAnsi="Arial"/>
                <w:sz w:val="10"/>
                <w:szCs w:val="10"/>
                <w:color w:val="auto"/>
              </w:rPr>
              <w:t>4,079,303</w:t>
            </w:r>
          </w:p>
        </w:tc>
        <w:tc>
          <w:tcPr>
            <w:tcW w:w="100" w:type="dxa"/>
            <w:vAlign w:val="bottom"/>
          </w:tcPr>
          <w:p>
            <w:pPr>
              <w:spacing w:after="0"/>
              <w:rPr>
                <w:sz w:val="9"/>
                <w:szCs w:val="9"/>
                <w:color w:val="auto"/>
              </w:rPr>
            </w:pPr>
          </w:p>
        </w:tc>
        <w:tc>
          <w:tcPr>
            <w:tcW w:w="600" w:type="dxa"/>
            <w:vAlign w:val="bottom"/>
          </w:tcPr>
          <w:p>
            <w:pPr>
              <w:jc w:val="right"/>
              <w:ind w:right="11"/>
              <w:spacing w:after="0" w:line="110" w:lineRule="exact"/>
              <w:rPr>
                <w:sz w:val="20"/>
                <w:szCs w:val="20"/>
                <w:color w:val="auto"/>
              </w:rPr>
            </w:pPr>
            <w:r>
              <w:rPr>
                <w:rFonts w:ascii="Arial" w:cs="Arial" w:eastAsia="Arial" w:hAnsi="Arial"/>
                <w:sz w:val="10"/>
                <w:szCs w:val="10"/>
                <w:color w:val="auto"/>
              </w:rPr>
              <w:t>4,079,304</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20"/>
                <w:szCs w:val="20"/>
                <w:color w:val="auto"/>
              </w:rPr>
            </w:pPr>
            <w:r>
              <w:rPr>
                <w:rFonts w:ascii="Arial" w:cs="Arial" w:eastAsia="Arial" w:hAnsi="Arial"/>
                <w:sz w:val="10"/>
                <w:szCs w:val="10"/>
                <w:color w:val="auto"/>
              </w:rPr>
              <w:t>Impaired debt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4,303,046</w:t>
            </w: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993,101</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5,622,000</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10,918,147</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6,615,101</w:t>
            </w:r>
          </w:p>
        </w:tc>
        <w:tc>
          <w:tcPr>
            <w:tcW w:w="100" w:type="dxa"/>
            <w:vAlign w:val="bottom"/>
          </w:tcPr>
          <w:p>
            <w:pPr>
              <w:spacing w:after="0"/>
              <w:rPr>
                <w:sz w:val="11"/>
                <w:szCs w:val="11"/>
                <w:color w:val="auto"/>
              </w:rPr>
            </w:pPr>
          </w:p>
        </w:tc>
        <w:tc>
          <w:tcPr>
            <w:tcW w:w="7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4,461,962</w:t>
            </w:r>
          </w:p>
        </w:tc>
        <w:tc>
          <w:tcPr>
            <w:tcW w:w="1040" w:type="dxa"/>
            <w:vAlign w:val="bottom"/>
          </w:tcPr>
          <w:p>
            <w:pPr>
              <w:jc w:val="right"/>
              <w:ind w:right="51"/>
              <w:spacing w:after="0"/>
              <w:rPr>
                <w:sz w:val="20"/>
                <w:szCs w:val="20"/>
                <w:color w:val="auto"/>
              </w:rPr>
            </w:pPr>
            <w:r>
              <w:rPr>
                <w:rFonts w:ascii="Arial" w:cs="Arial" w:eastAsia="Arial" w:hAnsi="Arial"/>
                <w:sz w:val="10"/>
                <w:szCs w:val="10"/>
                <w:color w:val="auto"/>
              </w:rPr>
              <w:t>827,340</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5,379,339</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10,668,641</w:t>
            </w:r>
          </w:p>
        </w:tc>
        <w:tc>
          <w:tcPr>
            <w:tcW w:w="10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6,206,680</w:t>
            </w:r>
          </w:p>
        </w:tc>
        <w:tc>
          <w:tcPr>
            <w:tcW w:w="0" w:type="dxa"/>
            <w:vAlign w:val="bottom"/>
          </w:tcPr>
          <w:p>
            <w:pPr>
              <w:spacing w:after="0"/>
              <w:rPr>
                <w:sz w:val="1"/>
                <w:szCs w:val="1"/>
                <w:color w:val="auto"/>
              </w:rPr>
            </w:pPr>
          </w:p>
        </w:tc>
      </w:tr>
      <w:tr>
        <w:trPr>
          <w:trHeight w:val="107"/>
        </w:trPr>
        <w:tc>
          <w:tcPr>
            <w:tcW w:w="900" w:type="dxa"/>
            <w:vAlign w:val="bottom"/>
          </w:tcPr>
          <w:p>
            <w:pPr>
              <w:spacing w:after="0" w:line="103" w:lineRule="exact"/>
              <w:rPr>
                <w:sz w:val="20"/>
                <w:szCs w:val="20"/>
                <w:color w:val="auto"/>
              </w:rPr>
            </w:pPr>
            <w:r>
              <w:rPr>
                <w:rFonts w:ascii="Arial" w:cs="Arial" w:eastAsia="Arial" w:hAnsi="Arial"/>
                <w:sz w:val="10"/>
                <w:szCs w:val="10"/>
                <w:b w:val="1"/>
                <w:bCs w:val="1"/>
                <w:color w:val="auto"/>
              </w:rPr>
              <w:t>Total</w:t>
            </w:r>
          </w:p>
        </w:tc>
        <w:tc>
          <w:tcPr>
            <w:tcW w:w="64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127,986,359</w:t>
            </w:r>
          </w:p>
        </w:tc>
        <w:tc>
          <w:tcPr>
            <w:tcW w:w="10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4,303,046</w:t>
            </w:r>
          </w:p>
        </w:tc>
        <w:tc>
          <w:tcPr>
            <w:tcW w:w="100" w:type="dxa"/>
            <w:vAlign w:val="bottom"/>
          </w:tcPr>
          <w:p>
            <w:pPr>
              <w:spacing w:after="0"/>
              <w:rPr>
                <w:sz w:val="9"/>
                <w:szCs w:val="9"/>
                <w:color w:val="auto"/>
              </w:rPr>
            </w:pPr>
          </w:p>
        </w:tc>
        <w:tc>
          <w:tcPr>
            <w:tcW w:w="11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5,060,682</w:t>
            </w:r>
          </w:p>
        </w:tc>
        <w:tc>
          <w:tcPr>
            <w:tcW w:w="10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6,133,167</w:t>
            </w:r>
          </w:p>
        </w:tc>
        <w:tc>
          <w:tcPr>
            <w:tcW w:w="100" w:type="dxa"/>
            <w:vAlign w:val="bottom"/>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143,483,254</w:t>
            </w:r>
          </w:p>
        </w:tc>
        <w:tc>
          <w:tcPr>
            <w:tcW w:w="10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11,193,848</w:t>
            </w:r>
          </w:p>
        </w:tc>
        <w:tc>
          <w:tcPr>
            <w:tcW w:w="100" w:type="dxa"/>
            <w:vAlign w:val="bottom"/>
          </w:tcPr>
          <w:p>
            <w:pPr>
              <w:spacing w:after="0"/>
              <w:rPr>
                <w:sz w:val="9"/>
                <w:szCs w:val="9"/>
                <w:color w:val="auto"/>
              </w:rPr>
            </w:pPr>
          </w:p>
        </w:tc>
        <w:tc>
          <w:tcPr>
            <w:tcW w:w="700" w:type="dxa"/>
            <w:vAlign w:val="bottom"/>
            <w:tcBorders>
              <w:top w:val="single" w:sz="8" w:color="auto"/>
              <w:bottom w:val="single" w:sz="8" w:color="auto"/>
            </w:tcBorders>
          </w:tcPr>
          <w:p>
            <w:pPr>
              <w:jc w:val="right"/>
              <w:ind w:right="51"/>
              <w:spacing w:after="0" w:line="103" w:lineRule="exact"/>
              <w:rPr>
                <w:sz w:val="20"/>
                <w:szCs w:val="20"/>
                <w:color w:val="auto"/>
              </w:rPr>
            </w:pPr>
            <w:r>
              <w:rPr>
                <w:rFonts w:ascii="Arial" w:cs="Arial" w:eastAsia="Arial" w:hAnsi="Arial"/>
                <w:sz w:val="10"/>
                <w:szCs w:val="10"/>
                <w:color w:val="auto"/>
              </w:rPr>
              <w:t>132,442,147</w:t>
            </w:r>
          </w:p>
        </w:tc>
        <w:tc>
          <w:tcPr>
            <w:tcW w:w="680" w:type="dxa"/>
            <w:vAlign w:val="bottom"/>
            <w:tcBorders>
              <w:top w:val="single" w:sz="8" w:color="auto"/>
              <w:bottom w:val="single" w:sz="8" w:color="auto"/>
            </w:tcBorders>
          </w:tcPr>
          <w:p>
            <w:pPr>
              <w:jc w:val="right"/>
              <w:ind w:right="51"/>
              <w:spacing w:after="0" w:line="103" w:lineRule="exact"/>
              <w:rPr>
                <w:sz w:val="20"/>
                <w:szCs w:val="20"/>
                <w:color w:val="auto"/>
              </w:rPr>
            </w:pPr>
            <w:r>
              <w:rPr>
                <w:rFonts w:ascii="Arial" w:cs="Arial" w:eastAsia="Arial" w:hAnsi="Arial"/>
                <w:sz w:val="10"/>
                <w:szCs w:val="10"/>
                <w:color w:val="auto"/>
              </w:rPr>
              <w:t>4,461,962</w:t>
            </w:r>
          </w:p>
        </w:tc>
        <w:tc>
          <w:tcPr>
            <w:tcW w:w="1040" w:type="dxa"/>
            <w:vAlign w:val="bottom"/>
            <w:tcBorders>
              <w:top w:val="single" w:sz="8" w:color="auto"/>
              <w:bottom w:val="single" w:sz="8" w:color="auto"/>
            </w:tcBorders>
          </w:tcPr>
          <w:p>
            <w:pPr>
              <w:jc w:val="right"/>
              <w:ind w:right="51"/>
              <w:spacing w:after="0" w:line="103" w:lineRule="exact"/>
              <w:rPr>
                <w:sz w:val="20"/>
                <w:szCs w:val="20"/>
                <w:color w:val="auto"/>
              </w:rPr>
            </w:pPr>
            <w:r>
              <w:rPr>
                <w:rFonts w:ascii="Arial" w:cs="Arial" w:eastAsia="Arial" w:hAnsi="Arial"/>
                <w:sz w:val="10"/>
                <w:szCs w:val="10"/>
                <w:color w:val="auto"/>
              </w:rPr>
              <w:t>4,332,339</w:t>
            </w:r>
          </w:p>
        </w:tc>
        <w:tc>
          <w:tcPr>
            <w:tcW w:w="640" w:type="dxa"/>
            <w:vAlign w:val="bottom"/>
            <w:tcBorders>
              <w:top w:val="single" w:sz="8" w:color="auto"/>
              <w:bottom w:val="single" w:sz="8" w:color="auto"/>
            </w:tcBorders>
          </w:tcPr>
          <w:p>
            <w:pPr>
              <w:jc w:val="right"/>
              <w:ind w:right="51"/>
              <w:spacing w:after="0" w:line="103" w:lineRule="exact"/>
              <w:rPr>
                <w:sz w:val="20"/>
                <w:szCs w:val="20"/>
                <w:color w:val="auto"/>
              </w:rPr>
            </w:pPr>
            <w:r>
              <w:rPr>
                <w:rFonts w:ascii="Arial" w:cs="Arial" w:eastAsia="Arial" w:hAnsi="Arial"/>
                <w:sz w:val="10"/>
                <w:szCs w:val="10"/>
                <w:color w:val="auto"/>
              </w:rPr>
              <w:t>5,953,821</w:t>
            </w:r>
          </w:p>
        </w:tc>
        <w:tc>
          <w:tcPr>
            <w:tcW w:w="700" w:type="dxa"/>
            <w:vAlign w:val="bottom"/>
            <w:tcBorders>
              <w:top w:val="single" w:sz="8" w:color="auto"/>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147,190,269</w:t>
            </w:r>
          </w:p>
        </w:tc>
        <w:tc>
          <w:tcPr>
            <w:tcW w:w="100" w:type="dxa"/>
            <w:vAlign w:val="bottom"/>
            <w:tcBorders>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10,286,161</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classification of direct loans by type of loan and type of maturity is shown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440" w:type="dxa"/>
            <w:vAlign w:val="bottom"/>
          </w:tcPr>
          <w:p>
            <w:pPr>
              <w:spacing w:after="0"/>
              <w:rPr>
                <w:sz w:val="10"/>
                <w:szCs w:val="10"/>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2023</w:t>
            </w: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r>
      <w:tr>
        <w:trPr>
          <w:trHeight w:val="89"/>
        </w:trPr>
        <w:tc>
          <w:tcPr>
            <w:tcW w:w="1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tcPr>
          <w:p>
            <w:pPr>
              <w:ind w:left="40"/>
              <w:spacing w:after="0" w:line="90" w:lineRule="exact"/>
              <w:rPr>
                <w:sz w:val="20"/>
                <w:szCs w:val="20"/>
                <w:color w:val="auto"/>
              </w:rPr>
            </w:pPr>
            <w:r>
              <w:rPr>
                <w:rFonts w:ascii="Arial" w:cs="Arial" w:eastAsia="Arial" w:hAnsi="Arial"/>
                <w:sz w:val="10"/>
                <w:szCs w:val="10"/>
                <w:b w:val="1"/>
                <w:bCs w:val="1"/>
                <w:color w:val="auto"/>
              </w:rPr>
              <w:t>Loans with delays in</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tcPr>
          <w:p>
            <w:pPr>
              <w:ind w:left="60"/>
              <w:spacing w:after="0" w:line="90" w:lineRule="exact"/>
              <w:rPr>
                <w:sz w:val="20"/>
                <w:szCs w:val="20"/>
                <w:color w:val="auto"/>
              </w:rPr>
            </w:pPr>
            <w:r>
              <w:rPr>
                <w:rFonts w:ascii="Arial" w:cs="Arial" w:eastAsia="Arial" w:hAnsi="Arial"/>
                <w:sz w:val="10"/>
                <w:szCs w:val="10"/>
                <w:b w:val="1"/>
                <w:bCs w:val="1"/>
                <w:color w:val="auto"/>
              </w:rPr>
              <w:t>Loans with delays in</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10"/>
        </w:trPr>
        <w:tc>
          <w:tcPr>
            <w:tcW w:w="1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Current</w:t>
            </w:r>
          </w:p>
        </w:tc>
        <w:tc>
          <w:tcPr>
            <w:tcW w:w="128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payments of one day</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Current</w:t>
            </w:r>
          </w:p>
        </w:tc>
        <w:tc>
          <w:tcPr>
            <w:tcW w:w="13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payments of one day</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10"/>
        </w:trPr>
        <w:tc>
          <w:tcPr>
            <w:tcW w:w="1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but</w:t>
            </w:r>
          </w:p>
        </w:tc>
        <w:tc>
          <w:tcPr>
            <w:tcW w:w="128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or more but not</w:t>
            </w: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Internal</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but</w:t>
            </w:r>
          </w:p>
        </w:tc>
        <w:tc>
          <w:tcPr>
            <w:tcW w:w="13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more but not</w:t>
            </w:r>
          </w:p>
        </w:tc>
        <w:tc>
          <w:tcPr>
            <w:tcW w:w="76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Internal</w:t>
            </w:r>
          </w:p>
        </w:tc>
        <w:tc>
          <w:tcPr>
            <w:tcW w:w="700" w:type="dxa"/>
            <w:vAlign w:val="bottom"/>
          </w:tcPr>
          <w:p>
            <w:pPr>
              <w:spacing w:after="0"/>
              <w:rPr>
                <w:sz w:val="9"/>
                <w:szCs w:val="9"/>
                <w:color w:val="auto"/>
              </w:rPr>
            </w:pPr>
          </w:p>
        </w:tc>
      </w:tr>
      <w:tr>
        <w:trPr>
          <w:trHeight w:val="110"/>
        </w:trPr>
        <w:tc>
          <w:tcPr>
            <w:tcW w:w="1440" w:type="dxa"/>
            <w:vAlign w:val="bottom"/>
          </w:tcPr>
          <w:p>
            <w:pPr>
              <w:spacing w:after="0"/>
              <w:rPr>
                <w:sz w:val="9"/>
                <w:szCs w:val="9"/>
                <w:color w:val="auto"/>
              </w:rPr>
            </w:pPr>
          </w:p>
        </w:tc>
        <w:tc>
          <w:tcPr>
            <w:tcW w:w="8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Current</w:t>
            </w:r>
          </w:p>
        </w:tc>
        <w:tc>
          <w:tcPr>
            <w:tcW w:w="7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impaired</w:t>
            </w:r>
          </w:p>
        </w:tc>
        <w:tc>
          <w:tcPr>
            <w:tcW w:w="128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considered internal</w:t>
            </w: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overdue</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Current</w:t>
            </w:r>
          </w:p>
        </w:tc>
        <w:tc>
          <w:tcPr>
            <w:tcW w:w="7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impaired</w:t>
            </w:r>
          </w:p>
        </w:tc>
        <w:tc>
          <w:tcPr>
            <w:tcW w:w="13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considered internal</w:t>
            </w:r>
          </w:p>
        </w:tc>
        <w:tc>
          <w:tcPr>
            <w:tcW w:w="76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overdue</w:t>
            </w:r>
          </w:p>
        </w:tc>
        <w:tc>
          <w:tcPr>
            <w:tcW w:w="700" w:type="dxa"/>
            <w:vAlign w:val="bottom"/>
          </w:tcPr>
          <w:p>
            <w:pPr>
              <w:spacing w:after="0"/>
              <w:rPr>
                <w:sz w:val="9"/>
                <w:szCs w:val="9"/>
                <w:color w:val="auto"/>
              </w:rPr>
            </w:pPr>
          </w:p>
        </w:tc>
      </w:tr>
      <w:tr>
        <w:trPr>
          <w:trHeight w:val="123"/>
        </w:trPr>
        <w:tc>
          <w:tcPr>
            <w:tcW w:w="144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10"/>
                <w:szCs w:val="10"/>
                <w:b w:val="1"/>
                <w:bCs w:val="1"/>
                <w:color w:val="auto"/>
              </w:rPr>
              <w:t>loans</w:t>
            </w:r>
          </w:p>
        </w:tc>
        <w:tc>
          <w:tcPr>
            <w:tcW w:w="740" w:type="dxa"/>
            <w:vAlign w:val="bottom"/>
            <w:gridSpan w:val="2"/>
          </w:tcPr>
          <w:p>
            <w:pPr>
              <w:ind w:left="40"/>
              <w:spacing w:after="0"/>
              <w:rPr>
                <w:sz w:val="20"/>
                <w:szCs w:val="20"/>
                <w:color w:val="auto"/>
              </w:rPr>
            </w:pPr>
            <w:r>
              <w:rPr>
                <w:rFonts w:ascii="Arial" w:cs="Arial" w:eastAsia="Arial" w:hAnsi="Arial"/>
                <w:sz w:val="10"/>
                <w:szCs w:val="10"/>
                <w:b w:val="1"/>
                <w:bCs w:val="1"/>
                <w:color w:val="auto"/>
              </w:rPr>
              <w:t>loans</w:t>
            </w: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overdue loans</w:t>
            </w:r>
          </w:p>
        </w:tc>
        <w:tc>
          <w:tcPr>
            <w:tcW w:w="740" w:type="dxa"/>
            <w:vAlign w:val="bottom"/>
            <w:gridSpan w:val="2"/>
          </w:tcPr>
          <w:p>
            <w:pPr>
              <w:ind w:left="60"/>
              <w:spacing w:after="0"/>
              <w:rPr>
                <w:sz w:val="20"/>
                <w:szCs w:val="20"/>
                <w:color w:val="auto"/>
              </w:rPr>
            </w:pPr>
            <w:r>
              <w:rPr>
                <w:rFonts w:ascii="Arial" w:cs="Arial" w:eastAsia="Arial" w:hAnsi="Arial"/>
                <w:sz w:val="10"/>
                <w:szCs w:val="10"/>
                <w:b w:val="1"/>
                <w:bCs w:val="1"/>
                <w:color w:val="auto"/>
              </w:rPr>
              <w:t>loans</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Total</w:t>
            </w:r>
          </w:p>
        </w:tc>
        <w:tc>
          <w:tcPr>
            <w:tcW w:w="800" w:type="dxa"/>
            <w:vAlign w:val="bottom"/>
            <w:gridSpan w:val="2"/>
          </w:tcPr>
          <w:p>
            <w:pPr>
              <w:ind w:left="40"/>
              <w:spacing w:after="0"/>
              <w:rPr>
                <w:sz w:val="20"/>
                <w:szCs w:val="20"/>
                <w:color w:val="auto"/>
              </w:rPr>
            </w:pPr>
            <w:r>
              <w:rPr>
                <w:rFonts w:ascii="Arial" w:cs="Arial" w:eastAsia="Arial" w:hAnsi="Arial"/>
                <w:sz w:val="10"/>
                <w:szCs w:val="10"/>
                <w:b w:val="1"/>
                <w:bCs w:val="1"/>
                <w:color w:val="auto"/>
              </w:rPr>
              <w:t>loans</w:t>
            </w:r>
          </w:p>
        </w:tc>
        <w:tc>
          <w:tcPr>
            <w:tcW w:w="760" w:type="dxa"/>
            <w:vAlign w:val="bottom"/>
            <w:gridSpan w:val="2"/>
          </w:tcPr>
          <w:p>
            <w:pPr>
              <w:ind w:left="60"/>
              <w:spacing w:after="0"/>
              <w:rPr>
                <w:sz w:val="20"/>
                <w:szCs w:val="20"/>
                <w:color w:val="auto"/>
              </w:rPr>
            </w:pPr>
            <w:r>
              <w:rPr>
                <w:rFonts w:ascii="Arial" w:cs="Arial" w:eastAsia="Arial" w:hAnsi="Arial"/>
                <w:sz w:val="10"/>
                <w:szCs w:val="10"/>
                <w:b w:val="1"/>
                <w:bCs w:val="1"/>
                <w:color w:val="auto"/>
              </w:rPr>
              <w:t>loans</w:t>
            </w: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overdue loans</w:t>
            </w:r>
          </w:p>
        </w:tc>
        <w:tc>
          <w:tcPr>
            <w:tcW w:w="760" w:type="dxa"/>
            <w:vAlign w:val="bottom"/>
            <w:gridSpan w:val="2"/>
          </w:tcPr>
          <w:p>
            <w:pPr>
              <w:ind w:left="40"/>
              <w:spacing w:after="0"/>
              <w:rPr>
                <w:sz w:val="20"/>
                <w:szCs w:val="20"/>
                <w:color w:val="auto"/>
              </w:rPr>
            </w:pPr>
            <w:r>
              <w:rPr>
                <w:rFonts w:ascii="Arial" w:cs="Arial" w:eastAsia="Arial" w:hAnsi="Arial"/>
                <w:sz w:val="10"/>
                <w:szCs w:val="10"/>
                <w:b w:val="1"/>
                <w:bCs w:val="1"/>
                <w:color w:val="auto"/>
              </w:rPr>
              <w:t>loans</w:t>
            </w:r>
          </w:p>
        </w:tc>
        <w:tc>
          <w:tcPr>
            <w:tcW w:w="700" w:type="dxa"/>
            <w:vAlign w:val="bottom"/>
          </w:tcPr>
          <w:p>
            <w:pPr>
              <w:ind w:left="40"/>
              <w:spacing w:after="0"/>
              <w:rPr>
                <w:sz w:val="20"/>
                <w:szCs w:val="20"/>
                <w:color w:val="auto"/>
              </w:rPr>
            </w:pPr>
            <w:r>
              <w:rPr>
                <w:rFonts w:ascii="Arial" w:cs="Arial" w:eastAsia="Arial" w:hAnsi="Arial"/>
                <w:sz w:val="10"/>
                <w:szCs w:val="10"/>
                <w:b w:val="1"/>
                <w:bCs w:val="1"/>
                <w:color w:val="auto"/>
              </w:rPr>
              <w:t>Total</w:t>
            </w:r>
          </w:p>
        </w:tc>
      </w:tr>
      <w:tr>
        <w:trPr>
          <w:trHeight w:val="91"/>
        </w:trPr>
        <w:tc>
          <w:tcPr>
            <w:tcW w:w="1440" w:type="dxa"/>
            <w:vAlign w:val="bottom"/>
          </w:tcPr>
          <w:p>
            <w:pPr>
              <w:spacing w:after="0"/>
              <w:rPr>
                <w:sz w:val="7"/>
                <w:szCs w:val="7"/>
                <w:color w:val="auto"/>
              </w:rPr>
            </w:pPr>
          </w:p>
        </w:tc>
        <w:tc>
          <w:tcPr>
            <w:tcW w:w="660" w:type="dxa"/>
            <w:vAlign w:val="bottom"/>
            <w:tcBorders>
              <w:top w:val="single" w:sz="8" w:color="auto"/>
            </w:tcBorders>
          </w:tcPr>
          <w:p>
            <w:pPr>
              <w:ind w:left="40"/>
              <w:spacing w:after="0" w:line="92"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600" w:type="dxa"/>
            <w:vAlign w:val="bottom"/>
            <w:tcBorders>
              <w:top w:val="single" w:sz="8" w:color="auto"/>
            </w:tcBorders>
          </w:tcPr>
          <w:p>
            <w:pPr>
              <w:ind w:left="40"/>
              <w:spacing w:after="0" w:line="92"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1140" w:type="dxa"/>
            <w:vAlign w:val="bottom"/>
            <w:tcBorders>
              <w:top w:val="single" w:sz="8" w:color="auto"/>
            </w:tcBorders>
          </w:tcPr>
          <w:p>
            <w:pPr>
              <w:ind w:left="40"/>
              <w:spacing w:after="0" w:line="92"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620" w:type="dxa"/>
            <w:vAlign w:val="bottom"/>
            <w:tcBorders>
              <w:top w:val="single" w:sz="8" w:color="auto"/>
            </w:tcBorders>
          </w:tcPr>
          <w:p>
            <w:pPr>
              <w:ind w:left="60"/>
              <w:spacing w:after="0" w:line="92"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660" w:type="dxa"/>
            <w:vAlign w:val="bottom"/>
            <w:tcBorders>
              <w:top w:val="single" w:sz="8" w:color="auto"/>
            </w:tcBorders>
          </w:tcPr>
          <w:p>
            <w:pPr>
              <w:ind w:left="60"/>
              <w:spacing w:after="0" w:line="92"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680" w:type="dxa"/>
            <w:vAlign w:val="bottom"/>
            <w:tcBorders>
              <w:top w:val="single" w:sz="8" w:color="auto"/>
            </w:tcBorders>
          </w:tcPr>
          <w:p>
            <w:pPr>
              <w:ind w:left="40"/>
              <w:spacing w:after="0" w:line="92"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640" w:type="dxa"/>
            <w:vAlign w:val="bottom"/>
            <w:tcBorders>
              <w:top w:val="single" w:sz="8" w:color="auto"/>
            </w:tcBorders>
          </w:tcPr>
          <w:p>
            <w:pPr>
              <w:ind w:left="60"/>
              <w:spacing w:after="0" w:line="92" w:lineRule="exact"/>
              <w:rPr>
                <w:sz w:val="20"/>
                <w:szCs w:val="20"/>
                <w:color w:val="auto"/>
              </w:rPr>
            </w:pPr>
            <w:r>
              <w:rPr>
                <w:rFonts w:ascii="Arial" w:cs="Arial" w:eastAsia="Arial" w:hAnsi="Arial"/>
                <w:sz w:val="10"/>
                <w:szCs w:val="10"/>
                <w:b w:val="1"/>
                <w:bCs w:val="1"/>
                <w:color w:val="auto"/>
              </w:rPr>
              <w:t>S/(000)</w:t>
            </w:r>
          </w:p>
        </w:tc>
        <w:tc>
          <w:tcPr>
            <w:tcW w:w="120" w:type="dxa"/>
            <w:vAlign w:val="bottom"/>
          </w:tcPr>
          <w:p>
            <w:pPr>
              <w:spacing w:after="0"/>
              <w:rPr>
                <w:sz w:val="7"/>
                <w:szCs w:val="7"/>
                <w:color w:val="auto"/>
              </w:rPr>
            </w:pPr>
          </w:p>
        </w:tc>
        <w:tc>
          <w:tcPr>
            <w:tcW w:w="1160" w:type="dxa"/>
            <w:vAlign w:val="bottom"/>
            <w:tcBorders>
              <w:top w:val="single" w:sz="8" w:color="auto"/>
            </w:tcBorders>
          </w:tcPr>
          <w:p>
            <w:pPr>
              <w:ind w:left="60"/>
              <w:spacing w:after="0" w:line="92"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620" w:type="dxa"/>
            <w:vAlign w:val="bottom"/>
            <w:tcBorders>
              <w:top w:val="single" w:sz="8" w:color="auto"/>
            </w:tcBorders>
          </w:tcPr>
          <w:p>
            <w:pPr>
              <w:ind w:left="40"/>
              <w:spacing w:after="0" w:line="92" w:lineRule="exact"/>
              <w:rPr>
                <w:sz w:val="20"/>
                <w:szCs w:val="20"/>
                <w:color w:val="auto"/>
              </w:rPr>
            </w:pPr>
            <w:r>
              <w:rPr>
                <w:rFonts w:ascii="Arial" w:cs="Arial" w:eastAsia="Arial" w:hAnsi="Arial"/>
                <w:sz w:val="10"/>
                <w:szCs w:val="10"/>
                <w:b w:val="1"/>
                <w:bCs w:val="1"/>
                <w:color w:val="auto"/>
              </w:rPr>
              <w:t>S/(000)</w:t>
            </w:r>
          </w:p>
        </w:tc>
        <w:tc>
          <w:tcPr>
            <w:tcW w:w="140" w:type="dxa"/>
            <w:vAlign w:val="bottom"/>
          </w:tcPr>
          <w:p>
            <w:pPr>
              <w:spacing w:after="0"/>
              <w:rPr>
                <w:sz w:val="7"/>
                <w:szCs w:val="7"/>
                <w:color w:val="auto"/>
              </w:rPr>
            </w:pPr>
          </w:p>
        </w:tc>
        <w:tc>
          <w:tcPr>
            <w:tcW w:w="700" w:type="dxa"/>
            <w:vAlign w:val="bottom"/>
            <w:tcBorders>
              <w:top w:val="single" w:sz="8" w:color="auto"/>
            </w:tcBorders>
          </w:tcPr>
          <w:p>
            <w:pPr>
              <w:ind w:left="40"/>
              <w:spacing w:after="0" w:line="92" w:lineRule="exact"/>
              <w:rPr>
                <w:sz w:val="20"/>
                <w:szCs w:val="20"/>
                <w:color w:val="auto"/>
              </w:rPr>
            </w:pPr>
            <w:r>
              <w:rPr>
                <w:rFonts w:ascii="Arial" w:cs="Arial" w:eastAsia="Arial" w:hAnsi="Arial"/>
                <w:sz w:val="10"/>
                <w:szCs w:val="10"/>
                <w:b w:val="1"/>
                <w:bCs w:val="1"/>
                <w:color w:val="auto"/>
              </w:rPr>
              <w:t>S/(000)</w:t>
            </w:r>
          </w:p>
        </w:tc>
      </w:tr>
      <w:tr>
        <w:trPr>
          <w:trHeight w:val="110"/>
        </w:trPr>
        <w:tc>
          <w:tcPr>
            <w:tcW w:w="1440" w:type="dxa"/>
            <w:vAlign w:val="bottom"/>
          </w:tcPr>
          <w:p>
            <w:pPr>
              <w:spacing w:after="0" w:line="110" w:lineRule="exact"/>
              <w:rPr>
                <w:sz w:val="20"/>
                <w:szCs w:val="20"/>
                <w:color w:val="auto"/>
              </w:rPr>
            </w:pPr>
            <w:r>
              <w:rPr>
                <w:rFonts w:ascii="Arial" w:cs="Arial" w:eastAsia="Arial" w:hAnsi="Arial"/>
                <w:sz w:val="10"/>
                <w:szCs w:val="10"/>
                <w:color w:val="auto"/>
              </w:rPr>
              <w:t>Commercial loans</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69,089,495</w:t>
            </w:r>
          </w:p>
        </w:tc>
        <w:tc>
          <w:tcPr>
            <w:tcW w:w="140" w:type="dxa"/>
            <w:vAlign w:val="bottom"/>
          </w:tcPr>
          <w:p>
            <w:pPr>
              <w:spacing w:after="0"/>
              <w:rPr>
                <w:sz w:val="9"/>
                <w:szCs w:val="9"/>
                <w:color w:val="auto"/>
              </w:rPr>
            </w:pPr>
          </w:p>
        </w:tc>
        <w:tc>
          <w:tcPr>
            <w:tcW w:w="600" w:type="dxa"/>
            <w:vAlign w:val="bottom"/>
          </w:tcPr>
          <w:p>
            <w:pPr>
              <w:jc w:val="right"/>
              <w:spacing w:after="0" w:line="110" w:lineRule="exact"/>
              <w:rPr>
                <w:sz w:val="20"/>
                <w:szCs w:val="20"/>
                <w:color w:val="auto"/>
              </w:rPr>
            </w:pPr>
            <w:r>
              <w:rPr>
                <w:rFonts w:ascii="Arial" w:cs="Arial" w:eastAsia="Arial" w:hAnsi="Arial"/>
                <w:sz w:val="10"/>
                <w:szCs w:val="10"/>
                <w:color w:val="auto"/>
              </w:rPr>
              <w:t>2,901,367</w:t>
            </w:r>
          </w:p>
        </w:tc>
        <w:tc>
          <w:tcPr>
            <w:tcW w:w="140" w:type="dxa"/>
            <w:vAlign w:val="bottom"/>
          </w:tcPr>
          <w:p>
            <w:pPr>
              <w:spacing w:after="0"/>
              <w:rPr>
                <w:sz w:val="9"/>
                <w:szCs w:val="9"/>
                <w:color w:val="auto"/>
              </w:rPr>
            </w:pPr>
          </w:p>
        </w:tc>
        <w:tc>
          <w:tcPr>
            <w:tcW w:w="1140" w:type="dxa"/>
            <w:vAlign w:val="bottom"/>
          </w:tcPr>
          <w:p>
            <w:pPr>
              <w:jc w:val="right"/>
              <w:spacing w:after="0" w:line="110" w:lineRule="exact"/>
              <w:rPr>
                <w:sz w:val="20"/>
                <w:szCs w:val="20"/>
                <w:color w:val="auto"/>
              </w:rPr>
            </w:pPr>
            <w:r>
              <w:rPr>
                <w:rFonts w:ascii="Arial" w:cs="Arial" w:eastAsia="Arial" w:hAnsi="Arial"/>
                <w:sz w:val="10"/>
                <w:szCs w:val="10"/>
                <w:color w:val="auto"/>
              </w:rPr>
              <w:t>1,662,457</w:t>
            </w:r>
          </w:p>
        </w:tc>
        <w:tc>
          <w:tcPr>
            <w:tcW w:w="140" w:type="dxa"/>
            <w:vAlign w:val="bottom"/>
          </w:tcPr>
          <w:p>
            <w:pPr>
              <w:spacing w:after="0"/>
              <w:rPr>
                <w:sz w:val="9"/>
                <w:szCs w:val="9"/>
                <w:color w:val="auto"/>
              </w:rPr>
            </w:pPr>
          </w:p>
        </w:tc>
        <w:tc>
          <w:tcPr>
            <w:tcW w:w="620" w:type="dxa"/>
            <w:vAlign w:val="bottom"/>
          </w:tcPr>
          <w:p>
            <w:pPr>
              <w:jc w:val="right"/>
              <w:ind w:right="11"/>
              <w:spacing w:after="0" w:line="110" w:lineRule="exact"/>
              <w:rPr>
                <w:sz w:val="20"/>
                <w:szCs w:val="20"/>
                <w:color w:val="auto"/>
              </w:rPr>
            </w:pPr>
            <w:r>
              <w:rPr>
                <w:rFonts w:ascii="Arial" w:cs="Arial" w:eastAsia="Arial" w:hAnsi="Arial"/>
                <w:sz w:val="10"/>
                <w:szCs w:val="10"/>
                <w:color w:val="auto"/>
              </w:rPr>
              <w:t>3,167,083</w:t>
            </w:r>
          </w:p>
        </w:tc>
        <w:tc>
          <w:tcPr>
            <w:tcW w:w="120" w:type="dxa"/>
            <w:vAlign w:val="bottom"/>
          </w:tcPr>
          <w:p>
            <w:pPr>
              <w:spacing w:after="0"/>
              <w:rPr>
                <w:sz w:val="9"/>
                <w:szCs w:val="9"/>
                <w:color w:val="auto"/>
              </w:rPr>
            </w:pP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76,820,402</w:t>
            </w:r>
          </w:p>
        </w:tc>
        <w:tc>
          <w:tcPr>
            <w:tcW w:w="14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73,733,752</w:t>
            </w:r>
          </w:p>
        </w:tc>
        <w:tc>
          <w:tcPr>
            <w:tcW w:w="120" w:type="dxa"/>
            <w:vAlign w:val="bottom"/>
          </w:tcPr>
          <w:p>
            <w:pPr>
              <w:spacing w:after="0"/>
              <w:rPr>
                <w:sz w:val="9"/>
                <w:szCs w:val="9"/>
                <w:color w:val="auto"/>
              </w:rPr>
            </w:pPr>
          </w:p>
        </w:tc>
        <w:tc>
          <w:tcPr>
            <w:tcW w:w="640" w:type="dxa"/>
            <w:vAlign w:val="bottom"/>
          </w:tcPr>
          <w:p>
            <w:pPr>
              <w:jc w:val="right"/>
              <w:ind w:right="11"/>
              <w:spacing w:after="0" w:line="110" w:lineRule="exact"/>
              <w:rPr>
                <w:sz w:val="20"/>
                <w:szCs w:val="20"/>
                <w:color w:val="auto"/>
              </w:rPr>
            </w:pPr>
            <w:r>
              <w:rPr>
                <w:rFonts w:ascii="Arial" w:cs="Arial" w:eastAsia="Arial" w:hAnsi="Arial"/>
                <w:sz w:val="10"/>
                <w:szCs w:val="10"/>
                <w:color w:val="auto"/>
              </w:rPr>
              <w:t>3,115,029</w:t>
            </w:r>
          </w:p>
        </w:tc>
        <w:tc>
          <w:tcPr>
            <w:tcW w:w="120" w:type="dxa"/>
            <w:vAlign w:val="bottom"/>
          </w:tcPr>
          <w:p>
            <w:pPr>
              <w:spacing w:after="0"/>
              <w:rPr>
                <w:sz w:val="9"/>
                <w:szCs w:val="9"/>
                <w:color w:val="auto"/>
              </w:rPr>
            </w:pPr>
          </w:p>
        </w:tc>
        <w:tc>
          <w:tcPr>
            <w:tcW w:w="1160" w:type="dxa"/>
            <w:vAlign w:val="bottom"/>
          </w:tcPr>
          <w:p>
            <w:pPr>
              <w:jc w:val="right"/>
              <w:spacing w:after="0" w:line="110" w:lineRule="exact"/>
              <w:rPr>
                <w:sz w:val="20"/>
                <w:szCs w:val="20"/>
                <w:color w:val="auto"/>
              </w:rPr>
            </w:pPr>
            <w:r>
              <w:rPr>
                <w:rFonts w:ascii="Arial" w:cs="Arial" w:eastAsia="Arial" w:hAnsi="Arial"/>
                <w:sz w:val="10"/>
                <w:szCs w:val="10"/>
                <w:color w:val="auto"/>
              </w:rPr>
              <w:t>1,496,743</w:t>
            </w:r>
          </w:p>
        </w:tc>
        <w:tc>
          <w:tcPr>
            <w:tcW w:w="140" w:type="dxa"/>
            <w:vAlign w:val="bottom"/>
          </w:tcPr>
          <w:p>
            <w:pPr>
              <w:spacing w:after="0"/>
              <w:rPr>
                <w:sz w:val="9"/>
                <w:szCs w:val="9"/>
                <w:color w:val="auto"/>
              </w:rPr>
            </w:pPr>
          </w:p>
        </w:tc>
        <w:tc>
          <w:tcPr>
            <w:tcW w:w="620" w:type="dxa"/>
            <w:vAlign w:val="bottom"/>
          </w:tcPr>
          <w:p>
            <w:pPr>
              <w:jc w:val="right"/>
              <w:spacing w:after="0" w:line="110" w:lineRule="exact"/>
              <w:rPr>
                <w:sz w:val="20"/>
                <w:szCs w:val="20"/>
                <w:color w:val="auto"/>
              </w:rPr>
            </w:pPr>
            <w:r>
              <w:rPr>
                <w:rFonts w:ascii="Arial" w:cs="Arial" w:eastAsia="Arial" w:hAnsi="Arial"/>
                <w:sz w:val="10"/>
                <w:szCs w:val="10"/>
                <w:color w:val="auto"/>
              </w:rPr>
              <w:t>3,323,376</w:t>
            </w:r>
          </w:p>
        </w:tc>
        <w:tc>
          <w:tcPr>
            <w:tcW w:w="140" w:type="dxa"/>
            <w:vAlign w:val="bottom"/>
          </w:tcPr>
          <w:p>
            <w:pPr>
              <w:spacing w:after="0"/>
              <w:rPr>
                <w:sz w:val="9"/>
                <w:szCs w:val="9"/>
                <w:color w:val="auto"/>
              </w:rPr>
            </w:pPr>
          </w:p>
        </w:tc>
        <w:tc>
          <w:tcPr>
            <w:tcW w:w="700" w:type="dxa"/>
            <w:vAlign w:val="bottom"/>
          </w:tcPr>
          <w:p>
            <w:pPr>
              <w:jc w:val="right"/>
              <w:ind w:right="11"/>
              <w:spacing w:after="0" w:line="110" w:lineRule="exact"/>
              <w:rPr>
                <w:sz w:val="20"/>
                <w:szCs w:val="20"/>
                <w:color w:val="auto"/>
              </w:rPr>
            </w:pPr>
            <w:r>
              <w:rPr>
                <w:rFonts w:ascii="Arial" w:cs="Arial" w:eastAsia="Arial" w:hAnsi="Arial"/>
                <w:sz w:val="10"/>
                <w:szCs w:val="10"/>
                <w:color w:val="auto"/>
              </w:rPr>
              <w:t>81,668,900</w:t>
            </w:r>
          </w:p>
        </w:tc>
      </w:tr>
      <w:tr>
        <w:trPr>
          <w:trHeight w:val="110"/>
        </w:trPr>
        <w:tc>
          <w:tcPr>
            <w:tcW w:w="1440" w:type="dxa"/>
            <w:vAlign w:val="bottom"/>
          </w:tcPr>
          <w:p>
            <w:pPr>
              <w:spacing w:after="0" w:line="110" w:lineRule="exact"/>
              <w:rPr>
                <w:sz w:val="20"/>
                <w:szCs w:val="20"/>
                <w:color w:val="auto"/>
              </w:rPr>
            </w:pPr>
            <w:r>
              <w:rPr>
                <w:rFonts w:ascii="Arial" w:cs="Arial" w:eastAsia="Arial" w:hAnsi="Arial"/>
                <w:sz w:val="10"/>
                <w:szCs w:val="10"/>
                <w:color w:val="auto"/>
              </w:rPr>
              <w:t>Residential mortgage loans</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21,543,100</w:t>
            </w:r>
          </w:p>
        </w:tc>
        <w:tc>
          <w:tcPr>
            <w:tcW w:w="140" w:type="dxa"/>
            <w:vAlign w:val="bottom"/>
          </w:tcPr>
          <w:p>
            <w:pPr>
              <w:spacing w:after="0"/>
              <w:rPr>
                <w:sz w:val="9"/>
                <w:szCs w:val="9"/>
                <w:color w:val="auto"/>
              </w:rPr>
            </w:pPr>
          </w:p>
        </w:tc>
        <w:tc>
          <w:tcPr>
            <w:tcW w:w="600" w:type="dxa"/>
            <w:vAlign w:val="bottom"/>
          </w:tcPr>
          <w:p>
            <w:pPr>
              <w:jc w:val="right"/>
              <w:spacing w:after="0" w:line="110" w:lineRule="exact"/>
              <w:rPr>
                <w:sz w:val="20"/>
                <w:szCs w:val="20"/>
                <w:color w:val="auto"/>
              </w:rPr>
            </w:pPr>
            <w:r>
              <w:rPr>
                <w:rFonts w:ascii="Arial" w:cs="Arial" w:eastAsia="Arial" w:hAnsi="Arial"/>
                <w:sz w:val="10"/>
                <w:szCs w:val="10"/>
                <w:color w:val="auto"/>
              </w:rPr>
              <w:t>484,375</w:t>
            </w:r>
          </w:p>
        </w:tc>
        <w:tc>
          <w:tcPr>
            <w:tcW w:w="140" w:type="dxa"/>
            <w:vAlign w:val="bottom"/>
          </w:tcPr>
          <w:p>
            <w:pPr>
              <w:spacing w:after="0"/>
              <w:rPr>
                <w:sz w:val="9"/>
                <w:szCs w:val="9"/>
                <w:color w:val="auto"/>
              </w:rPr>
            </w:pPr>
          </w:p>
        </w:tc>
        <w:tc>
          <w:tcPr>
            <w:tcW w:w="1140" w:type="dxa"/>
            <w:vAlign w:val="bottom"/>
          </w:tcPr>
          <w:p>
            <w:pPr>
              <w:jc w:val="right"/>
              <w:spacing w:after="0" w:line="110" w:lineRule="exact"/>
              <w:rPr>
                <w:sz w:val="20"/>
                <w:szCs w:val="20"/>
                <w:color w:val="auto"/>
              </w:rPr>
            </w:pPr>
            <w:r>
              <w:rPr>
                <w:rFonts w:ascii="Arial" w:cs="Arial" w:eastAsia="Arial" w:hAnsi="Arial"/>
                <w:sz w:val="10"/>
                <w:szCs w:val="10"/>
                <w:color w:val="auto"/>
              </w:rPr>
              <w:t>1,405,344</w:t>
            </w:r>
          </w:p>
        </w:tc>
        <w:tc>
          <w:tcPr>
            <w:tcW w:w="140" w:type="dxa"/>
            <w:vAlign w:val="bottom"/>
          </w:tcPr>
          <w:p>
            <w:pPr>
              <w:spacing w:after="0"/>
              <w:rPr>
                <w:sz w:val="9"/>
                <w:szCs w:val="9"/>
                <w:color w:val="auto"/>
              </w:rPr>
            </w:pPr>
          </w:p>
        </w:tc>
        <w:tc>
          <w:tcPr>
            <w:tcW w:w="620" w:type="dxa"/>
            <w:vAlign w:val="bottom"/>
          </w:tcPr>
          <w:p>
            <w:pPr>
              <w:jc w:val="right"/>
              <w:ind w:right="11"/>
              <w:spacing w:after="0" w:line="110" w:lineRule="exact"/>
              <w:rPr>
                <w:sz w:val="20"/>
                <w:szCs w:val="20"/>
                <w:color w:val="auto"/>
              </w:rPr>
            </w:pPr>
            <w:r>
              <w:rPr>
                <w:rFonts w:ascii="Arial" w:cs="Arial" w:eastAsia="Arial" w:hAnsi="Arial"/>
                <w:sz w:val="10"/>
                <w:szCs w:val="10"/>
                <w:color w:val="auto"/>
              </w:rPr>
              <w:t>744,099</w:t>
            </w:r>
          </w:p>
        </w:tc>
        <w:tc>
          <w:tcPr>
            <w:tcW w:w="120" w:type="dxa"/>
            <w:vAlign w:val="bottom"/>
          </w:tcPr>
          <w:p>
            <w:pPr>
              <w:spacing w:after="0"/>
              <w:rPr>
                <w:sz w:val="9"/>
                <w:szCs w:val="9"/>
                <w:color w:val="auto"/>
              </w:rPr>
            </w:pP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24,176,918</w:t>
            </w:r>
          </w:p>
        </w:tc>
        <w:tc>
          <w:tcPr>
            <w:tcW w:w="14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20,961,268</w:t>
            </w:r>
          </w:p>
        </w:tc>
        <w:tc>
          <w:tcPr>
            <w:tcW w:w="120" w:type="dxa"/>
            <w:vAlign w:val="bottom"/>
          </w:tcPr>
          <w:p>
            <w:pPr>
              <w:spacing w:after="0"/>
              <w:rPr>
                <w:sz w:val="9"/>
                <w:szCs w:val="9"/>
                <w:color w:val="auto"/>
              </w:rPr>
            </w:pPr>
          </w:p>
        </w:tc>
        <w:tc>
          <w:tcPr>
            <w:tcW w:w="640" w:type="dxa"/>
            <w:vAlign w:val="bottom"/>
          </w:tcPr>
          <w:p>
            <w:pPr>
              <w:jc w:val="right"/>
              <w:ind w:right="11"/>
              <w:spacing w:after="0" w:line="110" w:lineRule="exact"/>
              <w:rPr>
                <w:sz w:val="20"/>
                <w:szCs w:val="20"/>
                <w:color w:val="auto"/>
              </w:rPr>
            </w:pPr>
            <w:r>
              <w:rPr>
                <w:rFonts w:ascii="Arial" w:cs="Arial" w:eastAsia="Arial" w:hAnsi="Arial"/>
                <w:sz w:val="10"/>
                <w:szCs w:val="10"/>
                <w:color w:val="auto"/>
              </w:rPr>
              <w:t>506,639</w:t>
            </w:r>
          </w:p>
        </w:tc>
        <w:tc>
          <w:tcPr>
            <w:tcW w:w="120" w:type="dxa"/>
            <w:vAlign w:val="bottom"/>
          </w:tcPr>
          <w:p>
            <w:pPr>
              <w:spacing w:after="0"/>
              <w:rPr>
                <w:sz w:val="9"/>
                <w:szCs w:val="9"/>
                <w:color w:val="auto"/>
              </w:rPr>
            </w:pPr>
          </w:p>
        </w:tc>
        <w:tc>
          <w:tcPr>
            <w:tcW w:w="1160" w:type="dxa"/>
            <w:vAlign w:val="bottom"/>
          </w:tcPr>
          <w:p>
            <w:pPr>
              <w:jc w:val="right"/>
              <w:spacing w:after="0" w:line="110" w:lineRule="exact"/>
              <w:rPr>
                <w:sz w:val="20"/>
                <w:szCs w:val="20"/>
                <w:color w:val="auto"/>
              </w:rPr>
            </w:pPr>
            <w:r>
              <w:rPr>
                <w:rFonts w:ascii="Arial" w:cs="Arial" w:eastAsia="Arial" w:hAnsi="Arial"/>
                <w:sz w:val="10"/>
                <w:szCs w:val="10"/>
                <w:color w:val="auto"/>
              </w:rPr>
              <w:t>1,076,953</w:t>
            </w:r>
          </w:p>
        </w:tc>
        <w:tc>
          <w:tcPr>
            <w:tcW w:w="140" w:type="dxa"/>
            <w:vAlign w:val="bottom"/>
          </w:tcPr>
          <w:p>
            <w:pPr>
              <w:spacing w:after="0"/>
              <w:rPr>
                <w:sz w:val="9"/>
                <w:szCs w:val="9"/>
                <w:color w:val="auto"/>
              </w:rPr>
            </w:pPr>
          </w:p>
        </w:tc>
        <w:tc>
          <w:tcPr>
            <w:tcW w:w="620" w:type="dxa"/>
            <w:vAlign w:val="bottom"/>
          </w:tcPr>
          <w:p>
            <w:pPr>
              <w:jc w:val="right"/>
              <w:spacing w:after="0" w:line="110" w:lineRule="exact"/>
              <w:rPr>
                <w:sz w:val="20"/>
                <w:szCs w:val="20"/>
                <w:color w:val="auto"/>
              </w:rPr>
            </w:pPr>
            <w:r>
              <w:rPr>
                <w:rFonts w:ascii="Arial" w:cs="Arial" w:eastAsia="Arial" w:hAnsi="Arial"/>
                <w:sz w:val="10"/>
                <w:szCs w:val="10"/>
                <w:color w:val="auto"/>
              </w:rPr>
              <w:t>690,715</w:t>
            </w:r>
          </w:p>
        </w:tc>
        <w:tc>
          <w:tcPr>
            <w:tcW w:w="140" w:type="dxa"/>
            <w:vAlign w:val="bottom"/>
          </w:tcPr>
          <w:p>
            <w:pPr>
              <w:spacing w:after="0"/>
              <w:rPr>
                <w:sz w:val="9"/>
                <w:szCs w:val="9"/>
                <w:color w:val="auto"/>
              </w:rPr>
            </w:pPr>
          </w:p>
        </w:tc>
        <w:tc>
          <w:tcPr>
            <w:tcW w:w="700" w:type="dxa"/>
            <w:vAlign w:val="bottom"/>
          </w:tcPr>
          <w:p>
            <w:pPr>
              <w:jc w:val="right"/>
              <w:ind w:right="11"/>
              <w:spacing w:after="0" w:line="110" w:lineRule="exact"/>
              <w:rPr>
                <w:sz w:val="20"/>
                <w:szCs w:val="20"/>
                <w:color w:val="auto"/>
              </w:rPr>
            </w:pPr>
            <w:r>
              <w:rPr>
                <w:rFonts w:ascii="Arial" w:cs="Arial" w:eastAsia="Arial" w:hAnsi="Arial"/>
                <w:sz w:val="10"/>
                <w:szCs w:val="10"/>
                <w:color w:val="auto"/>
              </w:rPr>
              <w:t>23,235,575</w:t>
            </w:r>
          </w:p>
        </w:tc>
      </w:tr>
      <w:tr>
        <w:trPr>
          <w:trHeight w:val="110"/>
        </w:trPr>
        <w:tc>
          <w:tcPr>
            <w:tcW w:w="1440" w:type="dxa"/>
            <w:vAlign w:val="bottom"/>
          </w:tcPr>
          <w:p>
            <w:pPr>
              <w:spacing w:after="0" w:line="110" w:lineRule="exact"/>
              <w:rPr>
                <w:sz w:val="20"/>
                <w:szCs w:val="20"/>
                <w:color w:val="auto"/>
              </w:rPr>
            </w:pPr>
            <w:r>
              <w:rPr>
                <w:rFonts w:ascii="Arial" w:cs="Arial" w:eastAsia="Arial" w:hAnsi="Arial"/>
                <w:sz w:val="10"/>
                <w:szCs w:val="10"/>
                <w:color w:val="auto"/>
              </w:rPr>
              <w:t>Microbusiness loans</w:t>
            </w: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19,591,337</w:t>
            </w:r>
          </w:p>
        </w:tc>
        <w:tc>
          <w:tcPr>
            <w:tcW w:w="140" w:type="dxa"/>
            <w:vAlign w:val="bottom"/>
          </w:tcPr>
          <w:p>
            <w:pPr>
              <w:spacing w:after="0"/>
              <w:rPr>
                <w:sz w:val="9"/>
                <w:szCs w:val="9"/>
                <w:color w:val="auto"/>
              </w:rPr>
            </w:pPr>
          </w:p>
        </w:tc>
        <w:tc>
          <w:tcPr>
            <w:tcW w:w="600" w:type="dxa"/>
            <w:vAlign w:val="bottom"/>
          </w:tcPr>
          <w:p>
            <w:pPr>
              <w:jc w:val="right"/>
              <w:spacing w:after="0" w:line="110" w:lineRule="exact"/>
              <w:rPr>
                <w:sz w:val="20"/>
                <w:szCs w:val="20"/>
                <w:color w:val="auto"/>
              </w:rPr>
            </w:pPr>
            <w:r>
              <w:rPr>
                <w:rFonts w:ascii="Arial" w:cs="Arial" w:eastAsia="Arial" w:hAnsi="Arial"/>
                <w:sz w:val="10"/>
                <w:szCs w:val="10"/>
                <w:color w:val="auto"/>
              </w:rPr>
              <w:t>333,213</w:t>
            </w:r>
          </w:p>
        </w:tc>
        <w:tc>
          <w:tcPr>
            <w:tcW w:w="140" w:type="dxa"/>
            <w:vAlign w:val="bottom"/>
          </w:tcPr>
          <w:p>
            <w:pPr>
              <w:spacing w:after="0"/>
              <w:rPr>
                <w:sz w:val="9"/>
                <w:szCs w:val="9"/>
                <w:color w:val="auto"/>
              </w:rPr>
            </w:pPr>
          </w:p>
        </w:tc>
        <w:tc>
          <w:tcPr>
            <w:tcW w:w="1140" w:type="dxa"/>
            <w:vAlign w:val="bottom"/>
          </w:tcPr>
          <w:p>
            <w:pPr>
              <w:jc w:val="right"/>
              <w:spacing w:after="0" w:line="110" w:lineRule="exact"/>
              <w:rPr>
                <w:sz w:val="20"/>
                <w:szCs w:val="20"/>
                <w:color w:val="auto"/>
              </w:rPr>
            </w:pPr>
            <w:r>
              <w:rPr>
                <w:rFonts w:ascii="Arial" w:cs="Arial" w:eastAsia="Arial" w:hAnsi="Arial"/>
                <w:sz w:val="10"/>
                <w:szCs w:val="10"/>
                <w:color w:val="auto"/>
              </w:rPr>
              <w:t>978,265</w:t>
            </w:r>
          </w:p>
        </w:tc>
        <w:tc>
          <w:tcPr>
            <w:tcW w:w="140" w:type="dxa"/>
            <w:vAlign w:val="bottom"/>
          </w:tcPr>
          <w:p>
            <w:pPr>
              <w:spacing w:after="0"/>
              <w:rPr>
                <w:sz w:val="9"/>
                <w:szCs w:val="9"/>
                <w:color w:val="auto"/>
              </w:rPr>
            </w:pPr>
          </w:p>
        </w:tc>
        <w:tc>
          <w:tcPr>
            <w:tcW w:w="62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1,522,935</w:t>
            </w:r>
          </w:p>
        </w:tc>
        <w:tc>
          <w:tcPr>
            <w:tcW w:w="120" w:type="dxa"/>
            <w:vAlign w:val="bottom"/>
          </w:tcPr>
          <w:p>
            <w:pPr>
              <w:spacing w:after="0"/>
              <w:rPr>
                <w:sz w:val="9"/>
                <w:szCs w:val="9"/>
                <w:color w:val="auto"/>
              </w:rPr>
            </w:pPr>
          </w:p>
        </w:tc>
        <w:tc>
          <w:tcPr>
            <w:tcW w:w="660" w:type="dxa"/>
            <w:vAlign w:val="bottom"/>
          </w:tcPr>
          <w:p>
            <w:pPr>
              <w:jc w:val="right"/>
              <w:spacing w:after="0" w:line="110" w:lineRule="exact"/>
              <w:rPr>
                <w:sz w:val="20"/>
                <w:szCs w:val="20"/>
                <w:color w:val="auto"/>
              </w:rPr>
            </w:pPr>
            <w:r>
              <w:rPr>
                <w:rFonts w:ascii="Arial" w:cs="Arial" w:eastAsia="Arial" w:hAnsi="Arial"/>
                <w:sz w:val="10"/>
                <w:szCs w:val="10"/>
                <w:color w:val="auto"/>
              </w:rPr>
              <w:t>22,425,750</w:t>
            </w:r>
          </w:p>
        </w:tc>
        <w:tc>
          <w:tcPr>
            <w:tcW w:w="140" w:type="dxa"/>
            <w:vAlign w:val="bottom"/>
          </w:tcPr>
          <w:p>
            <w:pPr>
              <w:spacing w:after="0"/>
              <w:rPr>
                <w:sz w:val="9"/>
                <w:szCs w:val="9"/>
                <w:color w:val="auto"/>
              </w:rPr>
            </w:pPr>
          </w:p>
        </w:tc>
        <w:tc>
          <w:tcPr>
            <w:tcW w:w="680" w:type="dxa"/>
            <w:vAlign w:val="bottom"/>
          </w:tcPr>
          <w:p>
            <w:pPr>
              <w:jc w:val="right"/>
              <w:ind w:right="11"/>
              <w:spacing w:after="0" w:line="110" w:lineRule="exact"/>
              <w:rPr>
                <w:sz w:val="20"/>
                <w:szCs w:val="20"/>
                <w:color w:val="auto"/>
              </w:rPr>
            </w:pPr>
            <w:r>
              <w:rPr>
                <w:rFonts w:ascii="Arial" w:cs="Arial" w:eastAsia="Arial" w:hAnsi="Arial"/>
                <w:sz w:val="10"/>
                <w:szCs w:val="10"/>
                <w:color w:val="auto"/>
              </w:rPr>
              <w:t>19,581,019</w:t>
            </w:r>
          </w:p>
        </w:tc>
        <w:tc>
          <w:tcPr>
            <w:tcW w:w="120" w:type="dxa"/>
            <w:vAlign w:val="bottom"/>
          </w:tcPr>
          <w:p>
            <w:pPr>
              <w:spacing w:after="0"/>
              <w:rPr>
                <w:sz w:val="9"/>
                <w:szCs w:val="9"/>
                <w:color w:val="auto"/>
              </w:rPr>
            </w:pPr>
          </w:p>
        </w:tc>
        <w:tc>
          <w:tcPr>
            <w:tcW w:w="640" w:type="dxa"/>
            <w:vAlign w:val="bottom"/>
          </w:tcPr>
          <w:p>
            <w:pPr>
              <w:jc w:val="right"/>
              <w:ind w:right="11"/>
              <w:spacing w:after="0" w:line="110" w:lineRule="exact"/>
              <w:rPr>
                <w:sz w:val="20"/>
                <w:szCs w:val="20"/>
                <w:color w:val="auto"/>
              </w:rPr>
            </w:pPr>
            <w:r>
              <w:rPr>
                <w:rFonts w:ascii="Arial" w:cs="Arial" w:eastAsia="Arial" w:hAnsi="Arial"/>
                <w:sz w:val="10"/>
                <w:szCs w:val="10"/>
                <w:color w:val="auto"/>
              </w:rPr>
              <w:t>365,265</w:t>
            </w:r>
          </w:p>
        </w:tc>
        <w:tc>
          <w:tcPr>
            <w:tcW w:w="120" w:type="dxa"/>
            <w:vAlign w:val="bottom"/>
          </w:tcPr>
          <w:p>
            <w:pPr>
              <w:spacing w:after="0"/>
              <w:rPr>
                <w:sz w:val="9"/>
                <w:szCs w:val="9"/>
                <w:color w:val="auto"/>
              </w:rPr>
            </w:pPr>
          </w:p>
        </w:tc>
        <w:tc>
          <w:tcPr>
            <w:tcW w:w="1160" w:type="dxa"/>
            <w:vAlign w:val="bottom"/>
          </w:tcPr>
          <w:p>
            <w:pPr>
              <w:jc w:val="right"/>
              <w:spacing w:after="0" w:line="110" w:lineRule="exact"/>
              <w:rPr>
                <w:sz w:val="20"/>
                <w:szCs w:val="20"/>
                <w:color w:val="auto"/>
              </w:rPr>
            </w:pPr>
            <w:r>
              <w:rPr>
                <w:rFonts w:ascii="Arial" w:cs="Arial" w:eastAsia="Arial" w:hAnsi="Arial"/>
                <w:sz w:val="10"/>
                <w:szCs w:val="10"/>
                <w:color w:val="auto"/>
              </w:rPr>
              <w:t>950,477</w:t>
            </w:r>
          </w:p>
        </w:tc>
        <w:tc>
          <w:tcPr>
            <w:tcW w:w="140" w:type="dxa"/>
            <w:vAlign w:val="bottom"/>
          </w:tcPr>
          <w:p>
            <w:pPr>
              <w:spacing w:after="0"/>
              <w:rPr>
                <w:sz w:val="9"/>
                <w:szCs w:val="9"/>
                <w:color w:val="auto"/>
              </w:rPr>
            </w:pPr>
          </w:p>
        </w:tc>
        <w:tc>
          <w:tcPr>
            <w:tcW w:w="620" w:type="dxa"/>
            <w:vAlign w:val="bottom"/>
          </w:tcPr>
          <w:p>
            <w:pPr>
              <w:jc w:val="right"/>
              <w:spacing w:after="0" w:line="110" w:lineRule="exact"/>
              <w:rPr>
                <w:sz w:val="20"/>
                <w:szCs w:val="20"/>
                <w:color w:val="auto"/>
              </w:rPr>
            </w:pPr>
            <w:r>
              <w:rPr>
                <w:rFonts w:ascii="Arial" w:cs="Arial" w:eastAsia="Arial" w:hAnsi="Arial"/>
                <w:sz w:val="10"/>
                <w:szCs w:val="10"/>
                <w:color w:val="auto"/>
              </w:rPr>
              <w:t>1,475,532</w:t>
            </w:r>
          </w:p>
        </w:tc>
        <w:tc>
          <w:tcPr>
            <w:tcW w:w="140" w:type="dxa"/>
            <w:vAlign w:val="bottom"/>
          </w:tcPr>
          <w:p>
            <w:pPr>
              <w:spacing w:after="0"/>
              <w:rPr>
                <w:sz w:val="9"/>
                <w:szCs w:val="9"/>
                <w:color w:val="auto"/>
              </w:rPr>
            </w:pPr>
          </w:p>
        </w:tc>
        <w:tc>
          <w:tcPr>
            <w:tcW w:w="700" w:type="dxa"/>
            <w:vAlign w:val="bottom"/>
          </w:tcPr>
          <w:p>
            <w:pPr>
              <w:jc w:val="right"/>
              <w:ind w:right="11"/>
              <w:spacing w:after="0" w:line="110" w:lineRule="exact"/>
              <w:rPr>
                <w:sz w:val="20"/>
                <w:szCs w:val="20"/>
                <w:color w:val="auto"/>
              </w:rPr>
            </w:pPr>
            <w:r>
              <w:rPr>
                <w:rFonts w:ascii="Arial" w:cs="Arial" w:eastAsia="Arial" w:hAnsi="Arial"/>
                <w:sz w:val="10"/>
                <w:szCs w:val="10"/>
                <w:color w:val="auto"/>
              </w:rPr>
              <w:t>22,372,293</w:t>
            </w:r>
          </w:p>
        </w:tc>
      </w:tr>
      <w:tr>
        <w:trPr>
          <w:trHeight w:val="133"/>
        </w:trPr>
        <w:tc>
          <w:tcPr>
            <w:tcW w:w="1440" w:type="dxa"/>
            <w:vAlign w:val="bottom"/>
          </w:tcPr>
          <w:p>
            <w:pPr>
              <w:spacing w:after="0"/>
              <w:rPr>
                <w:sz w:val="20"/>
                <w:szCs w:val="20"/>
                <w:color w:val="auto"/>
              </w:rPr>
            </w:pPr>
            <w:r>
              <w:rPr>
                <w:rFonts w:ascii="Arial" w:cs="Arial" w:eastAsia="Arial" w:hAnsi="Arial"/>
                <w:sz w:val="10"/>
                <w:szCs w:val="10"/>
                <w:color w:val="auto"/>
              </w:rPr>
              <w:t>Consumer loans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17,762,427</w:t>
            </w:r>
          </w:p>
        </w:tc>
        <w:tc>
          <w:tcPr>
            <w:tcW w:w="14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584,091</w:t>
            </w:r>
          </w:p>
        </w:tc>
        <w:tc>
          <w:tcPr>
            <w:tcW w:w="140" w:type="dxa"/>
            <w:vAlign w:val="bottom"/>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1,014,616</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699,050</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20,060,184</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18,166,108</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475,029</w:t>
            </w:r>
          </w:p>
        </w:tc>
        <w:tc>
          <w:tcPr>
            <w:tcW w:w="120" w:type="dxa"/>
            <w:vAlign w:val="bottom"/>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808,166</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464,198</w:t>
            </w:r>
          </w:p>
        </w:tc>
        <w:tc>
          <w:tcPr>
            <w:tcW w:w="140" w:type="dxa"/>
            <w:vAlign w:val="bottom"/>
          </w:tcPr>
          <w:p>
            <w:pPr>
              <w:spacing w:after="0"/>
              <w:rPr>
                <w:sz w:val="11"/>
                <w:szCs w:val="11"/>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19,913,501</w:t>
            </w:r>
          </w:p>
        </w:tc>
      </w:tr>
      <w:tr>
        <w:trPr>
          <w:trHeight w:val="107"/>
        </w:trPr>
        <w:tc>
          <w:tcPr>
            <w:tcW w:w="1440" w:type="dxa"/>
            <w:vAlign w:val="bottom"/>
          </w:tcPr>
          <w:p>
            <w:pPr>
              <w:spacing w:after="0" w:line="103" w:lineRule="exact"/>
              <w:rPr>
                <w:sz w:val="20"/>
                <w:szCs w:val="20"/>
                <w:color w:val="auto"/>
              </w:rPr>
            </w:pPr>
            <w:r>
              <w:rPr>
                <w:rFonts w:ascii="Arial" w:cs="Arial" w:eastAsia="Arial" w:hAnsi="Arial"/>
                <w:sz w:val="10"/>
                <w:szCs w:val="10"/>
                <w:b w:val="1"/>
                <w:bCs w:val="1"/>
                <w:color w:val="auto"/>
              </w:rPr>
              <w:t>Total</w:t>
            </w:r>
          </w:p>
        </w:tc>
        <w:tc>
          <w:tcPr>
            <w:tcW w:w="6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127,986,359</w:t>
            </w:r>
          </w:p>
        </w:tc>
        <w:tc>
          <w:tcPr>
            <w:tcW w:w="140" w:type="dxa"/>
            <w:vAlign w:val="bottom"/>
          </w:tcPr>
          <w:p>
            <w:pPr>
              <w:spacing w:after="0"/>
              <w:rPr>
                <w:sz w:val="9"/>
                <w:szCs w:val="9"/>
                <w:color w:val="auto"/>
              </w:rPr>
            </w:pPr>
          </w:p>
        </w:tc>
        <w:tc>
          <w:tcPr>
            <w:tcW w:w="6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4,303,046</w:t>
            </w:r>
          </w:p>
        </w:tc>
        <w:tc>
          <w:tcPr>
            <w:tcW w:w="140" w:type="dxa"/>
            <w:vAlign w:val="bottom"/>
          </w:tcPr>
          <w:p>
            <w:pPr>
              <w:spacing w:after="0"/>
              <w:rPr>
                <w:sz w:val="9"/>
                <w:szCs w:val="9"/>
                <w:color w:val="auto"/>
              </w:rPr>
            </w:pPr>
          </w:p>
        </w:tc>
        <w:tc>
          <w:tcPr>
            <w:tcW w:w="11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5,060,682</w:t>
            </w:r>
          </w:p>
        </w:tc>
        <w:tc>
          <w:tcPr>
            <w:tcW w:w="140" w:type="dxa"/>
            <w:vAlign w:val="bottom"/>
          </w:tcPr>
          <w:p>
            <w:pPr>
              <w:spacing w:after="0"/>
              <w:rPr>
                <w:sz w:val="9"/>
                <w:szCs w:val="9"/>
                <w:color w:val="auto"/>
              </w:rPr>
            </w:pPr>
          </w:p>
        </w:tc>
        <w:tc>
          <w:tcPr>
            <w:tcW w:w="620" w:type="dxa"/>
            <w:vAlign w:val="bottom"/>
            <w:tcBorders>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6,133,167</w:t>
            </w:r>
          </w:p>
        </w:tc>
        <w:tc>
          <w:tcPr>
            <w:tcW w:w="120" w:type="dxa"/>
            <w:vAlign w:val="bottom"/>
          </w:tcPr>
          <w:p>
            <w:pPr>
              <w:spacing w:after="0"/>
              <w:rPr>
                <w:sz w:val="9"/>
                <w:szCs w:val="9"/>
                <w:color w:val="auto"/>
              </w:rPr>
            </w:pPr>
          </w:p>
        </w:tc>
        <w:tc>
          <w:tcPr>
            <w:tcW w:w="6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143,483,254</w:t>
            </w:r>
          </w:p>
        </w:tc>
        <w:tc>
          <w:tcPr>
            <w:tcW w:w="140" w:type="dxa"/>
            <w:vAlign w:val="bottom"/>
          </w:tcPr>
          <w:p>
            <w:pPr>
              <w:spacing w:after="0"/>
              <w:rPr>
                <w:sz w:val="9"/>
                <w:szCs w:val="9"/>
                <w:color w:val="auto"/>
              </w:rPr>
            </w:pPr>
          </w:p>
        </w:tc>
        <w:tc>
          <w:tcPr>
            <w:tcW w:w="680" w:type="dxa"/>
            <w:vAlign w:val="bottom"/>
            <w:tcBorders>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132,442,147</w:t>
            </w:r>
          </w:p>
        </w:tc>
        <w:tc>
          <w:tcPr>
            <w:tcW w:w="120" w:type="dxa"/>
            <w:vAlign w:val="bottom"/>
          </w:tcPr>
          <w:p>
            <w:pPr>
              <w:spacing w:after="0"/>
              <w:rPr>
                <w:sz w:val="9"/>
                <w:szCs w:val="9"/>
                <w:color w:val="auto"/>
              </w:rPr>
            </w:pPr>
          </w:p>
        </w:tc>
        <w:tc>
          <w:tcPr>
            <w:tcW w:w="640" w:type="dxa"/>
            <w:vAlign w:val="bottom"/>
            <w:tcBorders>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4,461,962</w:t>
            </w:r>
          </w:p>
        </w:tc>
        <w:tc>
          <w:tcPr>
            <w:tcW w:w="120" w:type="dxa"/>
            <w:vAlign w:val="bottom"/>
          </w:tcPr>
          <w:p>
            <w:pPr>
              <w:spacing w:after="0"/>
              <w:rPr>
                <w:sz w:val="9"/>
                <w:szCs w:val="9"/>
                <w:color w:val="auto"/>
              </w:rPr>
            </w:pPr>
          </w:p>
        </w:tc>
        <w:tc>
          <w:tcPr>
            <w:tcW w:w="11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4,332,339</w:t>
            </w:r>
          </w:p>
        </w:tc>
        <w:tc>
          <w:tcPr>
            <w:tcW w:w="140" w:type="dxa"/>
            <w:vAlign w:val="bottom"/>
          </w:tcPr>
          <w:p>
            <w:pPr>
              <w:spacing w:after="0"/>
              <w:rPr>
                <w:sz w:val="9"/>
                <w:szCs w:val="9"/>
                <w:color w:val="auto"/>
              </w:rPr>
            </w:pPr>
          </w:p>
        </w:tc>
        <w:tc>
          <w:tcPr>
            <w:tcW w:w="6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5,953,821</w:t>
            </w:r>
          </w:p>
        </w:tc>
        <w:tc>
          <w:tcPr>
            <w:tcW w:w="140" w:type="dxa"/>
            <w:vAlign w:val="bottom"/>
          </w:tcPr>
          <w:p>
            <w:pPr>
              <w:spacing w:after="0"/>
              <w:rPr>
                <w:sz w:val="9"/>
                <w:szCs w:val="9"/>
                <w:color w:val="auto"/>
              </w:rPr>
            </w:pPr>
          </w:p>
        </w:tc>
        <w:tc>
          <w:tcPr>
            <w:tcW w:w="700" w:type="dxa"/>
            <w:vAlign w:val="bottom"/>
            <w:tcBorders>
              <w:bottom w:val="single" w:sz="8" w:color="auto"/>
            </w:tcBorders>
          </w:tcPr>
          <w:p>
            <w:pPr>
              <w:jc w:val="right"/>
              <w:ind w:right="11"/>
              <w:spacing w:after="0" w:line="103" w:lineRule="exact"/>
              <w:rPr>
                <w:sz w:val="20"/>
                <w:szCs w:val="20"/>
                <w:color w:val="auto"/>
              </w:rPr>
            </w:pPr>
            <w:r>
              <w:rPr>
                <w:rFonts w:ascii="Arial" w:cs="Arial" w:eastAsia="Arial" w:hAnsi="Arial"/>
                <w:sz w:val="10"/>
                <w:szCs w:val="10"/>
                <w:color w:val="auto"/>
              </w:rPr>
              <w:t>147,190,269</w:t>
            </w:r>
          </w:p>
        </w:tc>
      </w:tr>
    </w:tbl>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credit loss provision for direct and indirect credits is a weighted estimate of three macroeconomic scenarios: baseline, optimistic and pessimistic; which are based on macroeconomic projections provided by the internal Economic Studies team and approved by Senior Management. In each scenario, the Group relies on a wide variety of forward-looking information as economic inputs, which include: the growth of the gross domestic product, the inflation rate, the exchange rate, among others, see further explanation in note 3(j).</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Macroeconomic scenario –</w:t>
      </w:r>
    </w:p>
    <w:p>
      <w:pPr>
        <w:spacing w:after="0" w:line="183"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The expected credit loss is a weighted estimate of three macroeconomic scenarios: base, optimistic and pessimistic, which are calculated with macroeconomic projections provided by the Economic Studies team and approved by Senior Management. The local and international information flows available during the analysis period are used to feed the projections, which reflect the fact that Peru is a small and open economy, and in this context, approximately 60.0 percent of the volatility in growth economic is driven by external factors including terms of trade, the growth of Peru’s trading partners and external interest rates. Information is collected on each of these factors to build each scenario for the next three years.</w:t>
      </w:r>
    </w:p>
    <w:p>
      <w:pPr>
        <w:spacing w:after="0" w:line="306"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41275</wp:posOffset>
            </wp:positionV>
            <wp:extent cx="714565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00"/>
          </w:cols>
          <w:pgMar w:left="1200" w:top="306" w:right="399" w:bottom="1440" w:gutter="0" w:footer="0" w:header="0"/>
        </w:sectPr>
      </w:pPr>
    </w:p>
    <w:bookmarkStart w:id="154" w:name="page155"/>
    <w:bookmarkEnd w:id="154"/>
    <w:p>
      <w:pPr>
        <w:ind w:left="880" w:right="380"/>
        <w:spacing w:after="0" w:line="280" w:lineRule="auto"/>
        <w:rPr>
          <w:sz w:val="20"/>
          <w:szCs w:val="20"/>
          <w:color w:val="auto"/>
        </w:rPr>
      </w:pPr>
      <w:r>
        <w:rPr>
          <w:rFonts w:ascii="Arial" w:cs="Arial" w:eastAsia="Arial" w:hAnsi="Arial"/>
          <w:sz w:val="16"/>
          <w:szCs w:val="16"/>
          <w:color w:val="auto"/>
        </w:rPr>
        <w:t>The variables mentioned above, along with local variables (fiscal and monetary variables), are incorporated into the economic models. Two types of models are used:</w:t>
      </w:r>
    </w:p>
    <w:p>
      <w:pPr>
        <w:spacing w:after="0" w:line="120" w:lineRule="exact"/>
        <w:rPr>
          <w:sz w:val="20"/>
          <w:szCs w:val="20"/>
          <w:color w:val="auto"/>
        </w:rPr>
      </w:pPr>
    </w:p>
    <w:p>
      <w:pPr>
        <w:ind w:left="1020" w:hanging="143"/>
        <w:spacing w:after="0"/>
        <w:tabs>
          <w:tab w:leader="none" w:pos="10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Structural projection model.</w:t>
      </w:r>
    </w:p>
    <w:p>
      <w:pPr>
        <w:spacing w:after="0" w:line="15" w:lineRule="exact"/>
        <w:rPr>
          <w:rFonts w:ascii="Arial" w:cs="Arial" w:eastAsia="Arial" w:hAnsi="Arial"/>
          <w:sz w:val="16"/>
          <w:szCs w:val="16"/>
          <w:color w:val="auto"/>
        </w:rPr>
      </w:pPr>
    </w:p>
    <w:p>
      <w:pPr>
        <w:ind w:left="1040" w:hanging="163"/>
        <w:spacing w:after="0"/>
        <w:tabs>
          <w:tab w:leader="none" w:pos="10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Financial programming model.</w:t>
      </w:r>
    </w:p>
    <w:p>
      <w:pPr>
        <w:spacing w:after="0" w:line="167" w:lineRule="exact"/>
        <w:rPr>
          <w:sz w:val="20"/>
          <w:szCs w:val="20"/>
          <w:color w:val="auto"/>
        </w:rPr>
      </w:pPr>
    </w:p>
    <w:p>
      <w:pPr>
        <w:ind w:left="880" w:right="80"/>
        <w:spacing w:after="0" w:line="259" w:lineRule="auto"/>
        <w:rPr>
          <w:sz w:val="20"/>
          <w:szCs w:val="20"/>
          <w:color w:val="auto"/>
        </w:rPr>
      </w:pPr>
      <w:r>
        <w:rPr>
          <w:rFonts w:ascii="Arial" w:cs="Arial" w:eastAsia="Arial" w:hAnsi="Arial"/>
          <w:sz w:val="16"/>
          <w:szCs w:val="16"/>
          <w:color w:val="auto"/>
        </w:rPr>
        <w:t>The first is a stochastic dynamic general equilibrium model, which is built with expectations. The second is constructed with the main identities of the national accounts in accordance with the financial programming methodology designed by the IMF (International Monetary Fund) and the methodologies used by a battery of econometric models.</w:t>
      </w:r>
    </w:p>
    <w:p>
      <w:pPr>
        <w:spacing w:after="0" w:line="137" w:lineRule="exact"/>
        <w:rPr>
          <w:sz w:val="20"/>
          <w:szCs w:val="20"/>
          <w:color w:val="auto"/>
        </w:rPr>
      </w:pPr>
    </w:p>
    <w:p>
      <w:pPr>
        <w:ind w:left="880" w:right="160"/>
        <w:spacing w:after="0" w:line="259" w:lineRule="auto"/>
        <w:rPr>
          <w:sz w:val="20"/>
          <w:szCs w:val="20"/>
          <w:color w:val="auto"/>
        </w:rPr>
      </w:pPr>
      <w:r>
        <w:rPr>
          <w:rFonts w:ascii="Arial" w:cs="Arial" w:eastAsia="Arial" w:hAnsi="Arial"/>
          <w:sz w:val="16"/>
          <w:szCs w:val="16"/>
          <w:color w:val="auto"/>
        </w:rPr>
        <w:t>Through this process, projections of GDP growth, inflation, exchange rate and other macroeconomic variables are obtained for the years 2024 and 2025. We expect GDP to grow around 2.0 percent in 2024 (2023: -0.6 percent hundred). The recovery of economic activity will be explained, among other reasons, by:</w:t>
      </w:r>
    </w:p>
    <w:p>
      <w:pPr>
        <w:spacing w:after="0" w:line="137" w:lineRule="exact"/>
        <w:rPr>
          <w:sz w:val="20"/>
          <w:szCs w:val="20"/>
          <w:color w:val="auto"/>
        </w:rPr>
      </w:pPr>
    </w:p>
    <w:p>
      <w:pPr>
        <w:ind w:left="980" w:hanging="103"/>
        <w:spacing w:after="0"/>
        <w:tabs>
          <w:tab w:leader="none" w:pos="9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 copper price still favorable.</w:t>
      </w:r>
    </w:p>
    <w:p>
      <w:pPr>
        <w:spacing w:after="0" w:line="15" w:lineRule="exact"/>
        <w:rPr>
          <w:rFonts w:ascii="Arial" w:cs="Arial" w:eastAsia="Arial" w:hAnsi="Arial"/>
          <w:sz w:val="16"/>
          <w:szCs w:val="16"/>
          <w:color w:val="auto"/>
        </w:rPr>
      </w:pPr>
    </w:p>
    <w:p>
      <w:pPr>
        <w:ind w:left="980" w:hanging="103"/>
        <w:spacing w:after="0"/>
        <w:tabs>
          <w:tab w:leader="none" w:pos="9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Inflation will continue to slow down, favoring the purchasing power of households.</w:t>
      </w:r>
    </w:p>
    <w:p>
      <w:pPr>
        <w:ind w:left="980" w:hanging="103"/>
        <w:spacing w:after="0"/>
        <w:tabs>
          <w:tab w:leader="none" w:pos="9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Investment projects that begin or continue their execution.</w:t>
      </w:r>
    </w:p>
    <w:p>
      <w:pPr>
        <w:ind w:left="980" w:hanging="103"/>
        <w:spacing w:after="0"/>
        <w:tabs>
          <w:tab w:leader="none" w:pos="9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Better results in the Agriculture and Fishing sectors.</w:t>
      </w:r>
    </w:p>
    <w:p>
      <w:pPr>
        <w:spacing w:after="0" w:line="167" w:lineRule="exact"/>
        <w:rPr>
          <w:sz w:val="20"/>
          <w:szCs w:val="20"/>
          <w:color w:val="auto"/>
        </w:rPr>
      </w:pPr>
    </w:p>
    <w:p>
      <w:pPr>
        <w:ind w:left="880" w:right="40"/>
        <w:spacing w:after="0" w:line="249" w:lineRule="auto"/>
        <w:rPr>
          <w:sz w:val="20"/>
          <w:szCs w:val="20"/>
          <w:color w:val="auto"/>
        </w:rPr>
      </w:pPr>
      <w:r>
        <w:rPr>
          <w:rFonts w:ascii="Arial" w:cs="Arial" w:eastAsia="Arial" w:hAnsi="Arial"/>
          <w:sz w:val="16"/>
          <w:szCs w:val="16"/>
          <w:color w:val="auto"/>
        </w:rPr>
        <w:t>The Peruvian Government, in a statement dated December 29, 2023, indicated that the Coastal Niño is expected to continue until April 2024. However, for the period of January-March 2024 it revised downwards the probabilities of an event of magnitude moderate at 37 percent (previous: 54 percent) and strong at 12 percent (previous 22 percent). On the contrary, the probabilities of a weak magnitude event increased to 33 percent (previous: 20 percent) and neutral (No Child) to 18 percent (previous: 3 percent). By 2025, the Peruvian economy would grow around 3.0 percent due to the recovery of domestic demand.</w:t>
      </w:r>
    </w:p>
    <w:p>
      <w:pPr>
        <w:spacing w:after="0" w:line="145" w:lineRule="exact"/>
        <w:rPr>
          <w:sz w:val="20"/>
          <w:szCs w:val="20"/>
          <w:color w:val="auto"/>
        </w:rPr>
      </w:pPr>
    </w:p>
    <w:p>
      <w:pPr>
        <w:ind w:left="880" w:right="120"/>
        <w:spacing w:after="0" w:line="249" w:lineRule="auto"/>
        <w:rPr>
          <w:sz w:val="20"/>
          <w:szCs w:val="20"/>
          <w:color w:val="auto"/>
        </w:rPr>
      </w:pPr>
      <w:r>
        <w:rPr>
          <w:rFonts w:ascii="Arial" w:cs="Arial" w:eastAsia="Arial" w:hAnsi="Arial"/>
          <w:sz w:val="16"/>
          <w:szCs w:val="16"/>
          <w:color w:val="auto"/>
        </w:rPr>
        <w:t>For 2024, probabilities of 50 percent, 40 percent and 10 percent were considered for the baseline, optimistic and pessimistic scenarios, respectively. The 2024 probabilities, taking into account the probability of the occurrence of the El Niño phenomenon, the recovery of the economic cycle and the impacts of external factors on the Peruvian economy. For 2025, we return to the probabilities of 50 percent, 25 percent and 25 percent for the baseline, optimistic and pessimistic scenarios, respectively. The probabilities assigned to each scenario and the projections are validated through a fan chart analysis, which uses the likelihood function to identify and analyze:</w:t>
      </w:r>
    </w:p>
    <w:p>
      <w:pPr>
        <w:spacing w:after="0" w:line="145" w:lineRule="exact"/>
        <w:rPr>
          <w:sz w:val="20"/>
          <w:szCs w:val="20"/>
          <w:color w:val="auto"/>
        </w:rPr>
      </w:pPr>
    </w:p>
    <w:p>
      <w:pPr>
        <w:ind w:left="1180" w:hanging="303"/>
        <w:spacing w:after="0"/>
        <w:tabs>
          <w:tab w:leader="none" w:pos="11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central tendency of the projections.</w:t>
      </w:r>
    </w:p>
    <w:p>
      <w:pPr>
        <w:spacing w:after="0" w:line="15" w:lineRule="exact"/>
        <w:rPr>
          <w:rFonts w:ascii="Arial" w:cs="Arial" w:eastAsia="Arial" w:hAnsi="Arial"/>
          <w:sz w:val="16"/>
          <w:szCs w:val="16"/>
          <w:color w:val="auto"/>
        </w:rPr>
      </w:pPr>
    </w:p>
    <w:p>
      <w:pPr>
        <w:ind w:left="1180" w:hanging="303"/>
        <w:spacing w:after="0"/>
        <w:tabs>
          <w:tab w:leader="none" w:pos="11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dispersion that is expected around this value.</w:t>
      </w:r>
    </w:p>
    <w:p>
      <w:pPr>
        <w:ind w:left="1180" w:hanging="303"/>
        <w:spacing w:after="0"/>
        <w:tabs>
          <w:tab w:leader="none" w:pos="11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values that are higher or lower than the central value that are more or less probable.</w:t>
      </w:r>
    </w:p>
    <w:p>
      <w:pPr>
        <w:spacing w:after="0" w:line="167" w:lineRule="exact"/>
        <w:rPr>
          <w:sz w:val="20"/>
          <w:szCs w:val="20"/>
          <w:color w:val="auto"/>
        </w:rPr>
      </w:pPr>
    </w:p>
    <w:p>
      <w:pPr>
        <w:ind w:left="880" w:right="360"/>
        <w:spacing w:after="0" w:line="280" w:lineRule="auto"/>
        <w:rPr>
          <w:sz w:val="20"/>
          <w:szCs w:val="20"/>
          <w:color w:val="auto"/>
        </w:rPr>
      </w:pPr>
      <w:r>
        <w:rPr>
          <w:rFonts w:ascii="Arial" w:cs="Arial" w:eastAsia="Arial" w:hAnsi="Arial"/>
          <w:sz w:val="16"/>
          <w:szCs w:val="16"/>
          <w:color w:val="auto"/>
        </w:rPr>
        <w:t>The following table provides a comparison between the carrying amount of allowance for loan losses for direct loans, indirect loans and due from customers on banker’s acceptances, and its estimation under three scenarios: base, optimistic and pessimistic.</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40" w:type="dxa"/>
            <w:vAlign w:val="bottom"/>
          </w:tcPr>
          <w:p>
            <w:pPr>
              <w:spacing w:after="0"/>
              <w:rPr>
                <w:sz w:val="17"/>
                <w:szCs w:val="17"/>
                <w:color w:val="auto"/>
              </w:rPr>
            </w:pPr>
          </w:p>
        </w:tc>
        <w:tc>
          <w:tcPr>
            <w:tcW w:w="3860" w:type="dxa"/>
            <w:vAlign w:val="bottom"/>
            <w:gridSpan w:val="2"/>
          </w:tcPr>
          <w:p>
            <w:pPr>
              <w:ind w:left="292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2022</w:t>
            </w:r>
          </w:p>
        </w:tc>
        <w:tc>
          <w:tcPr>
            <w:tcW w:w="2520" w:type="dxa"/>
            <w:vAlign w:val="bottom"/>
          </w:tcPr>
          <w:p>
            <w:pPr>
              <w:spacing w:after="0"/>
              <w:rPr>
                <w:sz w:val="17"/>
                <w:szCs w:val="17"/>
                <w:color w:val="auto"/>
              </w:rPr>
            </w:pPr>
          </w:p>
        </w:tc>
      </w:tr>
      <w:tr>
        <w:trPr>
          <w:trHeight w:val="216"/>
        </w:trPr>
        <w:tc>
          <w:tcPr>
            <w:tcW w:w="38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9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S/(000)</w:t>
            </w:r>
          </w:p>
        </w:tc>
        <w:tc>
          <w:tcPr>
            <w:tcW w:w="2520" w:type="dxa"/>
            <w:vAlign w:val="bottom"/>
          </w:tcPr>
          <w:p>
            <w:pPr>
              <w:spacing w:after="0"/>
              <w:rPr>
                <w:sz w:val="18"/>
                <w:szCs w:val="18"/>
                <w:color w:val="auto"/>
              </w:rPr>
            </w:pPr>
          </w:p>
        </w:tc>
      </w:tr>
      <w:tr>
        <w:trPr>
          <w:trHeight w:val="350"/>
        </w:trPr>
        <w:tc>
          <w:tcPr>
            <w:tcW w:w="3840" w:type="dxa"/>
            <w:vAlign w:val="bottom"/>
          </w:tcPr>
          <w:p>
            <w:pPr>
              <w:ind w:left="920"/>
              <w:spacing w:after="0"/>
              <w:rPr>
                <w:sz w:val="20"/>
                <w:szCs w:val="20"/>
                <w:color w:val="auto"/>
              </w:rPr>
            </w:pPr>
            <w:r>
              <w:rPr>
                <w:rFonts w:ascii="Arial" w:cs="Arial" w:eastAsia="Arial" w:hAnsi="Arial"/>
                <w:sz w:val="16"/>
                <w:szCs w:val="16"/>
                <w:b w:val="1"/>
                <w:bCs w:val="1"/>
                <w:color w:val="auto"/>
              </w:rPr>
              <w:t>Carrying amount</w:t>
            </w:r>
          </w:p>
        </w:tc>
        <w:tc>
          <w:tcPr>
            <w:tcW w:w="3860" w:type="dxa"/>
            <w:vAlign w:val="bottom"/>
            <w:gridSpan w:val="2"/>
          </w:tcPr>
          <w:p>
            <w:pPr>
              <w:jc w:val="right"/>
              <w:ind w:right="19"/>
              <w:spacing w:after="0"/>
              <w:rPr>
                <w:sz w:val="20"/>
                <w:szCs w:val="20"/>
                <w:color w:val="auto"/>
              </w:rPr>
            </w:pPr>
            <w:r>
              <w:rPr>
                <w:rFonts w:ascii="Arial" w:cs="Arial" w:eastAsia="Arial" w:hAnsi="Arial"/>
                <w:sz w:val="16"/>
                <w:szCs w:val="16"/>
                <w:color w:val="auto"/>
              </w:rPr>
              <w:t>8,645,945</w:t>
            </w:r>
          </w:p>
        </w:tc>
        <w:tc>
          <w:tcPr>
            <w:tcW w:w="6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8,530,986</w:t>
            </w:r>
          </w:p>
        </w:tc>
        <w:tc>
          <w:tcPr>
            <w:tcW w:w="2520" w:type="dxa"/>
            <w:vAlign w:val="bottom"/>
          </w:tcPr>
          <w:p>
            <w:pPr>
              <w:spacing w:after="0"/>
              <w:rPr>
                <w:sz w:val="24"/>
                <w:szCs w:val="24"/>
                <w:color w:val="auto"/>
              </w:rPr>
            </w:pPr>
          </w:p>
        </w:tc>
      </w:tr>
      <w:tr>
        <w:trPr>
          <w:trHeight w:val="326"/>
        </w:trPr>
        <w:tc>
          <w:tcPr>
            <w:tcW w:w="3840" w:type="dxa"/>
            <w:vAlign w:val="bottom"/>
          </w:tcPr>
          <w:p>
            <w:pPr>
              <w:ind w:left="920"/>
              <w:spacing w:after="0"/>
              <w:rPr>
                <w:sz w:val="20"/>
                <w:szCs w:val="20"/>
                <w:color w:val="auto"/>
              </w:rPr>
            </w:pPr>
            <w:r>
              <w:rPr>
                <w:rFonts w:ascii="Arial" w:cs="Arial" w:eastAsia="Arial" w:hAnsi="Arial"/>
                <w:sz w:val="16"/>
                <w:szCs w:val="16"/>
                <w:b w:val="1"/>
                <w:bCs w:val="1"/>
                <w:color w:val="auto"/>
              </w:rPr>
              <w:t>Scenarios:</w:t>
            </w:r>
          </w:p>
        </w:tc>
        <w:tc>
          <w:tcPr>
            <w:tcW w:w="2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3"/>
        </w:trPr>
        <w:tc>
          <w:tcPr>
            <w:tcW w:w="3840" w:type="dxa"/>
            <w:vAlign w:val="bottom"/>
          </w:tcPr>
          <w:p>
            <w:pPr>
              <w:ind w:left="1060"/>
              <w:spacing w:after="0"/>
              <w:rPr>
                <w:sz w:val="20"/>
                <w:szCs w:val="20"/>
                <w:color w:val="auto"/>
              </w:rPr>
            </w:pPr>
            <w:r>
              <w:rPr>
                <w:rFonts w:ascii="Arial" w:cs="Arial" w:eastAsia="Arial" w:hAnsi="Arial"/>
                <w:sz w:val="16"/>
                <w:szCs w:val="16"/>
                <w:color w:val="auto"/>
              </w:rPr>
              <w:t>Optimistic</w:t>
            </w:r>
          </w:p>
        </w:tc>
        <w:tc>
          <w:tcPr>
            <w:tcW w:w="3860" w:type="dxa"/>
            <w:vAlign w:val="bottom"/>
            <w:gridSpan w:val="2"/>
          </w:tcPr>
          <w:p>
            <w:pPr>
              <w:jc w:val="right"/>
              <w:ind w:right="19"/>
              <w:spacing w:after="0"/>
              <w:rPr>
                <w:sz w:val="20"/>
                <w:szCs w:val="20"/>
                <w:color w:val="auto"/>
              </w:rPr>
            </w:pPr>
            <w:r>
              <w:rPr>
                <w:rFonts w:ascii="Arial" w:cs="Arial" w:eastAsia="Arial" w:hAnsi="Arial"/>
                <w:sz w:val="16"/>
                <w:szCs w:val="16"/>
                <w:color w:val="auto"/>
              </w:rPr>
              <w:t>8,617,203</w:t>
            </w:r>
          </w:p>
        </w:tc>
        <w:tc>
          <w:tcPr>
            <w:tcW w:w="60" w:type="dxa"/>
            <w:vAlign w:val="bottom"/>
          </w:tcPr>
          <w:p>
            <w:pPr>
              <w:spacing w:after="0"/>
              <w:rPr>
                <w:sz w:val="15"/>
                <w:szCs w:val="15"/>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8,457,825</w:t>
            </w:r>
          </w:p>
        </w:tc>
        <w:tc>
          <w:tcPr>
            <w:tcW w:w="2520" w:type="dxa"/>
            <w:vAlign w:val="bottom"/>
          </w:tcPr>
          <w:p>
            <w:pPr>
              <w:spacing w:after="0"/>
              <w:rPr>
                <w:sz w:val="15"/>
                <w:szCs w:val="15"/>
                <w:color w:val="auto"/>
              </w:rPr>
            </w:pPr>
          </w:p>
        </w:tc>
      </w:tr>
      <w:tr>
        <w:trPr>
          <w:trHeight w:val="183"/>
        </w:trPr>
        <w:tc>
          <w:tcPr>
            <w:tcW w:w="3840" w:type="dxa"/>
            <w:vAlign w:val="bottom"/>
          </w:tcPr>
          <w:p>
            <w:pPr>
              <w:ind w:left="1060"/>
              <w:spacing w:after="0"/>
              <w:rPr>
                <w:sz w:val="20"/>
                <w:szCs w:val="20"/>
                <w:color w:val="auto"/>
              </w:rPr>
            </w:pPr>
            <w:r>
              <w:rPr>
                <w:rFonts w:ascii="Arial" w:cs="Arial" w:eastAsia="Arial" w:hAnsi="Arial"/>
                <w:sz w:val="16"/>
                <w:szCs w:val="16"/>
                <w:color w:val="auto"/>
              </w:rPr>
              <w:t>Base</w:t>
            </w:r>
          </w:p>
        </w:tc>
        <w:tc>
          <w:tcPr>
            <w:tcW w:w="3860" w:type="dxa"/>
            <w:vAlign w:val="bottom"/>
            <w:gridSpan w:val="2"/>
          </w:tcPr>
          <w:p>
            <w:pPr>
              <w:jc w:val="right"/>
              <w:ind w:right="19"/>
              <w:spacing w:after="0"/>
              <w:rPr>
                <w:sz w:val="20"/>
                <w:szCs w:val="20"/>
                <w:color w:val="auto"/>
              </w:rPr>
            </w:pPr>
            <w:r>
              <w:rPr>
                <w:rFonts w:ascii="Arial" w:cs="Arial" w:eastAsia="Arial" w:hAnsi="Arial"/>
                <w:sz w:val="16"/>
                <w:szCs w:val="16"/>
                <w:color w:val="auto"/>
              </w:rPr>
              <w:t>8,654,612</w:t>
            </w:r>
          </w:p>
        </w:tc>
        <w:tc>
          <w:tcPr>
            <w:tcW w:w="60" w:type="dxa"/>
            <w:vAlign w:val="bottom"/>
          </w:tcPr>
          <w:p>
            <w:pPr>
              <w:spacing w:after="0"/>
              <w:rPr>
                <w:sz w:val="15"/>
                <w:szCs w:val="15"/>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8,517,295</w:t>
            </w:r>
          </w:p>
        </w:tc>
        <w:tc>
          <w:tcPr>
            <w:tcW w:w="2520" w:type="dxa"/>
            <w:vAlign w:val="bottom"/>
          </w:tcPr>
          <w:p>
            <w:pPr>
              <w:spacing w:after="0"/>
              <w:rPr>
                <w:sz w:val="15"/>
                <w:szCs w:val="15"/>
                <w:color w:val="auto"/>
              </w:rPr>
            </w:pPr>
          </w:p>
        </w:tc>
      </w:tr>
      <w:tr>
        <w:trPr>
          <w:trHeight w:val="215"/>
        </w:trPr>
        <w:tc>
          <w:tcPr>
            <w:tcW w:w="3840" w:type="dxa"/>
            <w:vAlign w:val="bottom"/>
          </w:tcPr>
          <w:p>
            <w:pPr>
              <w:ind w:left="1060"/>
              <w:spacing w:after="0"/>
              <w:rPr>
                <w:sz w:val="20"/>
                <w:szCs w:val="20"/>
                <w:color w:val="auto"/>
              </w:rPr>
            </w:pPr>
            <w:r>
              <w:rPr>
                <w:rFonts w:ascii="Arial" w:cs="Arial" w:eastAsia="Arial" w:hAnsi="Arial"/>
                <w:sz w:val="16"/>
                <w:szCs w:val="16"/>
                <w:color w:val="auto"/>
              </w:rPr>
              <w:t>Pessimistic</w:t>
            </w:r>
          </w:p>
        </w:tc>
        <w:tc>
          <w:tcPr>
            <w:tcW w:w="3860" w:type="dxa"/>
            <w:vAlign w:val="bottom"/>
            <w:gridSpan w:val="2"/>
          </w:tcPr>
          <w:p>
            <w:pPr>
              <w:jc w:val="right"/>
              <w:ind w:right="19"/>
              <w:spacing w:after="0"/>
              <w:rPr>
                <w:sz w:val="20"/>
                <w:szCs w:val="20"/>
                <w:color w:val="auto"/>
              </w:rPr>
            </w:pPr>
            <w:r>
              <w:rPr>
                <w:rFonts w:ascii="Arial" w:cs="Arial" w:eastAsia="Arial" w:hAnsi="Arial"/>
                <w:sz w:val="16"/>
                <w:szCs w:val="16"/>
                <w:color w:val="auto"/>
              </w:rPr>
              <w:t>8,712,061</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8,631,531</w:t>
            </w:r>
          </w:p>
        </w:tc>
        <w:tc>
          <w:tcPr>
            <w:tcW w:w="2520" w:type="dxa"/>
            <w:vAlign w:val="bottom"/>
          </w:tcPr>
          <w:p>
            <w:pPr>
              <w:spacing w:after="0"/>
              <w:rPr>
                <w:sz w:val="18"/>
                <w:szCs w:val="18"/>
                <w:color w:val="auto"/>
              </w:rPr>
            </w:pPr>
          </w:p>
        </w:tc>
      </w:tr>
      <w:tr>
        <w:trPr>
          <w:trHeight w:val="525"/>
        </w:trPr>
        <w:tc>
          <w:tcPr>
            <w:tcW w:w="3840" w:type="dxa"/>
            <w:vAlign w:val="bottom"/>
          </w:tcPr>
          <w:p>
            <w:pPr>
              <w:spacing w:after="0"/>
              <w:rPr>
                <w:sz w:val="24"/>
                <w:szCs w:val="24"/>
                <w:color w:val="auto"/>
              </w:rPr>
            </w:pPr>
          </w:p>
        </w:tc>
        <w:tc>
          <w:tcPr>
            <w:tcW w:w="2880" w:type="dxa"/>
            <w:vAlign w:val="bottom"/>
          </w:tcPr>
          <w:p>
            <w:pPr>
              <w:jc w:val="right"/>
              <w:ind w:right="899"/>
              <w:spacing w:after="0"/>
              <w:rPr>
                <w:sz w:val="20"/>
                <w:szCs w:val="20"/>
                <w:color w:val="auto"/>
              </w:rPr>
            </w:pPr>
            <w:r>
              <w:rPr>
                <w:rFonts w:ascii="Arial" w:cs="Arial" w:eastAsia="Arial" w:hAnsi="Arial"/>
                <w:sz w:val="16"/>
                <w:szCs w:val="16"/>
                <w:color w:val="auto"/>
              </w:rPr>
              <w:t>152</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8"/>
        </w:trPr>
        <w:tc>
          <w:tcPr>
            <w:tcW w:w="384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155" w:name="page156"/>
    <w:bookmarkEnd w:id="155"/>
    <w:p>
      <w:pPr>
        <w:ind w:left="880" w:hanging="296"/>
        <w:spacing w:after="0"/>
        <w:tabs>
          <w:tab w:leader="none" w:pos="8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Credit risk management on reverse repurchase agreements and securities borrowing -</w:t>
      </w:r>
    </w:p>
    <w:p>
      <w:pPr>
        <w:spacing w:after="0" w:line="182" w:lineRule="exact"/>
        <w:rPr>
          <w:rFonts w:ascii="Arial" w:cs="Arial" w:eastAsia="Arial" w:hAnsi="Arial"/>
          <w:sz w:val="16"/>
          <w:szCs w:val="16"/>
          <w:color w:val="auto"/>
        </w:rPr>
      </w:pPr>
    </w:p>
    <w:p>
      <w:pPr>
        <w:ind w:left="880" w:right="520"/>
        <w:spacing w:after="0" w:line="280" w:lineRule="auto"/>
        <w:rPr>
          <w:rFonts w:ascii="Arial" w:cs="Arial" w:eastAsia="Arial" w:hAnsi="Arial"/>
          <w:sz w:val="16"/>
          <w:szCs w:val="16"/>
          <w:color w:val="auto"/>
        </w:rPr>
      </w:pPr>
      <w:r>
        <w:rPr>
          <w:rFonts w:ascii="Arial" w:cs="Arial" w:eastAsia="Arial" w:hAnsi="Arial"/>
          <w:sz w:val="16"/>
          <w:szCs w:val="16"/>
          <w:color w:val="auto"/>
        </w:rPr>
        <w:t>Most of these operations are performed by Credicorp Capital. The Group has implemented credit limits for each counterparty and most of transactions are collateralized with investment grade financial instruments and financial instruments issued by Governments.</w:t>
      </w:r>
    </w:p>
    <w:p>
      <w:pPr>
        <w:spacing w:after="0" w:line="120" w:lineRule="exact"/>
        <w:rPr>
          <w:rFonts w:ascii="Arial" w:cs="Arial" w:eastAsia="Arial" w:hAnsi="Arial"/>
          <w:sz w:val="16"/>
          <w:szCs w:val="16"/>
          <w:color w:val="auto"/>
        </w:rPr>
      </w:pPr>
    </w:p>
    <w:p>
      <w:pPr>
        <w:ind w:left="880" w:hanging="296"/>
        <w:spacing w:after="0"/>
        <w:tabs>
          <w:tab w:leader="none" w:pos="8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Credit risk management on investments -</w:t>
      </w:r>
    </w:p>
    <w:p>
      <w:pPr>
        <w:spacing w:after="0" w:line="182" w:lineRule="exact"/>
        <w:rPr>
          <w:rFonts w:ascii="Arial" w:cs="Arial" w:eastAsia="Arial" w:hAnsi="Arial"/>
          <w:sz w:val="16"/>
          <w:szCs w:val="16"/>
          <w:color w:val="auto"/>
        </w:rPr>
      </w:pPr>
    </w:p>
    <w:p>
      <w:pPr>
        <w:ind w:left="880" w:right="40"/>
        <w:spacing w:after="0" w:line="254" w:lineRule="auto"/>
        <w:rPr>
          <w:rFonts w:ascii="Arial" w:cs="Arial" w:eastAsia="Arial" w:hAnsi="Arial"/>
          <w:sz w:val="16"/>
          <w:szCs w:val="16"/>
          <w:color w:val="auto"/>
        </w:rPr>
      </w:pPr>
      <w:r>
        <w:rPr>
          <w:rFonts w:ascii="Arial" w:cs="Arial" w:eastAsia="Arial" w:hAnsi="Arial"/>
          <w:sz w:val="16"/>
          <w:szCs w:val="16"/>
          <w:color w:val="auto"/>
        </w:rPr>
        <w:t>The Group evaluates the credit risk identified of each of the investments, disclosing the risk rating granted to them by a risk rating agency. For investments traded in Perú, risk ratings used are those provided by the three most prestigious Peruvian rating agencies (authorized by Peruvian regulator) and for investments traded abroad, the risk-ratings used are those provided by the three most prestigious international rating agencies.</w:t>
      </w:r>
    </w:p>
    <w:p>
      <w:pPr>
        <w:spacing w:after="0" w:line="332" w:lineRule="exact"/>
        <w:rPr>
          <w:rFonts w:ascii="Arial" w:cs="Arial" w:eastAsia="Arial" w:hAnsi="Arial"/>
          <w:sz w:val="16"/>
          <w:szCs w:val="16"/>
          <w:color w:val="auto"/>
        </w:rPr>
      </w:pPr>
    </w:p>
    <w:p>
      <w:pPr>
        <w:ind w:left="880" w:right="620"/>
        <w:spacing w:after="0" w:line="280" w:lineRule="auto"/>
        <w:rPr>
          <w:rFonts w:ascii="Arial" w:cs="Arial" w:eastAsia="Arial" w:hAnsi="Arial"/>
          <w:sz w:val="16"/>
          <w:szCs w:val="16"/>
          <w:color w:val="auto"/>
        </w:rPr>
      </w:pPr>
      <w:r>
        <w:rPr>
          <w:rFonts w:ascii="Arial" w:cs="Arial" w:eastAsia="Arial" w:hAnsi="Arial"/>
          <w:sz w:val="16"/>
          <w:szCs w:val="16"/>
          <w:color w:val="auto"/>
        </w:rPr>
        <w:t>In the event that any subsidiary uses a risk-rating prepared by any other risk rating agency, said risk-ratings are standardized with those provided by the above-mentioned institutions.</w:t>
      </w:r>
    </w:p>
    <w:p>
      <w:pPr>
        <w:spacing w:after="0" w:line="120" w:lineRule="exact"/>
        <w:rPr>
          <w:sz w:val="20"/>
          <w:szCs w:val="20"/>
          <w:color w:val="auto"/>
        </w:rPr>
      </w:pPr>
    </w:p>
    <w:p>
      <w:pPr>
        <w:ind w:left="880" w:right="680"/>
        <w:spacing w:after="0" w:line="280" w:lineRule="auto"/>
        <w:rPr>
          <w:sz w:val="20"/>
          <w:szCs w:val="20"/>
          <w:color w:val="auto"/>
        </w:rPr>
      </w:pPr>
      <w:r>
        <w:rPr>
          <w:rFonts w:ascii="Arial" w:cs="Arial" w:eastAsia="Arial" w:hAnsi="Arial"/>
          <w:sz w:val="16"/>
          <w:szCs w:val="16"/>
          <w:color w:val="auto"/>
        </w:rPr>
        <w:t>The following table shows the analysis of the risk-rating of the investments at fair value through profit or loss, at fair value through other comprehensive income and amortized cost provided by the institutions referred to above: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40" w:type="dxa"/>
            <w:vAlign w:val="bottom"/>
          </w:tcPr>
          <w:p>
            <w:pPr>
              <w:spacing w:after="0"/>
              <w:rPr>
                <w:sz w:val="17"/>
                <w:szCs w:val="17"/>
                <w:color w:val="auto"/>
              </w:rPr>
            </w:pPr>
          </w:p>
        </w:tc>
        <w:tc>
          <w:tcPr>
            <w:tcW w:w="2980" w:type="dxa"/>
            <w:vAlign w:val="bottom"/>
            <w:gridSpan w:val="2"/>
          </w:tcPr>
          <w:p>
            <w:pPr>
              <w:ind w:left="174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ind w:left="4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Instruments rated in Peru:</w:t>
            </w:r>
          </w:p>
        </w:tc>
        <w:tc>
          <w:tcPr>
            <w:tcW w:w="1680" w:type="dxa"/>
            <w:vAlign w:val="bottom"/>
          </w:tcPr>
          <w:p>
            <w:pPr>
              <w:spacing w:after="0"/>
              <w:rPr>
                <w:sz w:val="18"/>
                <w:szCs w:val="18"/>
                <w:color w:val="auto"/>
              </w:rPr>
            </w:pPr>
          </w:p>
        </w:tc>
        <w:tc>
          <w:tcPr>
            <w:tcW w:w="14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S/(000)</w:t>
            </w:r>
          </w:p>
        </w:tc>
        <w:tc>
          <w:tcPr>
            <w:tcW w:w="5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S/(000)</w:t>
            </w:r>
          </w:p>
        </w:tc>
        <w:tc>
          <w:tcPr>
            <w:tcW w:w="126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6"/>
        </w:trPr>
        <w:tc>
          <w:tcPr>
            <w:tcW w:w="414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640"/>
              <w:spacing w:after="0"/>
              <w:rPr>
                <w:sz w:val="20"/>
                <w:szCs w:val="20"/>
                <w:color w:val="auto"/>
              </w:rPr>
            </w:pPr>
            <w:r>
              <w:rPr>
                <w:rFonts w:ascii="Arial" w:cs="Arial" w:eastAsia="Arial" w:hAnsi="Arial"/>
                <w:sz w:val="16"/>
                <w:szCs w:val="16"/>
                <w:color w:val="auto"/>
              </w:rPr>
              <w:t>AAA</w:t>
            </w:r>
          </w:p>
        </w:tc>
        <w:tc>
          <w:tcPr>
            <w:tcW w:w="168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242,679</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3"/>
        </w:trPr>
        <w:tc>
          <w:tcPr>
            <w:tcW w:w="4140" w:type="dxa"/>
            <w:vAlign w:val="bottom"/>
          </w:tcPr>
          <w:p>
            <w:pPr>
              <w:ind w:left="640"/>
              <w:spacing w:after="0"/>
              <w:rPr>
                <w:sz w:val="20"/>
                <w:szCs w:val="20"/>
                <w:color w:val="auto"/>
              </w:rPr>
            </w:pPr>
            <w:r>
              <w:rPr>
                <w:rFonts w:ascii="Arial" w:cs="Arial" w:eastAsia="Arial" w:hAnsi="Arial"/>
                <w:sz w:val="16"/>
                <w:szCs w:val="16"/>
                <w:color w:val="auto"/>
              </w:rPr>
              <w:t>AA- a AA+</w:t>
            </w:r>
          </w:p>
        </w:tc>
        <w:tc>
          <w:tcPr>
            <w:tcW w:w="168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311,810</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3"/>
        </w:trPr>
        <w:tc>
          <w:tcPr>
            <w:tcW w:w="4140" w:type="dxa"/>
            <w:vAlign w:val="bottom"/>
          </w:tcPr>
          <w:p>
            <w:pPr>
              <w:ind w:left="640"/>
              <w:spacing w:after="0"/>
              <w:rPr>
                <w:sz w:val="20"/>
                <w:szCs w:val="20"/>
                <w:color w:val="auto"/>
              </w:rPr>
            </w:pPr>
            <w:r>
              <w:rPr>
                <w:rFonts w:ascii="Arial" w:cs="Arial" w:eastAsia="Arial" w:hAnsi="Arial"/>
                <w:sz w:val="16"/>
                <w:szCs w:val="16"/>
                <w:color w:val="auto"/>
              </w:rPr>
              <w:t>A- to A+</w:t>
            </w:r>
          </w:p>
        </w:tc>
        <w:tc>
          <w:tcPr>
            <w:tcW w:w="2980" w:type="dxa"/>
            <w:vAlign w:val="bottom"/>
            <w:gridSpan w:val="2"/>
          </w:tcPr>
          <w:p>
            <w:pPr>
              <w:jc w:val="right"/>
              <w:ind w:right="19"/>
              <w:spacing w:after="0"/>
              <w:rPr>
                <w:sz w:val="20"/>
                <w:szCs w:val="20"/>
                <w:color w:val="auto"/>
              </w:rPr>
            </w:pPr>
            <w:r>
              <w:rPr>
                <w:rFonts w:ascii="Arial" w:cs="Arial" w:eastAsia="Arial" w:hAnsi="Arial"/>
                <w:sz w:val="16"/>
                <w:szCs w:val="16"/>
                <w:color w:val="auto"/>
              </w:rPr>
              <w:t>65,360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1,931,461</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3"/>
        </w:trPr>
        <w:tc>
          <w:tcPr>
            <w:tcW w:w="4140" w:type="dxa"/>
            <w:vAlign w:val="bottom"/>
          </w:tcPr>
          <w:p>
            <w:pPr>
              <w:ind w:left="640"/>
              <w:spacing w:after="0"/>
              <w:rPr>
                <w:sz w:val="20"/>
                <w:szCs w:val="20"/>
                <w:color w:val="auto"/>
              </w:rPr>
            </w:pPr>
            <w:r>
              <w:rPr>
                <w:rFonts w:ascii="Arial" w:cs="Arial" w:eastAsia="Arial" w:hAnsi="Arial"/>
                <w:sz w:val="16"/>
                <w:szCs w:val="16"/>
                <w:color w:val="auto"/>
              </w:rPr>
              <w:t>BBB- to BBB+</w:t>
            </w:r>
          </w:p>
        </w:tc>
        <w:tc>
          <w:tcPr>
            <w:tcW w:w="2980" w:type="dxa"/>
            <w:vAlign w:val="bottom"/>
            <w:gridSpan w:val="2"/>
          </w:tcPr>
          <w:p>
            <w:pPr>
              <w:jc w:val="right"/>
              <w:ind w:right="19"/>
              <w:spacing w:after="0"/>
              <w:rPr>
                <w:sz w:val="20"/>
                <w:szCs w:val="20"/>
                <w:color w:val="auto"/>
              </w:rPr>
            </w:pPr>
            <w:r>
              <w:rPr>
                <w:rFonts w:ascii="Arial" w:cs="Arial" w:eastAsia="Arial" w:hAnsi="Arial"/>
                <w:sz w:val="16"/>
                <w:szCs w:val="16"/>
                <w:color w:val="auto"/>
              </w:rPr>
              <w:t>22,584,226</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18,828,927</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183"/>
        </w:trPr>
        <w:tc>
          <w:tcPr>
            <w:tcW w:w="4140" w:type="dxa"/>
            <w:vAlign w:val="bottom"/>
          </w:tcPr>
          <w:p>
            <w:pPr>
              <w:ind w:left="640"/>
              <w:spacing w:after="0"/>
              <w:rPr>
                <w:sz w:val="20"/>
                <w:szCs w:val="20"/>
                <w:color w:val="auto"/>
              </w:rPr>
            </w:pPr>
            <w:r>
              <w:rPr>
                <w:rFonts w:ascii="Arial" w:cs="Arial" w:eastAsia="Arial" w:hAnsi="Arial"/>
                <w:sz w:val="16"/>
                <w:szCs w:val="16"/>
                <w:color w:val="auto"/>
              </w:rPr>
              <w:t>BB- to BB+</w:t>
            </w:r>
          </w:p>
        </w:tc>
        <w:tc>
          <w:tcPr>
            <w:tcW w:w="2980" w:type="dxa"/>
            <w:vAlign w:val="bottom"/>
            <w:gridSpan w:val="2"/>
          </w:tcPr>
          <w:p>
            <w:pPr>
              <w:jc w:val="right"/>
              <w:ind w:right="19"/>
              <w:spacing w:after="0"/>
              <w:rPr>
                <w:sz w:val="20"/>
                <w:szCs w:val="20"/>
                <w:color w:val="auto"/>
              </w:rPr>
            </w:pPr>
            <w:r>
              <w:rPr>
                <w:rFonts w:ascii="Arial" w:cs="Arial" w:eastAsia="Arial" w:hAnsi="Arial"/>
                <w:sz w:val="16"/>
                <w:szCs w:val="16"/>
                <w:color w:val="auto"/>
              </w:rPr>
              <w:t>657,658</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454,480</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3"/>
        </w:trPr>
        <w:tc>
          <w:tcPr>
            <w:tcW w:w="4140" w:type="dxa"/>
            <w:vAlign w:val="bottom"/>
          </w:tcPr>
          <w:p>
            <w:pPr>
              <w:ind w:left="640"/>
              <w:spacing w:after="0"/>
              <w:rPr>
                <w:sz w:val="20"/>
                <w:szCs w:val="20"/>
                <w:color w:val="auto"/>
              </w:rPr>
            </w:pPr>
            <w:r>
              <w:rPr>
                <w:rFonts w:ascii="Arial" w:cs="Arial" w:eastAsia="Arial" w:hAnsi="Arial"/>
                <w:sz w:val="16"/>
                <w:szCs w:val="16"/>
                <w:color w:val="auto"/>
              </w:rPr>
              <w:t>Lower and equal to +B</w:t>
            </w:r>
          </w:p>
        </w:tc>
        <w:tc>
          <w:tcPr>
            <w:tcW w:w="2980" w:type="dxa"/>
            <w:vAlign w:val="bottom"/>
            <w:gridSpan w:val="2"/>
          </w:tcPr>
          <w:p>
            <w:pPr>
              <w:jc w:val="right"/>
              <w:ind w:right="19"/>
              <w:spacing w:after="0"/>
              <w:rPr>
                <w:sz w:val="20"/>
                <w:szCs w:val="20"/>
                <w:color w:val="auto"/>
              </w:rPr>
            </w:pPr>
            <w:r>
              <w:rPr>
                <w:rFonts w:ascii="Arial" w:cs="Arial" w:eastAsia="Arial" w:hAnsi="Arial"/>
                <w:sz w:val="16"/>
                <w:szCs w:val="16"/>
                <w:color w:val="auto"/>
              </w:rPr>
              <w:t>132,148</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40" w:type="dxa"/>
            <w:vAlign w:val="bottom"/>
          </w:tcPr>
          <w:p>
            <w:pPr>
              <w:ind w:left="640"/>
              <w:spacing w:after="0"/>
              <w:rPr>
                <w:sz w:val="20"/>
                <w:szCs w:val="20"/>
                <w:color w:val="auto"/>
              </w:rPr>
            </w:pPr>
            <w:r>
              <w:rPr>
                <w:rFonts w:ascii="Arial" w:cs="Arial" w:eastAsia="Arial" w:hAnsi="Arial"/>
                <w:sz w:val="16"/>
                <w:szCs w:val="16"/>
                <w:color w:val="auto"/>
              </w:rPr>
              <w:t>Unrated:</w:t>
            </w:r>
          </w:p>
        </w:tc>
        <w:tc>
          <w:tcPr>
            <w:tcW w:w="1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740"/>
              <w:spacing w:after="0"/>
              <w:rPr>
                <w:sz w:val="20"/>
                <w:szCs w:val="20"/>
                <w:color w:val="auto"/>
              </w:rPr>
            </w:pPr>
            <w:r>
              <w:rPr>
                <w:rFonts w:ascii="Arial" w:cs="Arial" w:eastAsia="Arial" w:hAnsi="Arial"/>
                <w:sz w:val="16"/>
                <w:szCs w:val="16"/>
                <w:color w:val="auto"/>
              </w:rPr>
              <w:t>BCRP certificates of deposit</w:t>
            </w:r>
          </w:p>
        </w:tc>
        <w:tc>
          <w:tcPr>
            <w:tcW w:w="2980" w:type="dxa"/>
            <w:vAlign w:val="bottom"/>
            <w:gridSpan w:val="2"/>
          </w:tcPr>
          <w:p>
            <w:pPr>
              <w:jc w:val="right"/>
              <w:ind w:right="19"/>
              <w:spacing w:after="0"/>
              <w:rPr>
                <w:sz w:val="20"/>
                <w:szCs w:val="20"/>
                <w:color w:val="auto"/>
              </w:rPr>
            </w:pPr>
            <w:r>
              <w:rPr>
                <w:rFonts w:ascii="Arial" w:cs="Arial" w:eastAsia="Arial" w:hAnsi="Arial"/>
                <w:sz w:val="16"/>
                <w:szCs w:val="16"/>
                <w:color w:val="auto"/>
              </w:rPr>
              <w:t>11,127,919</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7,019,479</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83"/>
        </w:trPr>
        <w:tc>
          <w:tcPr>
            <w:tcW w:w="4140" w:type="dxa"/>
            <w:vAlign w:val="bottom"/>
          </w:tcPr>
          <w:p>
            <w:pPr>
              <w:ind w:left="740"/>
              <w:spacing w:after="0"/>
              <w:rPr>
                <w:sz w:val="20"/>
                <w:szCs w:val="20"/>
                <w:color w:val="auto"/>
              </w:rPr>
            </w:pPr>
            <w:r>
              <w:rPr>
                <w:rFonts w:ascii="Arial" w:cs="Arial" w:eastAsia="Arial" w:hAnsi="Arial"/>
                <w:sz w:val="16"/>
                <w:szCs w:val="16"/>
                <w:color w:val="auto"/>
              </w:rPr>
              <w:t>Listed and unlisted securities</w:t>
            </w:r>
          </w:p>
        </w:tc>
        <w:tc>
          <w:tcPr>
            <w:tcW w:w="2980" w:type="dxa"/>
            <w:vAlign w:val="bottom"/>
            <w:gridSpan w:val="2"/>
          </w:tcPr>
          <w:p>
            <w:pPr>
              <w:jc w:val="right"/>
              <w:ind w:right="19"/>
              <w:spacing w:after="0"/>
              <w:rPr>
                <w:sz w:val="20"/>
                <w:szCs w:val="20"/>
                <w:color w:val="auto"/>
              </w:rPr>
            </w:pPr>
            <w:r>
              <w:rPr>
                <w:rFonts w:ascii="Arial" w:cs="Arial" w:eastAsia="Arial" w:hAnsi="Arial"/>
                <w:sz w:val="16"/>
                <w:szCs w:val="16"/>
                <w:color w:val="auto"/>
              </w:rPr>
              <w:t>312,648</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344,842</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3"/>
        </w:trPr>
        <w:tc>
          <w:tcPr>
            <w:tcW w:w="4140" w:type="dxa"/>
            <w:vAlign w:val="bottom"/>
          </w:tcPr>
          <w:p>
            <w:pPr>
              <w:ind w:left="740"/>
              <w:spacing w:after="0"/>
              <w:rPr>
                <w:sz w:val="20"/>
                <w:szCs w:val="20"/>
                <w:color w:val="auto"/>
              </w:rPr>
            </w:pPr>
            <w:r>
              <w:rPr>
                <w:rFonts w:ascii="Arial" w:cs="Arial" w:eastAsia="Arial" w:hAnsi="Arial"/>
                <w:sz w:val="16"/>
                <w:szCs w:val="16"/>
                <w:color w:val="auto"/>
              </w:rPr>
              <w:t>Restricted mutual funds</w:t>
            </w:r>
          </w:p>
        </w:tc>
        <w:tc>
          <w:tcPr>
            <w:tcW w:w="2980" w:type="dxa"/>
            <w:vAlign w:val="bottom"/>
            <w:gridSpan w:val="2"/>
          </w:tcPr>
          <w:p>
            <w:pPr>
              <w:jc w:val="right"/>
              <w:ind w:right="19"/>
              <w:spacing w:after="0"/>
              <w:rPr>
                <w:sz w:val="20"/>
                <w:szCs w:val="20"/>
                <w:color w:val="auto"/>
              </w:rPr>
            </w:pPr>
            <w:r>
              <w:rPr>
                <w:rFonts w:ascii="Arial" w:cs="Arial" w:eastAsia="Arial" w:hAnsi="Arial"/>
                <w:sz w:val="16"/>
                <w:szCs w:val="16"/>
                <w:color w:val="auto"/>
              </w:rPr>
              <w:t>334,162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351,317</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3"/>
        </w:trPr>
        <w:tc>
          <w:tcPr>
            <w:tcW w:w="4140" w:type="dxa"/>
            <w:vAlign w:val="bottom"/>
          </w:tcPr>
          <w:p>
            <w:pPr>
              <w:ind w:left="740"/>
              <w:spacing w:after="0"/>
              <w:rPr>
                <w:sz w:val="20"/>
                <w:szCs w:val="20"/>
                <w:color w:val="auto"/>
              </w:rPr>
            </w:pPr>
            <w:r>
              <w:rPr>
                <w:rFonts w:ascii="Arial" w:cs="Arial" w:eastAsia="Arial" w:hAnsi="Arial"/>
                <w:sz w:val="16"/>
                <w:szCs w:val="16"/>
                <w:color w:val="auto"/>
              </w:rPr>
              <w:t>Investment funds</w:t>
            </w:r>
          </w:p>
        </w:tc>
        <w:tc>
          <w:tcPr>
            <w:tcW w:w="2980" w:type="dxa"/>
            <w:vAlign w:val="bottom"/>
            <w:gridSpan w:val="2"/>
          </w:tcPr>
          <w:p>
            <w:pPr>
              <w:jc w:val="right"/>
              <w:ind w:right="19"/>
              <w:spacing w:after="0"/>
              <w:rPr>
                <w:sz w:val="20"/>
                <w:szCs w:val="20"/>
                <w:color w:val="auto"/>
              </w:rPr>
            </w:pPr>
            <w:r>
              <w:rPr>
                <w:rFonts w:ascii="Arial" w:cs="Arial" w:eastAsia="Arial" w:hAnsi="Arial"/>
                <w:sz w:val="16"/>
                <w:szCs w:val="16"/>
                <w:color w:val="auto"/>
              </w:rPr>
              <w:t>651,307</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628,476</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3"/>
        </w:trPr>
        <w:tc>
          <w:tcPr>
            <w:tcW w:w="4140" w:type="dxa"/>
            <w:vAlign w:val="bottom"/>
          </w:tcPr>
          <w:p>
            <w:pPr>
              <w:ind w:left="740"/>
              <w:spacing w:after="0"/>
              <w:rPr>
                <w:sz w:val="20"/>
                <w:szCs w:val="20"/>
                <w:color w:val="auto"/>
              </w:rPr>
            </w:pPr>
            <w:r>
              <w:rPr>
                <w:rFonts w:ascii="Arial" w:cs="Arial" w:eastAsia="Arial" w:hAnsi="Arial"/>
                <w:sz w:val="16"/>
                <w:szCs w:val="16"/>
                <w:color w:val="auto"/>
              </w:rPr>
              <w:t>Mutual funds</w:t>
            </w:r>
          </w:p>
        </w:tc>
        <w:tc>
          <w:tcPr>
            <w:tcW w:w="2980" w:type="dxa"/>
            <w:vAlign w:val="bottom"/>
            <w:gridSpan w:val="2"/>
          </w:tcPr>
          <w:p>
            <w:pPr>
              <w:jc w:val="right"/>
              <w:ind w:right="19"/>
              <w:spacing w:after="0"/>
              <w:rPr>
                <w:sz w:val="20"/>
                <w:szCs w:val="20"/>
                <w:color w:val="auto"/>
              </w:rPr>
            </w:pPr>
            <w:r>
              <w:rPr>
                <w:rFonts w:ascii="Arial" w:cs="Arial" w:eastAsia="Arial" w:hAnsi="Arial"/>
                <w:sz w:val="16"/>
                <w:szCs w:val="16"/>
                <w:color w:val="auto"/>
              </w:rPr>
              <w:t>1,824</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76,111</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3"/>
        </w:trPr>
        <w:tc>
          <w:tcPr>
            <w:tcW w:w="4140" w:type="dxa"/>
            <w:vAlign w:val="bottom"/>
          </w:tcPr>
          <w:p>
            <w:pPr>
              <w:ind w:left="740"/>
              <w:spacing w:after="0"/>
              <w:rPr>
                <w:sz w:val="20"/>
                <w:szCs w:val="20"/>
                <w:color w:val="auto"/>
              </w:rPr>
            </w:pPr>
            <w:r>
              <w:rPr>
                <w:rFonts w:ascii="Arial" w:cs="Arial" w:eastAsia="Arial" w:hAnsi="Arial"/>
                <w:sz w:val="16"/>
                <w:szCs w:val="16"/>
                <w:color w:val="auto"/>
              </w:rPr>
              <w:t>Hedge funds</w:t>
            </w:r>
          </w:p>
        </w:tc>
        <w:tc>
          <w:tcPr>
            <w:tcW w:w="168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140" w:type="dxa"/>
            <w:vAlign w:val="bottom"/>
          </w:tcPr>
          <w:p>
            <w:pPr>
              <w:ind w:left="740"/>
              <w:spacing w:after="0"/>
              <w:rPr>
                <w:sz w:val="20"/>
                <w:szCs w:val="20"/>
                <w:color w:val="auto"/>
              </w:rPr>
            </w:pPr>
            <w:r>
              <w:rPr>
                <w:rFonts w:ascii="Arial" w:cs="Arial" w:eastAsia="Arial" w:hAnsi="Arial"/>
                <w:sz w:val="16"/>
                <w:szCs w:val="16"/>
                <w:color w:val="auto"/>
              </w:rPr>
              <w:t>Other instruments</w:t>
            </w:r>
          </w:p>
        </w:tc>
        <w:tc>
          <w:tcPr>
            <w:tcW w:w="2980" w:type="dxa"/>
            <w:vAlign w:val="bottom"/>
            <w:gridSpan w:val="2"/>
          </w:tcPr>
          <w:p>
            <w:pPr>
              <w:jc w:val="right"/>
              <w:ind w:right="19"/>
              <w:spacing w:after="0"/>
              <w:rPr>
                <w:sz w:val="20"/>
                <w:szCs w:val="20"/>
                <w:color w:val="auto"/>
              </w:rPr>
            </w:pPr>
            <w:r>
              <w:rPr>
                <w:rFonts w:ascii="Arial" w:cs="Arial" w:eastAsia="Arial" w:hAnsi="Arial"/>
                <w:sz w:val="16"/>
                <w:szCs w:val="16"/>
                <w:color w:val="auto"/>
              </w:rPr>
              <w:t>242,310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237,174</w:t>
            </w:r>
          </w:p>
        </w:tc>
        <w:tc>
          <w:tcPr>
            <w:tcW w:w="1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8"/>
        </w:trPr>
        <w:tc>
          <w:tcPr>
            <w:tcW w:w="4140" w:type="dxa"/>
            <w:vAlign w:val="bottom"/>
          </w:tcPr>
          <w:p>
            <w:pPr>
              <w:ind w:left="640"/>
              <w:spacing w:after="0"/>
              <w:rPr>
                <w:sz w:val="20"/>
                <w:szCs w:val="20"/>
                <w:color w:val="auto"/>
              </w:rPr>
            </w:pPr>
            <w:r>
              <w:rPr>
                <w:rFonts w:ascii="Arial" w:cs="Arial" w:eastAsia="Arial" w:hAnsi="Arial"/>
                <w:sz w:val="16"/>
                <w:szCs w:val="16"/>
                <w:b w:val="1"/>
                <w:bCs w:val="1"/>
                <w:color w:val="auto"/>
              </w:rPr>
              <w:t>Subtotal</w:t>
            </w:r>
          </w:p>
        </w:tc>
        <w:tc>
          <w:tcPr>
            <w:tcW w:w="168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36,109,562</w:t>
            </w:r>
          </w:p>
        </w:tc>
        <w:tc>
          <w:tcPr>
            <w:tcW w:w="120" w:type="dxa"/>
            <w:vAlign w:val="bottom"/>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30,426,756</w:t>
            </w:r>
          </w:p>
        </w:tc>
        <w:tc>
          <w:tcPr>
            <w:tcW w:w="10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533"/>
        </w:trPr>
        <w:tc>
          <w:tcPr>
            <w:tcW w:w="41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153</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6" w:right="319" w:bottom="1440" w:gutter="0" w:footer="0" w:header="0"/>
        </w:sectPr>
      </w:pPr>
    </w:p>
    <w:bookmarkStart w:id="156" w:name="page157"/>
    <w:bookmarkEnd w:id="156"/>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0"/>
        </w:trPr>
        <w:tc>
          <w:tcPr>
            <w:tcW w:w="5180" w:type="dxa"/>
            <w:vAlign w:val="bottom"/>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vMerge w:val="restart"/>
          </w:tcPr>
          <w:p>
            <w:pPr>
              <w:spacing w:after="0"/>
              <w:rPr>
                <w:sz w:val="20"/>
                <w:szCs w:val="20"/>
                <w:color w:val="auto"/>
              </w:rPr>
            </w:pPr>
            <w:r>
              <w:rPr>
                <w:rFonts w:ascii="Arial" w:cs="Arial" w:eastAsia="Arial" w:hAnsi="Arial"/>
                <w:sz w:val="16"/>
                <w:szCs w:val="16"/>
                <w:b w:val="1"/>
                <w:bCs w:val="1"/>
                <w:color w:val="auto"/>
              </w:rPr>
              <w:t>Instruments rated abroad:</w:t>
            </w: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S/(000)</w:t>
            </w:r>
          </w:p>
        </w:tc>
        <w:tc>
          <w:tcPr>
            <w:tcW w:w="48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S/(000)</w:t>
            </w:r>
          </w:p>
        </w:tc>
        <w:tc>
          <w:tcPr>
            <w:tcW w:w="1260" w:type="dxa"/>
            <w:vAlign w:val="bottom"/>
          </w:tcPr>
          <w:p>
            <w:pPr>
              <w:jc w:val="right"/>
              <w:ind w:right="9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6"/>
        </w:trPr>
        <w:tc>
          <w:tcPr>
            <w:tcW w:w="51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20"/>
                <w:szCs w:val="20"/>
                <w:color w:val="auto"/>
              </w:rPr>
            </w:pPr>
            <w:r>
              <w:rPr>
                <w:rFonts w:ascii="Arial" w:cs="Arial" w:eastAsia="Arial" w:hAnsi="Arial"/>
                <w:sz w:val="16"/>
                <w:szCs w:val="16"/>
                <w:color w:val="auto"/>
              </w:rPr>
              <w:t>AAA</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1,007,270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2,313,750</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20"/>
                <w:szCs w:val="20"/>
                <w:color w:val="auto"/>
              </w:rPr>
            </w:pPr>
            <w:r>
              <w:rPr>
                <w:rFonts w:ascii="Arial" w:cs="Arial" w:eastAsia="Arial" w:hAnsi="Arial"/>
                <w:sz w:val="16"/>
                <w:szCs w:val="16"/>
                <w:color w:val="auto"/>
              </w:rPr>
              <w:t>AA- a AA+</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2,447,819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1,201,340</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20"/>
                <w:szCs w:val="20"/>
                <w:color w:val="auto"/>
              </w:rPr>
            </w:pPr>
            <w:r>
              <w:rPr>
                <w:rFonts w:ascii="Arial" w:cs="Arial" w:eastAsia="Arial" w:hAnsi="Arial"/>
                <w:sz w:val="16"/>
                <w:szCs w:val="16"/>
                <w:color w:val="auto"/>
              </w:rPr>
              <w:t>A- to A+</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2,709,151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1,356,963</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20"/>
                <w:szCs w:val="20"/>
                <w:color w:val="auto"/>
              </w:rPr>
            </w:pPr>
            <w:r>
              <w:rPr>
                <w:rFonts w:ascii="Arial" w:cs="Arial" w:eastAsia="Arial" w:hAnsi="Arial"/>
                <w:sz w:val="16"/>
                <w:szCs w:val="16"/>
                <w:color w:val="auto"/>
              </w:rPr>
              <w:t>BBB- to BBB+</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4,273,210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4,322,363</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20"/>
                <w:szCs w:val="20"/>
                <w:color w:val="auto"/>
              </w:rPr>
            </w:pPr>
            <w:r>
              <w:rPr>
                <w:rFonts w:ascii="Arial" w:cs="Arial" w:eastAsia="Arial" w:hAnsi="Arial"/>
                <w:sz w:val="16"/>
                <w:szCs w:val="16"/>
                <w:color w:val="auto"/>
              </w:rPr>
              <w:t>BB- to BB+</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2,045,242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2,790,835</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20"/>
                <w:szCs w:val="20"/>
                <w:color w:val="auto"/>
              </w:rPr>
            </w:pPr>
            <w:r>
              <w:rPr>
                <w:rFonts w:ascii="Arial" w:cs="Arial" w:eastAsia="Arial" w:hAnsi="Arial"/>
                <w:sz w:val="16"/>
                <w:szCs w:val="16"/>
                <w:color w:val="auto"/>
              </w:rPr>
              <w:t>Lower and equal to +B</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673,757</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132,760</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20"/>
                <w:szCs w:val="20"/>
                <w:color w:val="auto"/>
              </w:rPr>
            </w:pPr>
            <w:r>
              <w:rPr>
                <w:rFonts w:ascii="Arial" w:cs="Arial" w:eastAsia="Arial" w:hAnsi="Arial"/>
                <w:sz w:val="16"/>
                <w:szCs w:val="16"/>
                <w:color w:val="auto"/>
              </w:rPr>
              <w:t>Unrated:</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100"/>
              <w:spacing w:after="0"/>
              <w:rPr>
                <w:sz w:val="20"/>
                <w:szCs w:val="20"/>
                <w:color w:val="auto"/>
              </w:rPr>
            </w:pPr>
            <w:r>
              <w:rPr>
                <w:rFonts w:ascii="Arial" w:cs="Arial" w:eastAsia="Arial" w:hAnsi="Arial"/>
                <w:sz w:val="16"/>
                <w:szCs w:val="16"/>
                <w:color w:val="auto"/>
              </w:rPr>
              <w:t>Listed and unlisted securities</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60,877</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34,182</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3"/>
        </w:trPr>
        <w:tc>
          <w:tcPr>
            <w:tcW w:w="5180" w:type="dxa"/>
            <w:vAlign w:val="bottom"/>
          </w:tcPr>
          <w:p>
            <w:pPr>
              <w:ind w:left="100"/>
              <w:spacing w:after="0"/>
              <w:rPr>
                <w:sz w:val="20"/>
                <w:szCs w:val="20"/>
                <w:color w:val="auto"/>
              </w:rPr>
            </w:pPr>
            <w:r>
              <w:rPr>
                <w:rFonts w:ascii="Arial" w:cs="Arial" w:eastAsia="Arial" w:hAnsi="Arial"/>
                <w:sz w:val="16"/>
                <w:szCs w:val="16"/>
                <w:color w:val="auto"/>
              </w:rPr>
              <w:t>Mutual funds</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1,104,724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1,505,939</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3"/>
        </w:trPr>
        <w:tc>
          <w:tcPr>
            <w:tcW w:w="5180" w:type="dxa"/>
            <w:vAlign w:val="bottom"/>
          </w:tcPr>
          <w:p>
            <w:pPr>
              <w:ind w:left="100"/>
              <w:spacing w:after="0"/>
              <w:rPr>
                <w:sz w:val="20"/>
                <w:szCs w:val="20"/>
                <w:color w:val="auto"/>
              </w:rPr>
            </w:pPr>
            <w:r>
              <w:rPr>
                <w:rFonts w:ascii="Arial" w:cs="Arial" w:eastAsia="Arial" w:hAnsi="Arial"/>
                <w:sz w:val="16"/>
                <w:szCs w:val="16"/>
                <w:color w:val="auto"/>
              </w:rPr>
              <w:t>Participations of RAL funds</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145,414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167,781</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3"/>
        </w:trPr>
        <w:tc>
          <w:tcPr>
            <w:tcW w:w="5180" w:type="dxa"/>
            <w:vAlign w:val="bottom"/>
          </w:tcPr>
          <w:p>
            <w:pPr>
              <w:ind w:left="100"/>
              <w:spacing w:after="0"/>
              <w:rPr>
                <w:sz w:val="20"/>
                <w:szCs w:val="20"/>
                <w:color w:val="auto"/>
              </w:rPr>
            </w:pPr>
            <w:r>
              <w:rPr>
                <w:rFonts w:ascii="Arial" w:cs="Arial" w:eastAsia="Arial" w:hAnsi="Arial"/>
                <w:sz w:val="16"/>
                <w:szCs w:val="16"/>
                <w:color w:val="auto"/>
              </w:rPr>
              <w:t>Investment funds</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547,719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257,098</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3"/>
        </w:trPr>
        <w:tc>
          <w:tcPr>
            <w:tcW w:w="5180" w:type="dxa"/>
            <w:vAlign w:val="bottom"/>
          </w:tcPr>
          <w:p>
            <w:pPr>
              <w:ind w:left="100"/>
              <w:spacing w:after="0"/>
              <w:rPr>
                <w:sz w:val="20"/>
                <w:szCs w:val="20"/>
                <w:color w:val="auto"/>
              </w:rPr>
            </w:pPr>
            <w:r>
              <w:rPr>
                <w:rFonts w:ascii="Arial" w:cs="Arial" w:eastAsia="Arial" w:hAnsi="Arial"/>
                <w:sz w:val="16"/>
                <w:szCs w:val="16"/>
                <w:color w:val="auto"/>
              </w:rPr>
              <w:t>Hedge funds</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5"/>
                <w:szCs w:val="15"/>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180" w:type="dxa"/>
            <w:vAlign w:val="bottom"/>
          </w:tcPr>
          <w:p>
            <w:pPr>
              <w:ind w:left="100"/>
              <w:spacing w:after="0"/>
              <w:rPr>
                <w:sz w:val="20"/>
                <w:szCs w:val="20"/>
                <w:color w:val="auto"/>
              </w:rPr>
            </w:pPr>
            <w:r>
              <w:rPr>
                <w:rFonts w:ascii="Arial" w:cs="Arial" w:eastAsia="Arial" w:hAnsi="Arial"/>
                <w:sz w:val="16"/>
                <w:szCs w:val="16"/>
                <w:color w:val="auto"/>
              </w:rPr>
              <w:t>Other instruments</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1,090,492</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921,177</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16,105,966</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15,004,468</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52,215,528</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45,431,224</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It is worth mentioning that the change in the risk-rating of the investments has had an impact on the measurement of the expected loss.</w:t>
      </w:r>
    </w:p>
    <w:p>
      <w:pPr>
        <w:spacing w:after="0" w:line="341"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41275</wp:posOffset>
            </wp:positionV>
            <wp:extent cx="714565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80"/>
          </w:cols>
          <w:pgMar w:left="900" w:top="306" w:right="319" w:bottom="1440" w:gutter="0" w:footer="0" w:header="0"/>
        </w:sectPr>
      </w:pPr>
    </w:p>
    <w:bookmarkStart w:id="157" w:name="page158"/>
    <w:bookmarkEnd w:id="157"/>
    <w:p>
      <w:pPr>
        <w:ind w:left="300" w:hanging="296"/>
        <w:spacing w:after="0"/>
        <w:tabs>
          <w:tab w:leader="none" w:pos="3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Concentration of financial instruments exposed to credit risk -</w:t>
      </w:r>
    </w:p>
    <w:p>
      <w:pPr>
        <w:spacing w:after="0" w:line="182" w:lineRule="exact"/>
        <w:rPr>
          <w:sz w:val="20"/>
          <w:szCs w:val="20"/>
          <w:color w:val="auto"/>
        </w:rPr>
      </w:pPr>
    </w:p>
    <w:p>
      <w:pPr>
        <w:ind w:left="300" w:right="120"/>
        <w:spacing w:after="0" w:line="280" w:lineRule="auto"/>
        <w:rPr>
          <w:sz w:val="20"/>
          <w:szCs w:val="20"/>
          <w:color w:val="auto"/>
        </w:rPr>
      </w:pPr>
      <w:r>
        <w:rPr>
          <w:rFonts w:ascii="Arial" w:cs="Arial" w:eastAsia="Arial" w:hAnsi="Arial"/>
          <w:sz w:val="16"/>
          <w:szCs w:val="16"/>
          <w:color w:val="auto"/>
        </w:rPr>
        <w:t>As of December 31, 2023 and 2022, financial instruments with exposure to credit risk were distributed considering the following economic sectors: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1480" w:type="dxa"/>
            <w:vAlign w:val="bottom"/>
          </w:tcPr>
          <w:p>
            <w:pPr>
              <w:spacing w:after="0"/>
              <w:rPr>
                <w:sz w:val="11"/>
                <w:szCs w:val="11"/>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2023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120"/>
              <w:spacing w:after="0"/>
              <w:rPr>
                <w:sz w:val="20"/>
                <w:szCs w:val="20"/>
                <w:color w:val="auto"/>
              </w:rPr>
            </w:pPr>
            <w:r>
              <w:rPr>
                <w:rFonts w:ascii="Arial" w:cs="Arial" w:eastAsia="Arial" w:hAnsi="Arial"/>
                <w:sz w:val="11"/>
                <w:szCs w:val="11"/>
                <w:b w:val="1"/>
                <w:bCs w:val="1"/>
                <w:color w:val="auto"/>
              </w:rPr>
              <w:t>2022</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480" w:type="dxa"/>
            <w:vAlign w:val="bottom"/>
          </w:tcPr>
          <w:p>
            <w:pPr>
              <w:spacing w:after="0"/>
              <w:rPr>
                <w:sz w:val="8"/>
                <w:szCs w:val="8"/>
                <w:color w:val="auto"/>
              </w:rPr>
            </w:pPr>
          </w:p>
        </w:tc>
        <w:tc>
          <w:tcPr>
            <w:tcW w:w="800" w:type="dxa"/>
            <w:vAlign w:val="bottom"/>
            <w:tcBorders>
              <w:top w:val="single" w:sz="8" w:color="auto"/>
            </w:tcBorders>
            <w:gridSpan w:val="2"/>
          </w:tcPr>
          <w:p>
            <w:pPr>
              <w:spacing w:after="0" w:line="99" w:lineRule="exact"/>
              <w:rPr>
                <w:sz w:val="20"/>
                <w:szCs w:val="20"/>
                <w:color w:val="auto"/>
              </w:rPr>
            </w:pPr>
            <w:r>
              <w:rPr>
                <w:rFonts w:ascii="Arial" w:cs="Arial" w:eastAsia="Arial" w:hAnsi="Arial"/>
                <w:sz w:val="11"/>
                <w:szCs w:val="11"/>
                <w:b w:val="1"/>
                <w:bCs w:val="1"/>
                <w:color w:val="auto"/>
              </w:rPr>
              <w:t>At fair value</w:t>
            </w:r>
          </w:p>
        </w:tc>
        <w:tc>
          <w:tcPr>
            <w:tcW w:w="6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top w:val="single" w:sz="8" w:color="auto"/>
            </w:tcBorders>
            <w:gridSpan w:val="3"/>
          </w:tcPr>
          <w:p>
            <w:pPr>
              <w:spacing w:after="0" w:line="99" w:lineRule="exact"/>
              <w:rPr>
                <w:sz w:val="20"/>
                <w:szCs w:val="20"/>
                <w:color w:val="auto"/>
              </w:rPr>
            </w:pPr>
            <w:r>
              <w:rPr>
                <w:rFonts w:ascii="Arial" w:cs="Arial" w:eastAsia="Arial" w:hAnsi="Arial"/>
                <w:sz w:val="11"/>
                <w:szCs w:val="11"/>
                <w:b w:val="1"/>
                <w:bCs w:val="1"/>
                <w:color w:val="auto"/>
              </w:rPr>
              <w:t>At fair value</w:t>
            </w: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48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through profit for loss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At fair value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5"/>
          </w:tcPr>
          <w:p>
            <w:pPr>
              <w:spacing w:after="0"/>
              <w:rPr>
                <w:sz w:val="20"/>
                <w:szCs w:val="20"/>
                <w:color w:val="auto"/>
              </w:rPr>
            </w:pPr>
            <w:r>
              <w:rPr>
                <w:rFonts w:ascii="Arial" w:cs="Arial" w:eastAsia="Arial" w:hAnsi="Arial"/>
                <w:sz w:val="11"/>
                <w:szCs w:val="11"/>
                <w:b w:val="1"/>
                <w:bCs w:val="1"/>
                <w:color w:val="auto"/>
              </w:rPr>
              <w:t>through profit for loss</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1"/>
                <w:szCs w:val="11"/>
                <w:b w:val="1"/>
                <w:bCs w:val="1"/>
                <w:color w:val="auto"/>
              </w:rPr>
              <w:t>At fair value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480" w:type="dxa"/>
            <w:vAlign w:val="bottom"/>
          </w:tcPr>
          <w:p>
            <w:pPr>
              <w:spacing w:after="0"/>
              <w:rPr>
                <w:sz w:val="8"/>
                <w:szCs w:val="8"/>
                <w:color w:val="auto"/>
              </w:rPr>
            </w:pPr>
          </w:p>
        </w:tc>
        <w:tc>
          <w:tcPr>
            <w:tcW w:w="800" w:type="dxa"/>
            <w:vAlign w:val="bottom"/>
            <w:tcBorders>
              <w:top w:val="single" w:sz="8" w:color="auto"/>
            </w:tcBorders>
            <w:gridSpan w:val="2"/>
          </w:tcPr>
          <w:p>
            <w:pPr>
              <w:spacing w:after="0" w:line="99" w:lineRule="exact"/>
              <w:rPr>
                <w:sz w:val="20"/>
                <w:szCs w:val="20"/>
                <w:color w:val="auto"/>
              </w:rPr>
            </w:pPr>
            <w:r>
              <w:rPr>
                <w:rFonts w:ascii="Arial" w:cs="Arial" w:eastAsia="Arial" w:hAnsi="Arial"/>
                <w:sz w:val="11"/>
                <w:szCs w:val="11"/>
                <w:b w:val="1"/>
                <w:bCs w:val="1"/>
                <w:color w:val="auto"/>
              </w:rPr>
              <w:t>Held for</w:t>
            </w:r>
          </w:p>
        </w:tc>
        <w:tc>
          <w:tcPr>
            <w:tcW w:w="620" w:type="dxa"/>
            <w:vAlign w:val="bottom"/>
            <w:tcBorders>
              <w:top w:val="single" w:sz="8" w:color="auto"/>
            </w:tcBorders>
          </w:tcPr>
          <w:p>
            <w:pPr>
              <w:spacing w:after="0"/>
              <w:rPr>
                <w:sz w:val="8"/>
                <w:szCs w:val="8"/>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Financial</w:t>
            </w:r>
          </w:p>
        </w:tc>
        <w:tc>
          <w:tcPr>
            <w:tcW w:w="11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top w:val="single" w:sz="8" w:color="auto"/>
            </w:tcBorders>
            <w:gridSpan w:val="3"/>
          </w:tcPr>
          <w:p>
            <w:pPr>
              <w:spacing w:after="0" w:line="99" w:lineRule="exact"/>
              <w:rPr>
                <w:sz w:val="20"/>
                <w:szCs w:val="20"/>
                <w:color w:val="auto"/>
              </w:rPr>
            </w:pPr>
            <w:r>
              <w:rPr>
                <w:rFonts w:ascii="Arial" w:cs="Arial" w:eastAsia="Arial" w:hAnsi="Arial"/>
                <w:sz w:val="11"/>
                <w:szCs w:val="11"/>
                <w:b w:val="1"/>
                <w:bCs w:val="1"/>
                <w:color w:val="auto"/>
              </w:rPr>
              <w:t>Held for</w:t>
            </w: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Financial</w:t>
            </w: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trading,</w:t>
            </w: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Designated</w:t>
            </w:r>
          </w:p>
        </w:tc>
        <w:tc>
          <w:tcPr>
            <w:tcW w:w="880" w:type="dxa"/>
            <w:vAlign w:val="bottom"/>
            <w:gridSpan w:val="2"/>
            <w:vMerge w:val="continue"/>
          </w:tcPr>
          <w:p>
            <w:pPr>
              <w:spacing w:after="0"/>
              <w:rPr>
                <w:sz w:val="10"/>
                <w:szCs w:val="10"/>
                <w:color w:val="auto"/>
              </w:rPr>
            </w:pPr>
          </w:p>
        </w:tc>
        <w:tc>
          <w:tcPr>
            <w:tcW w:w="114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through other</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trading,</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80" w:type="dxa"/>
            <w:vAlign w:val="bottom"/>
          </w:tcPr>
          <w:p>
            <w:pPr>
              <w:spacing w:after="0" w:line="122" w:lineRule="exact"/>
              <w:rPr>
                <w:sz w:val="20"/>
                <w:szCs w:val="20"/>
                <w:color w:val="auto"/>
              </w:rPr>
            </w:pPr>
            <w:r>
              <w:rPr>
                <w:rFonts w:ascii="Arial" w:cs="Arial" w:eastAsia="Arial" w:hAnsi="Arial"/>
                <w:sz w:val="11"/>
                <w:szCs w:val="11"/>
                <w:b w:val="1"/>
                <w:bCs w:val="1"/>
                <w:color w:val="auto"/>
              </w:rPr>
              <w:t>through other</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hedging</w:t>
            </w:r>
          </w:p>
        </w:tc>
        <w:tc>
          <w:tcPr>
            <w:tcW w:w="620" w:type="dxa"/>
            <w:vAlign w:val="bottom"/>
            <w:vMerge w:val="continue"/>
          </w:tcPr>
          <w:p>
            <w:pPr>
              <w:spacing w:after="0"/>
              <w:rPr>
                <w:sz w:val="10"/>
                <w:szCs w:val="10"/>
                <w:color w:val="auto"/>
              </w:rPr>
            </w:pPr>
          </w:p>
        </w:tc>
        <w:tc>
          <w:tcPr>
            <w:tcW w:w="88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assets at</w:t>
            </w:r>
          </w:p>
        </w:tc>
        <w:tc>
          <w:tcPr>
            <w:tcW w:w="114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comprehensive</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hedging</w:t>
            </w: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Designated</w:t>
            </w:r>
          </w:p>
        </w:tc>
        <w:tc>
          <w:tcPr>
            <w:tcW w:w="8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assets at</w:t>
            </w:r>
          </w:p>
        </w:tc>
        <w:tc>
          <w:tcPr>
            <w:tcW w:w="880" w:type="dxa"/>
            <w:vAlign w:val="bottom"/>
          </w:tcPr>
          <w:p>
            <w:pPr>
              <w:spacing w:after="0" w:line="122"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and others</w:t>
            </w:r>
          </w:p>
        </w:tc>
        <w:tc>
          <w:tcPr>
            <w:tcW w:w="620" w:type="dxa"/>
            <w:vAlign w:val="bottom"/>
          </w:tcPr>
          <w:p>
            <w:pPr>
              <w:spacing w:after="0" w:line="122" w:lineRule="exact"/>
              <w:rPr>
                <w:sz w:val="20"/>
                <w:szCs w:val="20"/>
                <w:color w:val="auto"/>
              </w:rPr>
            </w:pPr>
            <w:r>
              <w:rPr>
                <w:rFonts w:ascii="Arial" w:cs="Arial" w:eastAsia="Arial" w:hAnsi="Arial"/>
                <w:sz w:val="11"/>
                <w:szCs w:val="11"/>
                <w:b w:val="1"/>
                <w:bCs w:val="1"/>
                <w:color w:val="auto"/>
              </w:rPr>
              <w:t>at</w:t>
            </w:r>
          </w:p>
        </w:tc>
        <w:tc>
          <w:tcPr>
            <w:tcW w:w="88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amortized</w:t>
            </w:r>
          </w:p>
        </w:tc>
        <w:tc>
          <w:tcPr>
            <w:tcW w:w="114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income</w:t>
            </w: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Total</w:t>
            </w:r>
          </w:p>
        </w:tc>
        <w:tc>
          <w:tcPr>
            <w:tcW w:w="120" w:type="dxa"/>
            <w:vAlign w:val="bottom"/>
          </w:tcPr>
          <w:p>
            <w:pPr>
              <w:spacing w:after="0"/>
              <w:rPr>
                <w:sz w:val="10"/>
                <w:szCs w:val="10"/>
                <w:color w:val="auto"/>
              </w:rPr>
            </w:pP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and others</w:t>
            </w:r>
          </w:p>
        </w:tc>
        <w:tc>
          <w:tcPr>
            <w:tcW w:w="800" w:type="dxa"/>
            <w:vAlign w:val="bottom"/>
            <w:gridSpan w:val="2"/>
            <w:vMerge w:val="continue"/>
          </w:tcPr>
          <w:p>
            <w:pPr>
              <w:spacing w:after="0"/>
              <w:rPr>
                <w:sz w:val="10"/>
                <w:szCs w:val="10"/>
                <w:color w:val="auto"/>
              </w:rPr>
            </w:pPr>
          </w:p>
        </w:tc>
        <w:tc>
          <w:tcPr>
            <w:tcW w:w="8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amortized</w:t>
            </w:r>
          </w:p>
        </w:tc>
        <w:tc>
          <w:tcPr>
            <w:tcW w:w="880" w:type="dxa"/>
            <w:vAlign w:val="bottom"/>
          </w:tcPr>
          <w:p>
            <w:pPr>
              <w:spacing w:after="0" w:line="122" w:lineRule="exact"/>
              <w:rPr>
                <w:sz w:val="20"/>
                <w:szCs w:val="20"/>
                <w:color w:val="auto"/>
              </w:rPr>
            </w:pPr>
            <w:r>
              <w:rPr>
                <w:rFonts w:ascii="Arial" w:cs="Arial" w:eastAsia="Arial" w:hAnsi="Arial"/>
                <w:sz w:val="11"/>
                <w:szCs w:val="11"/>
                <w:b w:val="1"/>
                <w:bCs w:val="1"/>
                <w:color w:val="auto"/>
              </w:rPr>
              <w:t>income</w:t>
            </w:r>
          </w:p>
        </w:tc>
        <w:tc>
          <w:tcPr>
            <w:tcW w:w="14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1480" w:type="dxa"/>
            <w:vAlign w:val="bottom"/>
          </w:tcPr>
          <w:p>
            <w:pPr>
              <w:spacing w:after="0"/>
              <w:rPr>
                <w:sz w:val="11"/>
                <w:szCs w:val="11"/>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inception</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1140" w:type="dxa"/>
            <w:vAlign w:val="bottom"/>
            <w:gridSpan w:val="3"/>
          </w:tcPr>
          <w:p>
            <w:pPr>
              <w:ind w:left="120"/>
              <w:spacing w:after="0"/>
              <w:rPr>
                <w:sz w:val="20"/>
                <w:szCs w:val="20"/>
                <w:color w:val="auto"/>
              </w:rPr>
            </w:pPr>
            <w:r>
              <w:rPr>
                <w:rFonts w:ascii="Arial" w:cs="Arial" w:eastAsia="Arial" w:hAnsi="Arial"/>
                <w:sz w:val="11"/>
                <w:szCs w:val="11"/>
                <w:b w:val="1"/>
                <w:bCs w:val="1"/>
                <w:color w:val="auto"/>
              </w:rPr>
              <w:t>investments (**)</w:t>
            </w:r>
          </w:p>
        </w:tc>
        <w:tc>
          <w:tcPr>
            <w:tcW w:w="740" w:type="dxa"/>
            <w:vAlign w:val="bottom"/>
            <w:vMerge w:val="continue"/>
          </w:tcPr>
          <w:p>
            <w:pPr>
              <w:spacing w:after="0"/>
              <w:rPr>
                <w:sz w:val="11"/>
                <w:szCs w:val="11"/>
                <w:color w:val="auto"/>
              </w:rPr>
            </w:pPr>
          </w:p>
        </w:tc>
        <w:tc>
          <w:tcPr>
            <w:tcW w:w="780" w:type="dxa"/>
            <w:vAlign w:val="bottom"/>
            <w:gridSpan w:val="3"/>
          </w:tcPr>
          <w:p>
            <w:pPr>
              <w:ind w:left="12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at inception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cost</w:t>
            </w:r>
          </w:p>
        </w:tc>
        <w:tc>
          <w:tcPr>
            <w:tcW w:w="880" w:type="dxa"/>
            <w:vAlign w:val="bottom"/>
          </w:tcPr>
          <w:p>
            <w:pPr>
              <w:spacing w:after="0"/>
              <w:rPr>
                <w:sz w:val="20"/>
                <w:szCs w:val="20"/>
                <w:color w:val="auto"/>
              </w:rPr>
            </w:pPr>
            <w:r>
              <w:rPr>
                <w:rFonts w:ascii="Arial" w:cs="Arial" w:eastAsia="Arial" w:hAnsi="Arial"/>
                <w:sz w:val="11"/>
                <w:szCs w:val="11"/>
                <w:b w:val="1"/>
                <w:bCs w:val="1"/>
                <w:color w:val="auto"/>
              </w:rPr>
              <w:t>investments(**)</w:t>
            </w: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480" w:type="dxa"/>
            <w:vAlign w:val="bottom"/>
          </w:tcPr>
          <w:p>
            <w:pPr>
              <w:spacing w:after="0"/>
              <w:rPr>
                <w:sz w:val="12"/>
                <w:szCs w:val="12"/>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20" w:type="dxa"/>
            <w:vAlign w:val="bottom"/>
          </w:tcPr>
          <w:p>
            <w:pPr>
              <w:spacing w:after="0"/>
              <w:rPr>
                <w:sz w:val="12"/>
                <w:szCs w:val="12"/>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S/(000)</w:t>
            </w:r>
          </w:p>
        </w:tc>
        <w:tc>
          <w:tcPr>
            <w:tcW w:w="0" w:type="dxa"/>
            <w:vAlign w:val="bottom"/>
          </w:tcPr>
          <w:p>
            <w:pPr>
              <w:spacing w:after="0"/>
              <w:rPr>
                <w:sz w:val="1"/>
                <w:szCs w:val="1"/>
                <w:color w:val="auto"/>
              </w:rPr>
            </w:pPr>
          </w:p>
        </w:tc>
      </w:tr>
      <w:tr>
        <w:trPr>
          <w:trHeight w:val="196"/>
        </w:trPr>
        <w:tc>
          <w:tcPr>
            <w:tcW w:w="1480" w:type="dxa"/>
            <w:vAlign w:val="bottom"/>
          </w:tcPr>
          <w:p>
            <w:pPr>
              <w:spacing w:after="0"/>
              <w:rPr>
                <w:sz w:val="20"/>
                <w:szCs w:val="20"/>
                <w:color w:val="auto"/>
              </w:rPr>
            </w:pPr>
            <w:r>
              <w:rPr>
                <w:rFonts w:ascii="Arial" w:cs="Arial" w:eastAsia="Arial" w:hAnsi="Arial"/>
                <w:sz w:val="11"/>
                <w:szCs w:val="11"/>
                <w:color w:val="auto"/>
              </w:rPr>
              <w:t>Central Reserve Bank of</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192,666</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10,935,252</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1"/>
                <w:szCs w:val="11"/>
                <w:color w:val="auto"/>
              </w:rPr>
              <w:t>7,019,479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480" w:type="dxa"/>
            <w:vAlign w:val="bottom"/>
            <w:vMerge w:val="restart"/>
          </w:tcPr>
          <w:p>
            <w:pPr>
              <w:ind w:left="140"/>
              <w:spacing w:after="0" w:line="122" w:lineRule="exact"/>
              <w:rPr>
                <w:sz w:val="20"/>
                <w:szCs w:val="20"/>
                <w:color w:val="auto"/>
              </w:rPr>
            </w:pPr>
            <w:r>
              <w:rPr>
                <w:rFonts w:ascii="Arial" w:cs="Arial" w:eastAsia="Arial" w:hAnsi="Arial"/>
                <w:sz w:val="11"/>
                <w:szCs w:val="11"/>
                <w:color w:val="auto"/>
              </w:rPr>
              <w:t>Peru</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vMerge w:val="restart"/>
          </w:tcPr>
          <w:p>
            <w:pPr>
              <w:jc w:val="right"/>
              <w:ind w:right="3"/>
              <w:spacing w:after="0" w:line="122" w:lineRule="exact"/>
              <w:rPr>
                <w:sz w:val="20"/>
                <w:szCs w:val="20"/>
                <w:color w:val="auto"/>
              </w:rPr>
            </w:pPr>
            <w:r>
              <w:rPr>
                <w:rFonts w:ascii="Arial" w:cs="Arial" w:eastAsia="Arial" w:hAnsi="Arial"/>
                <w:sz w:val="11"/>
                <w:szCs w:val="11"/>
                <w:color w:val="auto"/>
              </w:rPr>
              <w:t>23,642,580</w:t>
            </w:r>
          </w:p>
        </w:tc>
        <w:tc>
          <w:tcPr>
            <w:tcW w:w="10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restart"/>
          </w:tcPr>
          <w:p>
            <w:pPr>
              <w:jc w:val="right"/>
              <w:ind w:right="3"/>
              <w:spacing w:after="0" w:line="122" w:lineRule="exact"/>
              <w:rPr>
                <w:sz w:val="20"/>
                <w:szCs w:val="20"/>
                <w:color w:val="auto"/>
              </w:rPr>
            </w:pPr>
            <w:r>
              <w:rPr>
                <w:rFonts w:ascii="Arial" w:cs="Arial" w:eastAsia="Arial" w:hAnsi="Arial"/>
                <w:sz w:val="11"/>
                <w:szCs w:val="11"/>
                <w:color w:val="auto"/>
              </w:rPr>
              <w:t>34,770,498</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gridSpan w:val="2"/>
            <w:vMerge w:val="restart"/>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24,157,868</w:t>
            </w: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gridSpan w:val="3"/>
            <w:vMerge w:val="restart"/>
          </w:tcPr>
          <w:p>
            <w:pPr>
              <w:jc w:val="right"/>
              <w:spacing w:after="0" w:line="122" w:lineRule="exact"/>
              <w:rPr>
                <w:sz w:val="20"/>
                <w:szCs w:val="20"/>
                <w:color w:val="auto"/>
              </w:rPr>
            </w:pPr>
            <w:r>
              <w:rPr>
                <w:rFonts w:ascii="Arial" w:cs="Arial" w:eastAsia="Arial" w:hAnsi="Arial"/>
                <w:sz w:val="11"/>
                <w:szCs w:val="11"/>
                <w:color w:val="auto"/>
              </w:rPr>
              <w:t>31,177,347</w:t>
            </w:r>
          </w:p>
        </w:tc>
        <w:tc>
          <w:tcPr>
            <w:tcW w:w="0" w:type="dxa"/>
            <w:vAlign w:val="bottom"/>
          </w:tcPr>
          <w:p>
            <w:pPr>
              <w:spacing w:after="0"/>
              <w:rPr>
                <w:sz w:val="1"/>
                <w:szCs w:val="1"/>
                <w:color w:val="auto"/>
              </w:rPr>
            </w:pPr>
          </w:p>
        </w:tc>
      </w:tr>
      <w:tr>
        <w:trPr>
          <w:trHeight w:val="34"/>
        </w:trPr>
        <w:tc>
          <w:tcPr>
            <w:tcW w:w="148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Financial services</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3,409,897</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73,182</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14,499,904</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3,900,949</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21,883,932</w:t>
            </w:r>
          </w:p>
        </w:tc>
        <w:tc>
          <w:tcPr>
            <w:tcW w:w="7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3,866,108</w:t>
            </w:r>
          </w:p>
        </w:tc>
        <w:tc>
          <w:tcPr>
            <w:tcW w:w="140" w:type="dxa"/>
            <w:vAlign w:val="bottom"/>
          </w:tcPr>
          <w:p>
            <w:pPr>
              <w:spacing w:after="0"/>
              <w:rPr>
                <w:sz w:val="10"/>
                <w:szCs w:val="10"/>
                <w:color w:val="auto"/>
              </w:rPr>
            </w:pPr>
          </w:p>
        </w:tc>
        <w:tc>
          <w:tcPr>
            <w:tcW w:w="680" w:type="dxa"/>
            <w:vAlign w:val="bottom"/>
          </w:tcPr>
          <w:p>
            <w:pPr>
              <w:jc w:val="right"/>
              <w:ind w:right="3"/>
              <w:spacing w:after="0" w:line="122" w:lineRule="exact"/>
              <w:rPr>
                <w:sz w:val="20"/>
                <w:szCs w:val="20"/>
                <w:color w:val="auto"/>
              </w:rPr>
            </w:pPr>
            <w:r>
              <w:rPr>
                <w:rFonts w:ascii="Arial" w:cs="Arial" w:eastAsia="Arial" w:hAnsi="Arial"/>
                <w:sz w:val="11"/>
                <w:szCs w:val="11"/>
                <w:color w:val="auto"/>
              </w:rPr>
              <w:t>312,993</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14,507,901</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4,311,513</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22,998,515</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Commerce</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5,969</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29</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24,611,067</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1,007,029</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25,624,094</w:t>
            </w:r>
          </w:p>
        </w:tc>
        <w:tc>
          <w:tcPr>
            <w:tcW w:w="7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17,992</w:t>
            </w:r>
          </w:p>
        </w:tc>
        <w:tc>
          <w:tcPr>
            <w:tcW w:w="140" w:type="dxa"/>
            <w:vAlign w:val="bottom"/>
          </w:tcPr>
          <w:p>
            <w:pPr>
              <w:spacing w:after="0"/>
              <w:rPr>
                <w:sz w:val="10"/>
                <w:szCs w:val="10"/>
                <w:color w:val="auto"/>
              </w:rPr>
            </w:pPr>
          </w:p>
        </w:tc>
        <w:tc>
          <w:tcPr>
            <w:tcW w:w="680" w:type="dxa"/>
            <w:vAlign w:val="bottom"/>
          </w:tcPr>
          <w:p>
            <w:pPr>
              <w:jc w:val="right"/>
              <w:ind w:right="3"/>
              <w:spacing w:after="0" w:line="122" w:lineRule="exact"/>
              <w:rPr>
                <w:sz w:val="20"/>
                <w:szCs w:val="20"/>
                <w:color w:val="auto"/>
              </w:rPr>
            </w:pPr>
            <w:r>
              <w:rPr>
                <w:rFonts w:ascii="Arial" w:cs="Arial" w:eastAsia="Arial" w:hAnsi="Arial"/>
                <w:sz w:val="11"/>
                <w:szCs w:val="11"/>
                <w:color w:val="auto"/>
              </w:rPr>
              <w:t>28</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26,448,551</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1,412,625</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27,879,196</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Manufacturing</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195,981</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78</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22,857,640</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1,925,973</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24,979,672</w:t>
            </w:r>
          </w:p>
        </w:tc>
        <w:tc>
          <w:tcPr>
            <w:tcW w:w="7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139,321</w:t>
            </w:r>
          </w:p>
        </w:tc>
        <w:tc>
          <w:tcPr>
            <w:tcW w:w="140" w:type="dxa"/>
            <w:vAlign w:val="bottom"/>
          </w:tcPr>
          <w:p>
            <w:pPr>
              <w:spacing w:after="0"/>
              <w:rPr>
                <w:sz w:val="10"/>
                <w:szCs w:val="10"/>
                <w:color w:val="auto"/>
              </w:rPr>
            </w:pPr>
          </w:p>
        </w:tc>
        <w:tc>
          <w:tcPr>
            <w:tcW w:w="680" w:type="dxa"/>
            <w:vAlign w:val="bottom"/>
          </w:tcPr>
          <w:p>
            <w:pPr>
              <w:jc w:val="right"/>
              <w:ind w:right="3"/>
              <w:spacing w:after="0" w:line="122" w:lineRule="exact"/>
              <w:rPr>
                <w:sz w:val="20"/>
                <w:szCs w:val="20"/>
                <w:color w:val="auto"/>
              </w:rPr>
            </w:pPr>
            <w:r>
              <w:rPr>
                <w:rFonts w:ascii="Arial" w:cs="Arial" w:eastAsia="Arial" w:hAnsi="Arial"/>
                <w:sz w:val="11"/>
                <w:szCs w:val="11"/>
                <w:color w:val="auto"/>
              </w:rPr>
              <w:t>35,435</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23,541,034</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1,697,174</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25,412,964</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Government and public</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1,713,104</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12,068,576</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1"/>
                <w:szCs w:val="11"/>
                <w:color w:val="auto"/>
              </w:rPr>
              <w:t>826,279</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1"/>
                <w:szCs w:val="11"/>
                <w:color w:val="auto"/>
              </w:rPr>
              <w:t>9,547,356</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480" w:type="dxa"/>
            <w:vAlign w:val="bottom"/>
            <w:vMerge w:val="restart"/>
          </w:tcPr>
          <w:p>
            <w:pPr>
              <w:ind w:left="140"/>
              <w:spacing w:after="0" w:line="122" w:lineRule="exact"/>
              <w:rPr>
                <w:sz w:val="20"/>
                <w:szCs w:val="20"/>
                <w:color w:val="auto"/>
              </w:rPr>
            </w:pPr>
            <w:r>
              <w:rPr>
                <w:rFonts w:ascii="Arial" w:cs="Arial" w:eastAsia="Arial" w:hAnsi="Arial"/>
                <w:sz w:val="11"/>
                <w:szCs w:val="11"/>
                <w:color w:val="auto"/>
              </w:rPr>
              <w:t>administration</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241,294</w:t>
            </w:r>
          </w:p>
        </w:tc>
        <w:tc>
          <w:tcPr>
            <w:tcW w:w="880" w:type="dxa"/>
            <w:vAlign w:val="bottom"/>
            <w:gridSpan w:val="2"/>
            <w:vMerge w:val="restart"/>
          </w:tcPr>
          <w:p>
            <w:pPr>
              <w:jc w:val="right"/>
              <w:ind w:right="3"/>
              <w:spacing w:after="0" w:line="122" w:lineRule="exact"/>
              <w:rPr>
                <w:sz w:val="20"/>
                <w:szCs w:val="20"/>
                <w:color w:val="auto"/>
              </w:rPr>
            </w:pPr>
            <w:r>
              <w:rPr>
                <w:rFonts w:ascii="Arial" w:cs="Arial" w:eastAsia="Arial" w:hAnsi="Arial"/>
                <w:sz w:val="11"/>
                <w:szCs w:val="11"/>
                <w:color w:val="auto"/>
              </w:rPr>
              <w:t>9,808,792</w:t>
            </w:r>
          </w:p>
        </w:tc>
        <w:tc>
          <w:tcPr>
            <w:tcW w:w="10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restart"/>
          </w:tcPr>
          <w:p>
            <w:pPr>
              <w:jc w:val="right"/>
              <w:ind w:right="3"/>
              <w:spacing w:after="0" w:line="122" w:lineRule="exact"/>
              <w:rPr>
                <w:sz w:val="20"/>
                <w:szCs w:val="20"/>
                <w:color w:val="auto"/>
              </w:rPr>
            </w:pPr>
            <w:r>
              <w:rPr>
                <w:rFonts w:ascii="Arial" w:cs="Arial" w:eastAsia="Arial" w:hAnsi="Arial"/>
                <w:sz w:val="11"/>
                <w:szCs w:val="11"/>
                <w:color w:val="auto"/>
              </w:rPr>
              <w:t>23,831,766</w:t>
            </w:r>
          </w:p>
        </w:tc>
        <w:tc>
          <w:tcPr>
            <w:tcW w:w="7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right"/>
              <w:ind w:right="3"/>
              <w:spacing w:after="0" w:line="122" w:lineRule="exact"/>
              <w:rPr>
                <w:sz w:val="20"/>
                <w:szCs w:val="20"/>
                <w:color w:val="auto"/>
              </w:rPr>
            </w:pPr>
            <w:r>
              <w:rPr>
                <w:rFonts w:ascii="Arial" w:cs="Arial" w:eastAsia="Arial" w:hAnsi="Arial"/>
                <w:sz w:val="11"/>
                <w:szCs w:val="11"/>
                <w:color w:val="auto"/>
              </w:rPr>
              <w:t>207</w:t>
            </w:r>
          </w:p>
        </w:tc>
        <w:tc>
          <w:tcPr>
            <w:tcW w:w="120" w:type="dxa"/>
            <w:vAlign w:val="bottom"/>
          </w:tcPr>
          <w:p>
            <w:pPr>
              <w:spacing w:after="0"/>
              <w:rPr>
                <w:sz w:val="7"/>
                <w:szCs w:val="7"/>
                <w:color w:val="auto"/>
              </w:rPr>
            </w:pPr>
          </w:p>
        </w:tc>
        <w:tc>
          <w:tcPr>
            <w:tcW w:w="74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10,318,450</w:t>
            </w: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gridSpan w:val="3"/>
            <w:vMerge w:val="restart"/>
          </w:tcPr>
          <w:p>
            <w:pPr>
              <w:jc w:val="right"/>
              <w:spacing w:after="0" w:line="122" w:lineRule="exact"/>
              <w:rPr>
                <w:sz w:val="20"/>
                <w:szCs w:val="20"/>
                <w:color w:val="auto"/>
              </w:rPr>
            </w:pPr>
            <w:r>
              <w:rPr>
                <w:rFonts w:ascii="Arial" w:cs="Arial" w:eastAsia="Arial" w:hAnsi="Arial"/>
                <w:sz w:val="11"/>
                <w:szCs w:val="11"/>
                <w:color w:val="auto"/>
              </w:rPr>
              <w:t>20,692,292</w:t>
            </w:r>
          </w:p>
        </w:tc>
        <w:tc>
          <w:tcPr>
            <w:tcW w:w="0" w:type="dxa"/>
            <w:vAlign w:val="bottom"/>
          </w:tcPr>
          <w:p>
            <w:pPr>
              <w:spacing w:after="0"/>
              <w:rPr>
                <w:sz w:val="1"/>
                <w:szCs w:val="1"/>
                <w:color w:val="auto"/>
              </w:rPr>
            </w:pPr>
          </w:p>
        </w:tc>
      </w:tr>
      <w:tr>
        <w:trPr>
          <w:trHeight w:val="34"/>
        </w:trPr>
        <w:tc>
          <w:tcPr>
            <w:tcW w:w="148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Mortgage loans</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23,395,049</w:t>
            </w:r>
          </w:p>
        </w:tc>
        <w:tc>
          <w:tcPr>
            <w:tcW w:w="120" w:type="dxa"/>
            <w:vAlign w:val="bottom"/>
          </w:tcPr>
          <w:p>
            <w:pPr>
              <w:spacing w:after="0"/>
              <w:rPr>
                <w:sz w:val="10"/>
                <w:szCs w:val="10"/>
                <w:color w:val="auto"/>
              </w:rPr>
            </w:pP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23,395,049</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22,381,290</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22,381,290</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Consumer loans</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18,457,100</w:t>
            </w:r>
          </w:p>
        </w:tc>
        <w:tc>
          <w:tcPr>
            <w:tcW w:w="120" w:type="dxa"/>
            <w:vAlign w:val="bottom"/>
          </w:tcPr>
          <w:p>
            <w:pPr>
              <w:spacing w:after="0"/>
              <w:rPr>
                <w:sz w:val="10"/>
                <w:szCs w:val="10"/>
                <w:color w:val="auto"/>
              </w:rPr>
            </w:pP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18,457,100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18,740,588</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18,740,588</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Real estate and leasing</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67,209</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8,989,709</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3,248</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9,060,166</w:t>
            </w:r>
          </w:p>
        </w:tc>
        <w:tc>
          <w:tcPr>
            <w:tcW w:w="7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68,797</w:t>
            </w:r>
          </w:p>
        </w:tc>
        <w:tc>
          <w:tcPr>
            <w:tcW w:w="14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10,088,768</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15,074</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10,172,639</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Communications, storage</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69,371</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495,995</w:t>
            </w:r>
          </w:p>
        </w:tc>
        <w:tc>
          <w:tcPr>
            <w:tcW w:w="8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8,592,952</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957,512</w:t>
            </w:r>
          </w:p>
        </w:tc>
        <w:tc>
          <w:tcPr>
            <w:tcW w:w="140" w:type="dxa"/>
            <w:vAlign w:val="bottom"/>
          </w:tcPr>
          <w:p>
            <w:pPr>
              <w:spacing w:after="0"/>
              <w:rPr>
                <w:sz w:val="10"/>
                <w:szCs w:val="10"/>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10,115,830</w:t>
            </w:r>
          </w:p>
        </w:tc>
        <w:tc>
          <w:tcPr>
            <w:tcW w:w="780" w:type="dxa"/>
            <w:vAlign w:val="bottom"/>
            <w:gridSpan w:val="3"/>
            <w:vMerge w:val="restart"/>
          </w:tcPr>
          <w:p>
            <w:pPr>
              <w:jc w:val="right"/>
              <w:spacing w:after="0"/>
              <w:rPr>
                <w:sz w:val="20"/>
                <w:szCs w:val="20"/>
                <w:color w:val="auto"/>
              </w:rPr>
            </w:pPr>
            <w:r>
              <w:rPr>
                <w:rFonts w:ascii="Arial" w:cs="Arial" w:eastAsia="Arial" w:hAnsi="Arial"/>
                <w:sz w:val="11"/>
                <w:szCs w:val="11"/>
                <w:color w:val="auto"/>
              </w:rPr>
              <w:t>55,499</w:t>
            </w:r>
          </w:p>
        </w:tc>
        <w:tc>
          <w:tcPr>
            <w:tcW w:w="140" w:type="dxa"/>
            <w:vAlign w:val="bottom"/>
          </w:tcPr>
          <w:p>
            <w:pPr>
              <w:spacing w:after="0"/>
              <w:rPr>
                <w:sz w:val="10"/>
                <w:szCs w:val="10"/>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1"/>
                <w:szCs w:val="11"/>
                <w:color w:val="auto"/>
              </w:rPr>
              <w:t>270,906</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6,495,988</w:t>
            </w:r>
          </w:p>
        </w:tc>
        <w:tc>
          <w:tcPr>
            <w:tcW w:w="140" w:type="dxa"/>
            <w:vAlign w:val="bottom"/>
          </w:tcPr>
          <w:p>
            <w:pPr>
              <w:spacing w:after="0"/>
              <w:rPr>
                <w:sz w:val="10"/>
                <w:szCs w:val="10"/>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1"/>
                <w:szCs w:val="11"/>
                <w:color w:val="auto"/>
              </w:rPr>
              <w:t>1,096,852</w:t>
            </w:r>
          </w:p>
        </w:tc>
        <w:tc>
          <w:tcPr>
            <w:tcW w:w="860" w:type="dxa"/>
            <w:vAlign w:val="bottom"/>
            <w:gridSpan w:val="3"/>
            <w:vMerge w:val="restart"/>
          </w:tcPr>
          <w:p>
            <w:pPr>
              <w:jc w:val="right"/>
              <w:spacing w:after="0"/>
              <w:rPr>
                <w:sz w:val="20"/>
                <w:szCs w:val="20"/>
                <w:color w:val="auto"/>
              </w:rPr>
            </w:pPr>
            <w:r>
              <w:rPr>
                <w:rFonts w:ascii="Arial" w:cs="Arial" w:eastAsia="Arial" w:hAnsi="Arial"/>
                <w:sz w:val="11"/>
                <w:szCs w:val="11"/>
                <w:color w:val="auto"/>
              </w:rPr>
              <w:t>7,919,245</w:t>
            </w:r>
          </w:p>
        </w:tc>
        <w:tc>
          <w:tcPr>
            <w:tcW w:w="0" w:type="dxa"/>
            <w:vAlign w:val="bottom"/>
          </w:tcPr>
          <w:p>
            <w:pPr>
              <w:spacing w:after="0"/>
              <w:rPr>
                <w:sz w:val="1"/>
                <w:szCs w:val="1"/>
                <w:color w:val="auto"/>
              </w:rPr>
            </w:pPr>
          </w:p>
        </w:tc>
      </w:tr>
      <w:tr>
        <w:trPr>
          <w:trHeight w:val="88"/>
        </w:trPr>
        <w:tc>
          <w:tcPr>
            <w:tcW w:w="1480" w:type="dxa"/>
            <w:vAlign w:val="bottom"/>
            <w:vMerge w:val="restart"/>
          </w:tcPr>
          <w:p>
            <w:pPr>
              <w:ind w:left="140"/>
              <w:spacing w:after="0" w:line="122" w:lineRule="exact"/>
              <w:rPr>
                <w:sz w:val="20"/>
                <w:szCs w:val="20"/>
                <w:color w:val="auto"/>
              </w:rPr>
            </w:pPr>
            <w:r>
              <w:rPr>
                <w:rFonts w:ascii="Arial" w:cs="Arial" w:eastAsia="Arial" w:hAnsi="Arial"/>
                <w:sz w:val="11"/>
                <w:szCs w:val="11"/>
                <w:color w:val="auto"/>
              </w:rPr>
              <w:t>and transportation</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48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Community services</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6,463,322</w:t>
            </w:r>
          </w:p>
        </w:tc>
        <w:tc>
          <w:tcPr>
            <w:tcW w:w="120" w:type="dxa"/>
            <w:vAlign w:val="bottom"/>
          </w:tcPr>
          <w:p>
            <w:pPr>
              <w:spacing w:after="0"/>
              <w:rPr>
                <w:sz w:val="10"/>
                <w:szCs w:val="10"/>
                <w:color w:val="auto"/>
              </w:rPr>
            </w:pP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6,463,322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6,500,918</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6,500,918</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Electricity, gas and water</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134,229</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4,642,005</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4,056,334</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8,832,651</w:t>
            </w:r>
          </w:p>
        </w:tc>
        <w:tc>
          <w:tcPr>
            <w:tcW w:w="7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180,772</w:t>
            </w:r>
          </w:p>
        </w:tc>
        <w:tc>
          <w:tcPr>
            <w:tcW w:w="140" w:type="dxa"/>
            <w:vAlign w:val="bottom"/>
          </w:tcPr>
          <w:p>
            <w:pPr>
              <w:spacing w:after="0"/>
              <w:rPr>
                <w:sz w:val="10"/>
                <w:szCs w:val="10"/>
                <w:color w:val="auto"/>
              </w:rPr>
            </w:pPr>
          </w:p>
        </w:tc>
        <w:tc>
          <w:tcPr>
            <w:tcW w:w="680" w:type="dxa"/>
            <w:vAlign w:val="bottom"/>
          </w:tcPr>
          <w:p>
            <w:pPr>
              <w:jc w:val="right"/>
              <w:ind w:right="3"/>
              <w:spacing w:after="0" w:line="122" w:lineRule="exact"/>
              <w:rPr>
                <w:sz w:val="20"/>
                <w:szCs w:val="20"/>
                <w:color w:val="auto"/>
              </w:rPr>
            </w:pPr>
            <w:r>
              <w:rPr>
                <w:rFonts w:ascii="Arial" w:cs="Arial" w:eastAsia="Arial" w:hAnsi="Arial"/>
                <w:sz w:val="11"/>
                <w:szCs w:val="11"/>
                <w:color w:val="auto"/>
              </w:rPr>
              <w:t>107,161</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4,884,840</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3,250,100</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8,422,873</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Construction</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3,336</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3,284,049</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415,280</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3,702,665</w:t>
            </w:r>
          </w:p>
        </w:tc>
        <w:tc>
          <w:tcPr>
            <w:tcW w:w="7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12,899</w:t>
            </w:r>
          </w:p>
        </w:tc>
        <w:tc>
          <w:tcPr>
            <w:tcW w:w="14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3,633,858</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384,521</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4,031,278</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Agriculture</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3,699</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4,569,647</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15,808</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4,589,154</w:t>
            </w:r>
          </w:p>
        </w:tc>
        <w:tc>
          <w:tcPr>
            <w:tcW w:w="7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485</w:t>
            </w:r>
          </w:p>
        </w:tc>
        <w:tc>
          <w:tcPr>
            <w:tcW w:w="14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4,867,488</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20,942</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4,888,915</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Mining</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9,399</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3,755,224</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155,708</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3,920,331</w:t>
            </w:r>
          </w:p>
        </w:tc>
        <w:tc>
          <w:tcPr>
            <w:tcW w:w="7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6,323</w:t>
            </w:r>
          </w:p>
        </w:tc>
        <w:tc>
          <w:tcPr>
            <w:tcW w:w="14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3,883,227</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149,861</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4,039,411</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Education, health and</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113,028</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814,761</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1"/>
                <w:szCs w:val="11"/>
                <w:color w:val="auto"/>
              </w:rPr>
              <w:t>89,033</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1"/>
                <w:szCs w:val="11"/>
                <w:color w:val="auto"/>
              </w:rPr>
              <w:t>853,292</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480" w:type="dxa"/>
            <w:vAlign w:val="bottom"/>
            <w:vMerge w:val="restart"/>
          </w:tcPr>
          <w:p>
            <w:pPr>
              <w:ind w:left="140"/>
              <w:spacing w:after="0" w:line="122" w:lineRule="exact"/>
              <w:rPr>
                <w:sz w:val="20"/>
                <w:szCs w:val="20"/>
                <w:color w:val="auto"/>
              </w:rPr>
            </w:pPr>
            <w:r>
              <w:rPr>
                <w:rFonts w:ascii="Arial" w:cs="Arial" w:eastAsia="Arial" w:hAnsi="Arial"/>
                <w:sz w:val="11"/>
                <w:szCs w:val="11"/>
                <w:color w:val="auto"/>
              </w:rPr>
              <w:t>others</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271</w:t>
            </w:r>
          </w:p>
        </w:tc>
        <w:tc>
          <w:tcPr>
            <w:tcW w:w="880" w:type="dxa"/>
            <w:vAlign w:val="bottom"/>
            <w:gridSpan w:val="2"/>
            <w:vMerge w:val="restart"/>
          </w:tcPr>
          <w:p>
            <w:pPr>
              <w:jc w:val="right"/>
              <w:ind w:right="3"/>
              <w:spacing w:after="0" w:line="122" w:lineRule="exact"/>
              <w:rPr>
                <w:sz w:val="20"/>
                <w:szCs w:val="20"/>
                <w:color w:val="auto"/>
              </w:rPr>
            </w:pPr>
            <w:r>
              <w:rPr>
                <w:rFonts w:ascii="Arial" w:cs="Arial" w:eastAsia="Arial" w:hAnsi="Arial"/>
                <w:sz w:val="11"/>
                <w:szCs w:val="11"/>
                <w:color w:val="auto"/>
              </w:rPr>
              <w:t>1,490,560</w:t>
            </w:r>
          </w:p>
        </w:tc>
        <w:tc>
          <w:tcPr>
            <w:tcW w:w="10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restart"/>
          </w:tcPr>
          <w:p>
            <w:pPr>
              <w:jc w:val="right"/>
              <w:ind w:right="3"/>
              <w:spacing w:after="0" w:line="122" w:lineRule="exact"/>
              <w:rPr>
                <w:sz w:val="20"/>
                <w:szCs w:val="20"/>
                <w:color w:val="auto"/>
              </w:rPr>
            </w:pPr>
            <w:r>
              <w:rPr>
                <w:rFonts w:ascii="Arial" w:cs="Arial" w:eastAsia="Arial" w:hAnsi="Arial"/>
                <w:sz w:val="11"/>
                <w:szCs w:val="11"/>
                <w:color w:val="auto"/>
              </w:rPr>
              <w:t>2,418,620</w:t>
            </w:r>
          </w:p>
        </w:tc>
        <w:tc>
          <w:tcPr>
            <w:tcW w:w="7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right"/>
              <w:ind w:right="3"/>
              <w:spacing w:after="0" w:line="122" w:lineRule="exact"/>
              <w:rPr>
                <w:sz w:val="20"/>
                <w:szCs w:val="20"/>
                <w:color w:val="auto"/>
              </w:rPr>
            </w:pPr>
            <w:r>
              <w:rPr>
                <w:rFonts w:ascii="Arial" w:cs="Arial" w:eastAsia="Arial" w:hAnsi="Arial"/>
                <w:sz w:val="11"/>
                <w:szCs w:val="11"/>
                <w:color w:val="auto"/>
              </w:rPr>
              <w:t>42,071</w:t>
            </w:r>
          </w:p>
        </w:tc>
        <w:tc>
          <w:tcPr>
            <w:tcW w:w="120" w:type="dxa"/>
            <w:vAlign w:val="bottom"/>
          </w:tcPr>
          <w:p>
            <w:pPr>
              <w:spacing w:after="0"/>
              <w:rPr>
                <w:sz w:val="7"/>
                <w:szCs w:val="7"/>
                <w:color w:val="auto"/>
              </w:rPr>
            </w:pPr>
          </w:p>
        </w:tc>
        <w:tc>
          <w:tcPr>
            <w:tcW w:w="74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1,631,340</w:t>
            </w: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gridSpan w:val="3"/>
            <w:vMerge w:val="restart"/>
          </w:tcPr>
          <w:p>
            <w:pPr>
              <w:jc w:val="right"/>
              <w:spacing w:after="0" w:line="122" w:lineRule="exact"/>
              <w:rPr>
                <w:sz w:val="20"/>
                <w:szCs w:val="20"/>
                <w:color w:val="auto"/>
              </w:rPr>
            </w:pPr>
            <w:r>
              <w:rPr>
                <w:rFonts w:ascii="Arial" w:cs="Arial" w:eastAsia="Arial" w:hAnsi="Arial"/>
                <w:sz w:val="11"/>
                <w:szCs w:val="11"/>
                <w:color w:val="auto"/>
              </w:rPr>
              <w:t>2,615,736</w:t>
            </w:r>
          </w:p>
        </w:tc>
        <w:tc>
          <w:tcPr>
            <w:tcW w:w="0" w:type="dxa"/>
            <w:vAlign w:val="bottom"/>
          </w:tcPr>
          <w:p>
            <w:pPr>
              <w:spacing w:after="0"/>
              <w:rPr>
                <w:sz w:val="1"/>
                <w:szCs w:val="1"/>
                <w:color w:val="auto"/>
              </w:rPr>
            </w:pPr>
          </w:p>
        </w:tc>
      </w:tr>
      <w:tr>
        <w:trPr>
          <w:trHeight w:val="34"/>
        </w:trPr>
        <w:tc>
          <w:tcPr>
            <w:tcW w:w="148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Hotels and restaurants</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2,480,313</w:t>
            </w:r>
          </w:p>
        </w:tc>
        <w:tc>
          <w:tcPr>
            <w:tcW w:w="120" w:type="dxa"/>
            <w:vAlign w:val="bottom"/>
          </w:tcPr>
          <w:p>
            <w:pPr>
              <w:spacing w:after="0"/>
              <w:rPr>
                <w:sz w:val="10"/>
                <w:szCs w:val="10"/>
                <w:color w:val="auto"/>
              </w:rPr>
            </w:pP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2,480,313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2,736,252</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2,736,252</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Insurance</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5,138</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88,947</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193</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94,278</w:t>
            </w:r>
          </w:p>
        </w:tc>
        <w:tc>
          <w:tcPr>
            <w:tcW w:w="7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1,363</w:t>
            </w:r>
          </w:p>
        </w:tc>
        <w:tc>
          <w:tcPr>
            <w:tcW w:w="14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1,003,613</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4,542</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1,009,518</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Arial" w:cs="Arial" w:eastAsia="Arial" w:hAnsi="Arial"/>
                <w:sz w:val="11"/>
                <w:szCs w:val="11"/>
                <w:color w:val="auto"/>
              </w:rPr>
              <w:t>Fishing</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139</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3"/>
              <w:spacing w:after="0" w:line="122" w:lineRule="exact"/>
              <w:rPr>
                <w:sz w:val="20"/>
                <w:szCs w:val="20"/>
                <w:color w:val="auto"/>
              </w:rPr>
            </w:pPr>
            <w:r>
              <w:rPr>
                <w:rFonts w:ascii="Arial" w:cs="Arial" w:eastAsia="Arial" w:hAnsi="Arial"/>
                <w:sz w:val="11"/>
                <w:szCs w:val="11"/>
                <w:color w:val="auto"/>
              </w:rPr>
              <w:t>658,316</w:t>
            </w:r>
          </w:p>
        </w:tc>
        <w:tc>
          <w:tcPr>
            <w:tcW w:w="120" w:type="dxa"/>
            <w:vAlign w:val="bottom"/>
          </w:tcPr>
          <w:p>
            <w:pPr>
              <w:spacing w:after="0"/>
              <w:rPr>
                <w:sz w:val="10"/>
                <w:szCs w:val="10"/>
                <w:color w:val="auto"/>
              </w:rPr>
            </w:pPr>
          </w:p>
        </w:tc>
        <w:tc>
          <w:tcPr>
            <w:tcW w:w="10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658,455</w:t>
            </w:r>
          </w:p>
        </w:tc>
        <w:tc>
          <w:tcPr>
            <w:tcW w:w="7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506</w:t>
            </w:r>
          </w:p>
        </w:tc>
        <w:tc>
          <w:tcPr>
            <w:tcW w:w="14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578,526</w:t>
            </w:r>
          </w:p>
        </w:tc>
        <w:tc>
          <w:tcPr>
            <w:tcW w:w="14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579,032</w:t>
            </w:r>
          </w:p>
        </w:tc>
        <w:tc>
          <w:tcPr>
            <w:tcW w:w="0" w:type="dxa"/>
            <w:vAlign w:val="bottom"/>
          </w:tcPr>
          <w:p>
            <w:pPr>
              <w:spacing w:after="0"/>
              <w:rPr>
                <w:sz w:val="1"/>
                <w:szCs w:val="1"/>
                <w:color w:val="auto"/>
              </w:rPr>
            </w:pPr>
          </w:p>
        </w:tc>
      </w:tr>
      <w:tr>
        <w:trPr>
          <w:trHeight w:val="138"/>
        </w:trPr>
        <w:tc>
          <w:tcPr>
            <w:tcW w:w="1480" w:type="dxa"/>
            <w:vAlign w:val="bottom"/>
          </w:tcPr>
          <w:p>
            <w:pPr>
              <w:spacing w:after="0"/>
              <w:rPr>
                <w:sz w:val="20"/>
                <w:szCs w:val="20"/>
                <w:color w:val="auto"/>
              </w:rPr>
            </w:pPr>
            <w:r>
              <w:rPr>
                <w:rFonts w:ascii="Arial" w:cs="Arial" w:eastAsia="Arial" w:hAnsi="Arial"/>
                <w:sz w:val="11"/>
                <w:szCs w:val="11"/>
                <w:color w:val="auto"/>
              </w:rPr>
              <w:t>Others</w:t>
            </w:r>
          </w:p>
        </w:tc>
        <w:tc>
          <w:tcPr>
            <w:tcW w:w="660" w:type="dxa"/>
            <w:vAlign w:val="bottom"/>
          </w:tcPr>
          <w:p>
            <w:pPr>
              <w:jc w:val="right"/>
              <w:spacing w:after="0"/>
              <w:rPr>
                <w:sz w:val="20"/>
                <w:szCs w:val="20"/>
                <w:color w:val="auto"/>
              </w:rPr>
            </w:pPr>
            <w:r>
              <w:rPr>
                <w:rFonts w:ascii="Arial" w:cs="Arial" w:eastAsia="Arial" w:hAnsi="Arial"/>
                <w:sz w:val="11"/>
                <w:szCs w:val="11"/>
                <w:color w:val="auto"/>
              </w:rPr>
              <w:t>47,159</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3"/>
              <w:spacing w:after="0"/>
              <w:rPr>
                <w:sz w:val="20"/>
                <w:szCs w:val="20"/>
                <w:color w:val="auto"/>
              </w:rPr>
            </w:pPr>
            <w:r>
              <w:rPr>
                <w:rFonts w:ascii="Arial" w:cs="Arial" w:eastAsia="Arial" w:hAnsi="Arial"/>
                <w:sz w:val="11"/>
                <w:szCs w:val="11"/>
                <w:color w:val="auto"/>
              </w:rPr>
              <w:t>2,426,485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787,317</w:t>
            </w:r>
          </w:p>
        </w:tc>
        <w:tc>
          <w:tcPr>
            <w:tcW w:w="140" w:type="dxa"/>
            <w:vAlign w:val="bottom"/>
          </w:tcPr>
          <w:p>
            <w:pPr>
              <w:spacing w:after="0"/>
              <w:rPr>
                <w:sz w:val="11"/>
                <w:szCs w:val="11"/>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3,260,961</w:t>
            </w:r>
          </w:p>
        </w:tc>
        <w:tc>
          <w:tcPr>
            <w:tcW w:w="780" w:type="dxa"/>
            <w:vAlign w:val="bottom"/>
            <w:gridSpan w:val="3"/>
          </w:tcPr>
          <w:p>
            <w:pPr>
              <w:jc w:val="right"/>
              <w:spacing w:after="0"/>
              <w:rPr>
                <w:sz w:val="20"/>
                <w:szCs w:val="20"/>
                <w:color w:val="auto"/>
              </w:rPr>
            </w:pPr>
            <w:r>
              <w:rPr>
                <w:rFonts w:ascii="Arial" w:cs="Arial" w:eastAsia="Arial" w:hAnsi="Arial"/>
                <w:sz w:val="11"/>
                <w:szCs w:val="11"/>
                <w:color w:val="auto"/>
              </w:rPr>
              <w:t>412,683</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2,531,987</w:t>
            </w:r>
          </w:p>
        </w:tc>
        <w:tc>
          <w:tcPr>
            <w:tcW w:w="140" w:type="dxa"/>
            <w:vAlign w:val="bottom"/>
          </w:tcPr>
          <w:p>
            <w:pPr>
              <w:spacing w:after="0"/>
              <w:rPr>
                <w:sz w:val="11"/>
                <w:szCs w:val="11"/>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1,022,830</w:t>
            </w:r>
          </w:p>
        </w:tc>
        <w:tc>
          <w:tcPr>
            <w:tcW w:w="860" w:type="dxa"/>
            <w:vAlign w:val="bottom"/>
            <w:gridSpan w:val="3"/>
          </w:tcPr>
          <w:p>
            <w:pPr>
              <w:jc w:val="right"/>
              <w:spacing w:after="0"/>
              <w:rPr>
                <w:sz w:val="20"/>
                <w:szCs w:val="20"/>
                <w:color w:val="auto"/>
              </w:rPr>
            </w:pPr>
            <w:r>
              <w:rPr>
                <w:rFonts w:ascii="Arial" w:cs="Arial" w:eastAsia="Arial" w:hAnsi="Arial"/>
                <w:sz w:val="11"/>
                <w:szCs w:val="11"/>
                <w:color w:val="auto"/>
              </w:rPr>
              <w:t>3,967,500</w:t>
            </w:r>
          </w:p>
        </w:tc>
        <w:tc>
          <w:tcPr>
            <w:tcW w:w="0" w:type="dxa"/>
            <w:vAlign w:val="bottom"/>
          </w:tcPr>
          <w:p>
            <w:pPr>
              <w:spacing w:after="0"/>
              <w:rPr>
                <w:sz w:val="1"/>
                <w:szCs w:val="1"/>
                <w:color w:val="auto"/>
              </w:rPr>
            </w:pPr>
          </w:p>
        </w:tc>
      </w:tr>
      <w:tr>
        <w:trPr>
          <w:trHeight w:val="119"/>
        </w:trPr>
        <w:tc>
          <w:tcPr>
            <w:tcW w:w="1480" w:type="dxa"/>
            <w:vAlign w:val="bottom"/>
          </w:tcPr>
          <w:p>
            <w:pPr>
              <w:spacing w:after="0" w:line="115" w:lineRule="exact"/>
              <w:rPr>
                <w:sz w:val="20"/>
                <w:szCs w:val="20"/>
                <w:color w:val="auto"/>
              </w:rPr>
            </w:pPr>
            <w:r>
              <w:rPr>
                <w:rFonts w:ascii="Arial" w:cs="Arial" w:eastAsia="Arial" w:hAnsi="Arial"/>
                <w:sz w:val="11"/>
                <w:szCs w:val="11"/>
                <w:b w:val="1"/>
                <w:bCs w:val="1"/>
                <w:color w:val="auto"/>
              </w:rPr>
              <w:t>Total</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5,970,324</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810,932</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3"/>
              <w:spacing w:after="0" w:line="115" w:lineRule="exact"/>
              <w:rPr>
                <w:sz w:val="20"/>
                <w:szCs w:val="20"/>
                <w:color w:val="auto"/>
              </w:rPr>
            </w:pPr>
            <w:r>
              <w:rPr>
                <w:rFonts w:ascii="Arial" w:cs="Arial" w:eastAsia="Arial" w:hAnsi="Arial"/>
                <w:sz w:val="11"/>
                <w:szCs w:val="11"/>
                <w:color w:val="auto"/>
              </w:rPr>
              <w:t>184,713,661</w:t>
            </w:r>
          </w:p>
        </w:tc>
        <w:tc>
          <w:tcPr>
            <w:tcW w:w="120" w:type="dxa"/>
            <w:vAlign w:val="bottom"/>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37,043,940</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3"/>
              <w:spacing w:after="0" w:line="115" w:lineRule="exact"/>
              <w:rPr>
                <w:sz w:val="20"/>
                <w:szCs w:val="20"/>
                <w:color w:val="auto"/>
              </w:rPr>
            </w:pPr>
            <w:r>
              <w:rPr>
                <w:rFonts w:ascii="Arial" w:cs="Arial" w:eastAsia="Arial" w:hAnsi="Arial"/>
                <w:sz w:val="11"/>
                <w:szCs w:val="11"/>
                <w:color w:val="auto"/>
              </w:rPr>
              <w:t>228,538,857</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5,678,060</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ind w:right="3"/>
              <w:spacing w:after="0" w:line="115" w:lineRule="exact"/>
              <w:rPr>
                <w:sz w:val="20"/>
                <w:szCs w:val="20"/>
                <w:color w:val="auto"/>
              </w:rPr>
            </w:pPr>
            <w:r>
              <w:rPr>
                <w:rFonts w:ascii="Arial" w:cs="Arial" w:eastAsia="Arial" w:hAnsi="Arial"/>
                <w:sz w:val="11"/>
                <w:szCs w:val="11"/>
                <w:color w:val="auto"/>
              </w:rPr>
              <w:t>768,801</w:t>
            </w:r>
          </w:p>
        </w:tc>
        <w:tc>
          <w:tcPr>
            <w:tcW w:w="12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188,932,487</w:t>
            </w:r>
          </w:p>
        </w:tc>
        <w:tc>
          <w:tcPr>
            <w:tcW w:w="140" w:type="dxa"/>
            <w:vAlign w:val="bottom"/>
          </w:tcPr>
          <w:p>
            <w:pPr>
              <w:spacing w:after="0"/>
              <w:rPr>
                <w:sz w:val="10"/>
                <w:szCs w:val="10"/>
                <w:color w:val="auto"/>
              </w:rPr>
            </w:pPr>
          </w:p>
        </w:tc>
        <w:tc>
          <w:tcPr>
            <w:tcW w:w="880" w:type="dxa"/>
            <w:vAlign w:val="bottom"/>
            <w:tcBorders>
              <w:top w:val="single" w:sz="8" w:color="auto"/>
              <w:bottom w:val="single" w:sz="8" w:color="auto"/>
            </w:tcBorders>
          </w:tcPr>
          <w:p>
            <w:pPr>
              <w:jc w:val="right"/>
              <w:ind w:right="3"/>
              <w:spacing w:after="0" w:line="115" w:lineRule="exact"/>
              <w:rPr>
                <w:sz w:val="20"/>
                <w:szCs w:val="20"/>
                <w:color w:val="auto"/>
              </w:rPr>
            </w:pPr>
            <w:r>
              <w:rPr>
                <w:rFonts w:ascii="Arial" w:cs="Arial" w:eastAsia="Arial" w:hAnsi="Arial"/>
                <w:sz w:val="11"/>
                <w:szCs w:val="11"/>
                <w:color w:val="auto"/>
              </w:rPr>
              <w:t>30,786,161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226,165,509</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00" w:right="5260" w:hanging="3"/>
        <w:spacing w:after="0" w:line="462" w:lineRule="auto"/>
        <w:tabs>
          <w:tab w:leader="none" w:pos="51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It includes non-trading investments that did not pass SPPI test. (**) OCI: Other comprehensive income.</w:t>
      </w:r>
    </w:p>
    <w:p>
      <w:pPr>
        <w:jc w:val="center"/>
        <w:ind w:right="220"/>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41275</wp:posOffset>
            </wp:positionV>
            <wp:extent cx="714565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00"/>
          </w:cols>
          <w:pgMar w:left="900" w:top="124" w:right="699" w:bottom="1440" w:gutter="0" w:footer="0" w:header="0"/>
        </w:sectPr>
      </w:pPr>
    </w:p>
    <w:bookmarkStart w:id="158" w:name="page159"/>
    <w:bookmarkEnd w:id="158"/>
    <w:p>
      <w:pPr>
        <w:ind w:left="3"/>
        <w:spacing w:after="0"/>
        <w:rPr>
          <w:sz w:val="20"/>
          <w:szCs w:val="20"/>
          <w:color w:val="auto"/>
        </w:rPr>
      </w:pPr>
      <w:r>
        <w:rPr>
          <w:rFonts w:ascii="Arial" w:cs="Arial" w:eastAsia="Arial" w:hAnsi="Arial"/>
          <w:sz w:val="16"/>
          <w:szCs w:val="16"/>
          <w:color w:val="auto"/>
        </w:rPr>
        <w:t>As of December 31, 2023 and 2022 financial instruments with exposure to credit risk were distributed by the following geographical areas:</w:t>
      </w:r>
    </w:p>
    <w:p>
      <w:pPr>
        <w:sectPr>
          <w:pgSz w:w="11900" w:h="16838" w:orient="portrait"/>
          <w:cols w:equalWidth="0" w:num="1">
            <w:col w:w="10123"/>
          </w:cols>
          <w:pgMar w:left="1197" w:top="306" w:right="579" w:bottom="1440" w:gutter="0" w:footer="0" w:header="0"/>
        </w:sectPr>
      </w:pPr>
    </w:p>
    <w:p>
      <w:pPr>
        <w:spacing w:after="0" w:line="184" w:lineRule="exact"/>
        <w:rPr>
          <w:sz w:val="20"/>
          <w:szCs w:val="20"/>
          <w:color w:val="auto"/>
        </w:rPr>
      </w:pPr>
    </w:p>
    <w:p>
      <w:pPr>
        <w:ind w:left="1403"/>
        <w:spacing w:after="0"/>
        <w:rPr>
          <w:sz w:val="20"/>
          <w:szCs w:val="20"/>
          <w:color w:val="auto"/>
        </w:rPr>
      </w:pPr>
      <w:r>
        <w:rPr>
          <w:rFonts w:ascii="Arial" w:cs="Arial" w:eastAsia="Arial" w:hAnsi="Arial"/>
          <w:sz w:val="11"/>
          <w:szCs w:val="11"/>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6985</wp:posOffset>
            </wp:positionV>
            <wp:extent cx="273875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38755" cy="7620"/>
                    </a:xfrm>
                    <a:prstGeom prst="rect">
                      <a:avLst/>
                    </a:prstGeom>
                    <a:noFill/>
                  </pic:spPr>
                </pic:pic>
              </a:graphicData>
            </a:graphic>
          </wp:anchor>
        </w:drawing>
      </w:r>
    </w:p>
    <w:p>
      <w:pPr>
        <w:ind w:left="1403"/>
        <w:spacing w:after="0"/>
        <w:rPr>
          <w:sz w:val="20"/>
          <w:szCs w:val="20"/>
          <w:color w:val="auto"/>
        </w:rPr>
      </w:pPr>
      <w:r>
        <w:rPr>
          <w:rFonts w:ascii="Arial" w:cs="Arial" w:eastAsia="Arial" w:hAnsi="Arial"/>
          <w:sz w:val="11"/>
          <w:szCs w:val="11"/>
          <w:b w:val="1"/>
          <w:bCs w:val="1"/>
          <w:color w:val="auto"/>
        </w:rPr>
        <w:t>At fair value</w:t>
      </w:r>
    </w:p>
    <w:p>
      <w:pPr>
        <w:ind w:left="1403"/>
        <w:spacing w:after="0"/>
        <w:rPr>
          <w:sz w:val="20"/>
          <w:szCs w:val="20"/>
          <w:color w:val="auto"/>
        </w:rPr>
      </w:pPr>
      <w:r>
        <w:rPr>
          <w:rFonts w:ascii="Arial" w:cs="Arial" w:eastAsia="Arial" w:hAnsi="Arial"/>
          <w:sz w:val="11"/>
          <w:szCs w:val="11"/>
          <w:b w:val="1"/>
          <w:bCs w:val="1"/>
          <w:color w:val="auto"/>
        </w:rPr>
        <w:t>through profit for loss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6985</wp:posOffset>
            </wp:positionV>
            <wp:extent cx="273875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38755" cy="762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b w:val="1"/>
          <w:bCs w:val="1"/>
          <w:color w:val="auto"/>
        </w:rPr>
        <w:t>At fair value</w:t>
      </w:r>
    </w:p>
    <w:p>
      <w:pPr>
        <w:jc w:val="center"/>
        <w:ind w:right="3080"/>
        <w:spacing w:after="0"/>
        <w:rPr>
          <w:sz w:val="20"/>
          <w:szCs w:val="20"/>
          <w:color w:val="auto"/>
        </w:rPr>
      </w:pPr>
      <w:r>
        <w:rPr>
          <w:rFonts w:ascii="Arial" w:cs="Arial" w:eastAsia="Arial" w:hAnsi="Arial"/>
          <w:sz w:val="11"/>
          <w:szCs w:val="11"/>
          <w:b w:val="1"/>
          <w:bCs w:val="1"/>
          <w:color w:val="auto"/>
        </w:rPr>
        <w:t>through profit for loss</w:t>
      </w:r>
    </w:p>
    <w:p>
      <w:pPr>
        <w:spacing w:after="0" w:line="1" w:lineRule="exact"/>
        <w:rPr>
          <w:sz w:val="20"/>
          <w:szCs w:val="20"/>
          <w:color w:val="auto"/>
        </w:rPr>
      </w:pPr>
    </w:p>
    <w:p>
      <w:pPr>
        <w:sectPr>
          <w:pgSz w:w="11900" w:h="16838" w:orient="portrait"/>
          <w:cols w:equalWidth="0" w:num="2">
            <w:col w:w="5123" w:space="720"/>
            <w:col w:w="4280"/>
          </w:cols>
          <w:pgMar w:left="1197" w:top="306" w:right="579" w:bottom="1440" w:gutter="0" w:footer="0" w:header="0"/>
          <w:type w:val="continuous"/>
        </w:sectPr>
      </w:pPr>
    </w:p>
    <w:tbl>
      <w:tblPr>
        <w:tblLayout w:type="fixed"/>
        <w:tblInd w:w="43" w:type="dxa"/>
        <w:tblCellMar>
          <w:top w:w="0" w:type="dxa"/>
          <w:left w:w="0" w:type="dxa"/>
          <w:bottom w:w="0" w:type="dxa"/>
          <w:right w:w="0" w:type="dxa"/>
        </w:tblCellMar>
      </w:tblPr>
      <w:tr>
        <w:trPr>
          <w:trHeight w:val="99"/>
        </w:trPr>
        <w:tc>
          <w:tcPr>
            <w:tcW w:w="1320" w:type="dxa"/>
            <w:vAlign w:val="bottom"/>
          </w:tcPr>
          <w:p>
            <w:pPr>
              <w:spacing w:after="0"/>
              <w:rPr>
                <w:sz w:val="8"/>
                <w:szCs w:val="8"/>
                <w:color w:val="auto"/>
              </w:rPr>
            </w:pPr>
          </w:p>
        </w:tc>
        <w:tc>
          <w:tcPr>
            <w:tcW w:w="780" w:type="dxa"/>
            <w:vAlign w:val="bottom"/>
            <w:tcBorders>
              <w:top w:val="single" w:sz="8" w:color="auto"/>
            </w:tcBorders>
            <w:gridSpan w:val="2"/>
          </w:tcPr>
          <w:p>
            <w:pPr>
              <w:ind w:left="40"/>
              <w:spacing w:after="0" w:line="99" w:lineRule="exact"/>
              <w:rPr>
                <w:sz w:val="20"/>
                <w:szCs w:val="20"/>
                <w:color w:val="auto"/>
              </w:rPr>
            </w:pPr>
            <w:r>
              <w:rPr>
                <w:rFonts w:ascii="Arial" w:cs="Arial" w:eastAsia="Arial" w:hAnsi="Arial"/>
                <w:sz w:val="11"/>
                <w:szCs w:val="11"/>
                <w:b w:val="1"/>
                <w:bCs w:val="1"/>
                <w:color w:val="auto"/>
              </w:rPr>
              <w:t>Held for</w:t>
            </w:r>
          </w:p>
        </w:tc>
        <w:tc>
          <w:tcPr>
            <w:tcW w:w="7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Financial</w:t>
            </w:r>
          </w:p>
        </w:tc>
        <w:tc>
          <w:tcPr>
            <w:tcW w:w="1080" w:type="dxa"/>
            <w:vAlign w:val="bottom"/>
            <w:gridSpan w:val="2"/>
          </w:tcPr>
          <w:p>
            <w:pPr>
              <w:ind w:left="40"/>
              <w:spacing w:after="0" w:line="99" w:lineRule="exact"/>
              <w:rPr>
                <w:sz w:val="20"/>
                <w:szCs w:val="20"/>
                <w:color w:val="auto"/>
              </w:rPr>
            </w:pPr>
            <w:r>
              <w:rPr>
                <w:rFonts w:ascii="Arial" w:cs="Arial" w:eastAsia="Arial" w:hAnsi="Arial"/>
                <w:sz w:val="11"/>
                <w:szCs w:val="11"/>
                <w:b w:val="1"/>
                <w:bCs w:val="1"/>
                <w:color w:val="auto"/>
              </w:rPr>
              <w:t>At fair value</w:t>
            </w: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top w:val="single" w:sz="8" w:color="auto"/>
            </w:tcBorders>
            <w:gridSpan w:val="2"/>
          </w:tcPr>
          <w:p>
            <w:pPr>
              <w:ind w:left="40"/>
              <w:spacing w:after="0" w:line="99" w:lineRule="exact"/>
              <w:rPr>
                <w:sz w:val="20"/>
                <w:szCs w:val="20"/>
                <w:color w:val="auto"/>
              </w:rPr>
            </w:pPr>
            <w:r>
              <w:rPr>
                <w:rFonts w:ascii="Arial" w:cs="Arial" w:eastAsia="Arial" w:hAnsi="Arial"/>
                <w:sz w:val="11"/>
                <w:szCs w:val="11"/>
                <w:b w:val="1"/>
                <w:bCs w:val="1"/>
                <w:color w:val="auto"/>
              </w:rPr>
              <w:t>Held for</w:t>
            </w:r>
          </w:p>
        </w:tc>
        <w:tc>
          <w:tcPr>
            <w:tcW w:w="7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Financial</w:t>
            </w:r>
          </w:p>
        </w:tc>
        <w:tc>
          <w:tcPr>
            <w:tcW w:w="1080" w:type="dxa"/>
            <w:vAlign w:val="bottom"/>
            <w:gridSpan w:val="2"/>
          </w:tcPr>
          <w:p>
            <w:pPr>
              <w:ind w:left="60"/>
              <w:spacing w:after="0" w:line="99" w:lineRule="exact"/>
              <w:rPr>
                <w:sz w:val="20"/>
                <w:szCs w:val="20"/>
                <w:color w:val="auto"/>
              </w:rPr>
            </w:pPr>
            <w:r>
              <w:rPr>
                <w:rFonts w:ascii="Arial" w:cs="Arial" w:eastAsia="Arial" w:hAnsi="Arial"/>
                <w:sz w:val="11"/>
                <w:szCs w:val="11"/>
                <w:b w:val="1"/>
                <w:bCs w:val="1"/>
                <w:color w:val="auto"/>
              </w:rPr>
              <w:t>At fair value</w:t>
            </w: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trading,</w:t>
            </w: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Designated</w:t>
            </w:r>
          </w:p>
        </w:tc>
        <w:tc>
          <w:tcPr>
            <w:tcW w:w="860" w:type="dxa"/>
            <w:vAlign w:val="bottom"/>
            <w:gridSpan w:val="2"/>
            <w:vMerge w:val="continue"/>
          </w:tcPr>
          <w:p>
            <w:pPr>
              <w:spacing w:after="0"/>
              <w:rPr>
                <w:sz w:val="10"/>
                <w:szCs w:val="10"/>
                <w:color w:val="auto"/>
              </w:rPr>
            </w:pPr>
          </w:p>
        </w:tc>
        <w:tc>
          <w:tcPr>
            <w:tcW w:w="10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through other</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trading,</w:t>
            </w:r>
          </w:p>
        </w:tc>
        <w:tc>
          <w:tcPr>
            <w:tcW w:w="8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Designated</w:t>
            </w:r>
          </w:p>
        </w:tc>
        <w:tc>
          <w:tcPr>
            <w:tcW w:w="860" w:type="dxa"/>
            <w:vAlign w:val="bottom"/>
            <w:gridSpan w:val="2"/>
            <w:vMerge w:val="continue"/>
          </w:tcPr>
          <w:p>
            <w:pPr>
              <w:spacing w:after="0"/>
              <w:rPr>
                <w:sz w:val="10"/>
                <w:szCs w:val="10"/>
                <w:color w:val="auto"/>
              </w:rPr>
            </w:pPr>
          </w:p>
        </w:tc>
        <w:tc>
          <w:tcPr>
            <w:tcW w:w="10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through other</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hedging</w:t>
            </w:r>
          </w:p>
        </w:tc>
        <w:tc>
          <w:tcPr>
            <w:tcW w:w="860" w:type="dxa"/>
            <w:vAlign w:val="bottom"/>
            <w:gridSpan w:val="2"/>
            <w:vMerge w:val="continue"/>
          </w:tcPr>
          <w:p>
            <w:pPr>
              <w:spacing w:after="0"/>
              <w:rPr>
                <w:sz w:val="10"/>
                <w:szCs w:val="10"/>
                <w:color w:val="auto"/>
              </w:rPr>
            </w:pPr>
          </w:p>
        </w:tc>
        <w:tc>
          <w:tcPr>
            <w:tcW w:w="8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assets at</w:t>
            </w:r>
          </w:p>
        </w:tc>
        <w:tc>
          <w:tcPr>
            <w:tcW w:w="10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comprehensive</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hedging</w:t>
            </w:r>
          </w:p>
        </w:tc>
        <w:tc>
          <w:tcPr>
            <w:tcW w:w="860" w:type="dxa"/>
            <w:vAlign w:val="bottom"/>
            <w:gridSpan w:val="2"/>
            <w:vMerge w:val="continue"/>
          </w:tcPr>
          <w:p>
            <w:pPr>
              <w:spacing w:after="0"/>
              <w:rPr>
                <w:sz w:val="10"/>
                <w:szCs w:val="10"/>
                <w:color w:val="auto"/>
              </w:rPr>
            </w:pPr>
          </w:p>
        </w:tc>
        <w:tc>
          <w:tcPr>
            <w:tcW w:w="8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assets at</w:t>
            </w:r>
          </w:p>
        </w:tc>
        <w:tc>
          <w:tcPr>
            <w:tcW w:w="10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comprehensive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and</w:t>
            </w:r>
          </w:p>
        </w:tc>
        <w:tc>
          <w:tcPr>
            <w:tcW w:w="8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at</w:t>
            </w:r>
          </w:p>
        </w:tc>
        <w:tc>
          <w:tcPr>
            <w:tcW w:w="8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amortized</w:t>
            </w:r>
          </w:p>
        </w:tc>
        <w:tc>
          <w:tcPr>
            <w:tcW w:w="10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income</w:t>
            </w: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Total</w:t>
            </w: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and</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at</w:t>
            </w:r>
          </w:p>
        </w:tc>
        <w:tc>
          <w:tcPr>
            <w:tcW w:w="8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amortized</w:t>
            </w:r>
          </w:p>
        </w:tc>
        <w:tc>
          <w:tcPr>
            <w:tcW w:w="10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income</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132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others (*)</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inception</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cost</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investments(**)</w:t>
            </w:r>
          </w:p>
        </w:tc>
        <w:tc>
          <w:tcPr>
            <w:tcW w:w="860" w:type="dxa"/>
            <w:vAlign w:val="bottom"/>
            <w:gridSpan w:val="2"/>
            <w:vMerge w:val="continue"/>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others (*)</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inception</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cost</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investments(**)</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94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2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4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120" w:type="dxa"/>
            <w:vAlign w:val="bottom"/>
          </w:tcPr>
          <w:p>
            <w:pPr>
              <w:spacing w:after="0"/>
              <w:rPr>
                <w:sz w:val="12"/>
                <w:szCs w:val="12"/>
                <w:color w:val="auto"/>
              </w:rPr>
            </w:pPr>
          </w:p>
        </w:tc>
        <w:tc>
          <w:tcPr>
            <w:tcW w:w="94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4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1"/>
                <w:szCs w:val="11"/>
                <w:b w:val="1"/>
                <w:bCs w:val="1"/>
                <w:color w:val="auto"/>
              </w:rPr>
              <w:t>America:</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Peru</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1,601,757</w:t>
            </w:r>
          </w:p>
        </w:tc>
        <w:tc>
          <w:tcPr>
            <w:tcW w:w="140" w:type="dxa"/>
            <w:vAlign w:val="bottom"/>
          </w:tcPr>
          <w:p>
            <w:pPr>
              <w:spacing w:after="0"/>
              <w:rPr>
                <w:sz w:val="10"/>
                <w:szCs w:val="10"/>
                <w:color w:val="auto"/>
              </w:rPr>
            </w:pPr>
          </w:p>
        </w:tc>
        <w:tc>
          <w:tcPr>
            <w:tcW w:w="720" w:type="dxa"/>
            <w:vAlign w:val="bottom"/>
          </w:tcPr>
          <w:p>
            <w:pPr>
              <w:jc w:val="right"/>
              <w:ind w:right="3"/>
              <w:spacing w:after="0" w:line="122" w:lineRule="exact"/>
              <w:rPr>
                <w:sz w:val="20"/>
                <w:szCs w:val="20"/>
                <w:color w:val="auto"/>
              </w:rPr>
            </w:pPr>
            <w:r>
              <w:rPr>
                <w:rFonts w:ascii="Arial" w:cs="Arial" w:eastAsia="Arial" w:hAnsi="Arial"/>
                <w:sz w:val="11"/>
                <w:szCs w:val="11"/>
                <w:color w:val="auto"/>
              </w:rPr>
              <w:t>1,333</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163,235,790</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25,099,606</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189,938,486</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1,257,305</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328</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167,378,965</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19,370,001</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188,006,599</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Bolivia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550,271</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11,609,164</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861,246</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13,020,681</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588,484</w:t>
            </w:r>
          </w:p>
        </w:tc>
        <w:tc>
          <w:tcPr>
            <w:tcW w:w="140" w:type="dxa"/>
            <w:vAlign w:val="bottom"/>
          </w:tcPr>
          <w:p>
            <w:pPr>
              <w:spacing w:after="0"/>
              <w:rPr>
                <w:sz w:val="10"/>
                <w:szCs w:val="10"/>
                <w:color w:val="auto"/>
              </w:rPr>
            </w:pP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10,808,527</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747,078</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12,144,089</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United States of</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736,813</w:t>
            </w:r>
          </w:p>
        </w:tc>
        <w:tc>
          <w:tcPr>
            <w:tcW w:w="140" w:type="dxa"/>
            <w:vAlign w:val="bottom"/>
          </w:tcPr>
          <w:p>
            <w:pPr>
              <w:spacing w:after="0"/>
              <w:rPr>
                <w:sz w:val="10"/>
                <w:szCs w:val="10"/>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258</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2,464,455</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7,260,134</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10,461,660</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839,762</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450,160</w:t>
            </w:r>
          </w:p>
        </w:tc>
        <w:tc>
          <w:tcPr>
            <w:tcW w:w="140" w:type="dxa"/>
            <w:vAlign w:val="bottom"/>
          </w:tcPr>
          <w:p>
            <w:pPr>
              <w:spacing w:after="0"/>
              <w:rPr>
                <w:sz w:val="10"/>
                <w:szCs w:val="10"/>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1,799,795</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7,332,491</w:t>
            </w:r>
          </w:p>
        </w:tc>
        <w:tc>
          <w:tcPr>
            <w:tcW w:w="140" w:type="dxa"/>
            <w:vAlign w:val="bottom"/>
          </w:tcPr>
          <w:p>
            <w:pPr>
              <w:spacing w:after="0"/>
              <w:rPr>
                <w:sz w:val="10"/>
                <w:szCs w:val="10"/>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10,422,208</w:t>
            </w:r>
          </w:p>
        </w:tc>
        <w:tc>
          <w:tcPr>
            <w:tcW w:w="0" w:type="dxa"/>
            <w:vAlign w:val="bottom"/>
          </w:tcPr>
          <w:p>
            <w:pPr>
              <w:spacing w:after="0"/>
              <w:rPr>
                <w:sz w:val="1"/>
                <w:szCs w:val="1"/>
                <w:color w:val="auto"/>
              </w:rPr>
            </w:pPr>
          </w:p>
        </w:tc>
      </w:tr>
      <w:tr>
        <w:trPr>
          <w:trHeight w:val="88"/>
        </w:trPr>
        <w:tc>
          <w:tcPr>
            <w:tcW w:w="1320" w:type="dxa"/>
            <w:vAlign w:val="bottom"/>
            <w:vMerge w:val="restart"/>
          </w:tcPr>
          <w:p>
            <w:pPr>
              <w:ind w:left="260"/>
              <w:spacing w:after="0" w:line="122" w:lineRule="exact"/>
              <w:rPr>
                <w:sz w:val="20"/>
                <w:szCs w:val="20"/>
                <w:color w:val="auto"/>
              </w:rPr>
            </w:pPr>
            <w:r>
              <w:rPr>
                <w:rFonts w:ascii="Arial" w:cs="Arial" w:eastAsia="Arial" w:hAnsi="Arial"/>
                <w:sz w:val="11"/>
                <w:szCs w:val="11"/>
                <w:color w:val="auto"/>
              </w:rPr>
              <w:t>America</w:t>
            </w: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3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Colombia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1,692,862</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3,939,155</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796,126</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6,428,143</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894,043</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6,359</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4,073,211</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688,313</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5,661,926</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Chile</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310,247</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1,629,984</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590,346</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2,530,577</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622,346</w:t>
            </w:r>
          </w:p>
        </w:tc>
        <w:tc>
          <w:tcPr>
            <w:tcW w:w="140" w:type="dxa"/>
            <w:vAlign w:val="bottom"/>
          </w:tcPr>
          <w:p>
            <w:pPr>
              <w:spacing w:after="0"/>
              <w:rPr>
                <w:sz w:val="10"/>
                <w:szCs w:val="10"/>
                <w:color w:val="auto"/>
              </w:rPr>
            </w:pP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2,287,020</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652,915</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3,562,281</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Brazil</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11,837</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121,301</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168,426</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301,564</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3,091</w:t>
            </w:r>
          </w:p>
        </w:tc>
        <w:tc>
          <w:tcPr>
            <w:tcW w:w="140" w:type="dxa"/>
            <w:vAlign w:val="bottom"/>
          </w:tcPr>
          <w:p>
            <w:pPr>
              <w:spacing w:after="0"/>
              <w:rPr>
                <w:sz w:val="10"/>
                <w:szCs w:val="10"/>
                <w:color w:val="auto"/>
              </w:rPr>
            </w:pP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1,123,155</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194,138</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1,320,384</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Mexico</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14,040</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195,420</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396,581</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606,041</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16,561</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40,811</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132,132</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385,631</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575,135</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Panama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4,166</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389,002</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68,364</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461,532</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383</w:t>
            </w:r>
          </w:p>
        </w:tc>
        <w:tc>
          <w:tcPr>
            <w:tcW w:w="140" w:type="dxa"/>
            <w:vAlign w:val="bottom"/>
          </w:tcPr>
          <w:p>
            <w:pPr>
              <w:spacing w:after="0"/>
              <w:rPr>
                <w:sz w:val="10"/>
                <w:szCs w:val="10"/>
                <w:color w:val="auto"/>
              </w:rPr>
            </w:pP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402,303</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47,551</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450,237</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Canada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31,772</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29,760</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92,571</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154,103</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38,413</w:t>
            </w:r>
          </w:p>
        </w:tc>
        <w:tc>
          <w:tcPr>
            <w:tcW w:w="140" w:type="dxa"/>
            <w:vAlign w:val="bottom"/>
          </w:tcPr>
          <w:p>
            <w:pPr>
              <w:spacing w:after="0"/>
              <w:rPr>
                <w:sz w:val="10"/>
                <w:szCs w:val="10"/>
                <w:color w:val="auto"/>
              </w:rPr>
            </w:pP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34,449</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103,661</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176,523</w:t>
            </w:r>
          </w:p>
        </w:tc>
        <w:tc>
          <w:tcPr>
            <w:tcW w:w="0" w:type="dxa"/>
            <w:vAlign w:val="bottom"/>
          </w:tcPr>
          <w:p>
            <w:pPr>
              <w:spacing w:after="0"/>
              <w:rPr>
                <w:sz w:val="1"/>
                <w:szCs w:val="1"/>
                <w:color w:val="auto"/>
              </w:rPr>
            </w:pPr>
          </w:p>
        </w:tc>
      </w:tr>
      <w:tr>
        <w:trPr>
          <w:trHeight w:val="122"/>
        </w:trPr>
        <w:tc>
          <w:tcPr>
            <w:tcW w:w="1320" w:type="dxa"/>
            <w:vAlign w:val="bottom"/>
          </w:tcPr>
          <w:p>
            <w:pPr>
              <w:spacing w:after="0" w:line="122" w:lineRule="exact"/>
              <w:rPr>
                <w:sz w:val="20"/>
                <w:szCs w:val="20"/>
                <w:color w:val="auto"/>
              </w:rPr>
            </w:pPr>
            <w:r>
              <w:rPr>
                <w:rFonts w:ascii="Arial" w:cs="Arial" w:eastAsia="Arial" w:hAnsi="Arial"/>
                <w:sz w:val="11"/>
                <w:szCs w:val="11"/>
                <w:b w:val="1"/>
                <w:bCs w:val="1"/>
                <w:color w:val="auto"/>
              </w:rPr>
              <w:t>Europe:</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France</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168,648</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9,569</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136,787</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315,004</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163,577</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7,584</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28,841</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152,041</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352,043</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Luxembourg</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617,676</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7,020</w:t>
            </w:r>
          </w:p>
        </w:tc>
        <w:tc>
          <w:tcPr>
            <w:tcW w:w="14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624,696</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1,038,393</w:t>
            </w:r>
          </w:p>
        </w:tc>
        <w:tc>
          <w:tcPr>
            <w:tcW w:w="140" w:type="dxa"/>
            <w:vAlign w:val="bottom"/>
          </w:tcPr>
          <w:p>
            <w:pPr>
              <w:spacing w:after="0"/>
              <w:rPr>
                <w:sz w:val="10"/>
                <w:szCs w:val="10"/>
                <w:color w:val="auto"/>
              </w:rPr>
            </w:pP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7,020</w:t>
            </w:r>
          </w:p>
        </w:tc>
        <w:tc>
          <w:tcPr>
            <w:tcW w:w="12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1,045,413</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United Kingdom</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64,738</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53,576</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266,628</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384,942</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93,717</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1,978</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16,017</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193,810</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305,522</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Spain</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23,356</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14,721</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198,504</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236,581</w:t>
            </w:r>
          </w:p>
        </w:tc>
        <w:tc>
          <w:tcPr>
            <w:tcW w:w="14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88,723</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28,840</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117,563</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Switzerland</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4,705</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166</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32,121</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36,992</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40" w:type="dxa"/>
            <w:vAlign w:val="bottom"/>
          </w:tcPr>
          <w:p>
            <w:pPr>
              <w:spacing w:after="0"/>
              <w:rPr>
                <w:sz w:val="10"/>
                <w:szCs w:val="10"/>
                <w:color w:val="auto"/>
              </w:rPr>
            </w:pP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175</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82,129</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82,308</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Netherlands</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2,247</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40,112</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42,359</w:t>
            </w:r>
          </w:p>
        </w:tc>
        <w:tc>
          <w:tcPr>
            <w:tcW w:w="14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31,483</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39,038</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70,521</w:t>
            </w:r>
          </w:p>
        </w:tc>
        <w:tc>
          <w:tcPr>
            <w:tcW w:w="0" w:type="dxa"/>
            <w:vAlign w:val="bottom"/>
          </w:tcPr>
          <w:p>
            <w:pPr>
              <w:spacing w:after="0"/>
              <w:rPr>
                <w:sz w:val="1"/>
                <w:szCs w:val="1"/>
                <w:color w:val="auto"/>
              </w:rPr>
            </w:pPr>
          </w:p>
        </w:tc>
      </w:tr>
      <w:tr>
        <w:trPr>
          <w:trHeight w:val="122"/>
        </w:trPr>
        <w:tc>
          <w:tcPr>
            <w:tcW w:w="1320" w:type="dxa"/>
            <w:vAlign w:val="bottom"/>
          </w:tcPr>
          <w:p>
            <w:pPr>
              <w:ind w:left="120"/>
              <w:spacing w:after="0" w:line="122" w:lineRule="exact"/>
              <w:rPr>
                <w:sz w:val="20"/>
                <w:szCs w:val="20"/>
                <w:color w:val="auto"/>
              </w:rPr>
            </w:pPr>
            <w:r>
              <w:rPr>
                <w:rFonts w:ascii="Arial" w:cs="Arial" w:eastAsia="Arial" w:hAnsi="Arial"/>
                <w:sz w:val="11"/>
                <w:szCs w:val="11"/>
                <w:color w:val="auto"/>
              </w:rPr>
              <w:t>Others in Europe</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74,709</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293,096</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92,726</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460,531</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80,611</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10,126</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51,758</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136,207</w:t>
            </w:r>
          </w:p>
        </w:tc>
        <w:tc>
          <w:tcPr>
            <w:tcW w:w="140" w:type="dxa"/>
            <w:vAlign w:val="bottom"/>
          </w:tcPr>
          <w:p>
            <w:pPr>
              <w:spacing w:after="0"/>
              <w:rPr>
                <w:sz w:val="10"/>
                <w:szCs w:val="10"/>
                <w:color w:val="auto"/>
              </w:rPr>
            </w:pP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278,702</w:t>
            </w:r>
          </w:p>
        </w:tc>
        <w:tc>
          <w:tcPr>
            <w:tcW w:w="0" w:type="dxa"/>
            <w:vAlign w:val="bottom"/>
          </w:tcPr>
          <w:p>
            <w:pPr>
              <w:spacing w:after="0"/>
              <w:rPr>
                <w:sz w:val="1"/>
                <w:szCs w:val="1"/>
                <w:color w:val="auto"/>
              </w:rPr>
            </w:pPr>
          </w:p>
        </w:tc>
      </w:tr>
      <w:tr>
        <w:trPr>
          <w:trHeight w:val="138"/>
        </w:trPr>
        <w:tc>
          <w:tcPr>
            <w:tcW w:w="1320" w:type="dxa"/>
            <w:vAlign w:val="bottom"/>
          </w:tcPr>
          <w:p>
            <w:pPr>
              <w:spacing w:after="0"/>
              <w:rPr>
                <w:sz w:val="20"/>
                <w:szCs w:val="20"/>
                <w:color w:val="auto"/>
              </w:rPr>
            </w:pPr>
            <w:r>
              <w:rPr>
                <w:rFonts w:ascii="Arial" w:cs="Arial" w:eastAsia="Arial" w:hAnsi="Arial"/>
                <w:sz w:val="11"/>
                <w:szCs w:val="11"/>
                <w:b w:val="1"/>
                <w:bCs w:val="1"/>
                <w:color w:val="auto"/>
              </w:rPr>
              <w:t>Others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62,727</w:t>
            </w:r>
          </w:p>
        </w:tc>
        <w:tc>
          <w:tcPr>
            <w:tcW w:w="140" w:type="dxa"/>
            <w:vAlign w:val="bottom"/>
          </w:tcPr>
          <w:p>
            <w:pPr>
              <w:spacing w:after="0"/>
              <w:rPr>
                <w:sz w:val="11"/>
                <w:szCs w:val="11"/>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809,341</w:t>
            </w:r>
          </w:p>
        </w:tc>
        <w:tc>
          <w:tcPr>
            <w:tcW w:w="14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719,235</w:t>
            </w:r>
          </w:p>
        </w:tc>
        <w:tc>
          <w:tcPr>
            <w:tcW w:w="14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943,662</w:t>
            </w:r>
          </w:p>
        </w:tc>
        <w:tc>
          <w:tcPr>
            <w:tcW w:w="14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2,534,965</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41,370</w:t>
            </w:r>
          </w:p>
        </w:tc>
        <w:tc>
          <w:tcPr>
            <w:tcW w:w="14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251,455</w:t>
            </w:r>
          </w:p>
        </w:tc>
        <w:tc>
          <w:tcPr>
            <w:tcW w:w="140" w:type="dxa"/>
            <w:vAlign w:val="bottom"/>
          </w:tcPr>
          <w:p>
            <w:pPr>
              <w:spacing w:after="0"/>
              <w:rPr>
                <w:sz w:val="11"/>
                <w:szCs w:val="11"/>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668,913</w:t>
            </w:r>
          </w:p>
        </w:tc>
        <w:tc>
          <w:tcPr>
            <w:tcW w:w="12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632,317</w:t>
            </w:r>
          </w:p>
        </w:tc>
        <w:tc>
          <w:tcPr>
            <w:tcW w:w="140" w:type="dxa"/>
            <w:vAlign w:val="bottom"/>
          </w:tcPr>
          <w:p>
            <w:pPr>
              <w:spacing w:after="0"/>
              <w:rPr>
                <w:sz w:val="11"/>
                <w:szCs w:val="11"/>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1,594,055</w:t>
            </w:r>
          </w:p>
        </w:tc>
        <w:tc>
          <w:tcPr>
            <w:tcW w:w="0" w:type="dxa"/>
            <w:vAlign w:val="bottom"/>
          </w:tcPr>
          <w:p>
            <w:pPr>
              <w:spacing w:after="0"/>
              <w:rPr>
                <w:sz w:val="1"/>
                <w:szCs w:val="1"/>
                <w:color w:val="auto"/>
              </w:rPr>
            </w:pPr>
          </w:p>
        </w:tc>
      </w:tr>
      <w:tr>
        <w:trPr>
          <w:trHeight w:val="119"/>
        </w:trPr>
        <w:tc>
          <w:tcPr>
            <w:tcW w:w="1320" w:type="dxa"/>
            <w:vAlign w:val="bottom"/>
          </w:tcPr>
          <w:p>
            <w:pPr>
              <w:spacing w:after="0" w:line="115" w:lineRule="exact"/>
              <w:rPr>
                <w:sz w:val="20"/>
                <w:szCs w:val="20"/>
                <w:color w:val="auto"/>
              </w:rPr>
            </w:pPr>
            <w:r>
              <w:rPr>
                <w:rFonts w:ascii="Arial" w:cs="Arial" w:eastAsia="Arial" w:hAnsi="Arial"/>
                <w:sz w:val="11"/>
                <w:szCs w:val="11"/>
                <w:b w:val="1"/>
                <w:bCs w:val="1"/>
                <w:color w:val="auto"/>
              </w:rPr>
              <w:t>Total</w:t>
            </w:r>
          </w:p>
        </w:tc>
        <w:tc>
          <w:tcPr>
            <w:tcW w:w="6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5,970,324</w:t>
            </w:r>
          </w:p>
        </w:tc>
        <w:tc>
          <w:tcPr>
            <w:tcW w:w="140" w:type="dxa"/>
            <w:vAlign w:val="bottom"/>
          </w:tcPr>
          <w:p>
            <w:pPr>
              <w:spacing w:after="0"/>
              <w:rPr>
                <w:sz w:val="10"/>
                <w:szCs w:val="10"/>
                <w:color w:val="auto"/>
              </w:rPr>
            </w:pPr>
          </w:p>
        </w:tc>
        <w:tc>
          <w:tcPr>
            <w:tcW w:w="720" w:type="dxa"/>
            <w:vAlign w:val="bottom"/>
            <w:tcBorders>
              <w:bottom w:val="single" w:sz="8" w:color="auto"/>
            </w:tcBorders>
          </w:tcPr>
          <w:p>
            <w:pPr>
              <w:jc w:val="right"/>
              <w:ind w:right="3"/>
              <w:spacing w:after="0" w:line="115" w:lineRule="exact"/>
              <w:rPr>
                <w:sz w:val="20"/>
                <w:szCs w:val="20"/>
                <w:color w:val="auto"/>
              </w:rPr>
            </w:pPr>
            <w:r>
              <w:rPr>
                <w:rFonts w:ascii="Arial" w:cs="Arial" w:eastAsia="Arial" w:hAnsi="Arial"/>
                <w:sz w:val="11"/>
                <w:szCs w:val="11"/>
                <w:color w:val="auto"/>
              </w:rPr>
              <w:t>810,932</w:t>
            </w:r>
          </w:p>
        </w:tc>
        <w:tc>
          <w:tcPr>
            <w:tcW w:w="140" w:type="dxa"/>
            <w:vAlign w:val="bottom"/>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184,713,661</w:t>
            </w:r>
          </w:p>
        </w:tc>
        <w:tc>
          <w:tcPr>
            <w:tcW w:w="140" w:type="dxa"/>
            <w:vAlign w:val="bottom"/>
          </w:tcPr>
          <w:p>
            <w:pPr>
              <w:spacing w:after="0"/>
              <w:rPr>
                <w:sz w:val="10"/>
                <w:szCs w:val="10"/>
                <w:color w:val="auto"/>
              </w:rPr>
            </w:pPr>
          </w:p>
        </w:tc>
        <w:tc>
          <w:tcPr>
            <w:tcW w:w="9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37,043,940</w:t>
            </w:r>
          </w:p>
        </w:tc>
        <w:tc>
          <w:tcPr>
            <w:tcW w:w="140" w:type="dxa"/>
            <w:vAlign w:val="bottom"/>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228,538,857</w:t>
            </w:r>
          </w:p>
        </w:tc>
        <w:tc>
          <w:tcPr>
            <w:tcW w:w="140" w:type="dxa"/>
            <w:vAlign w:val="bottom"/>
          </w:tcPr>
          <w:p>
            <w:pPr>
              <w:spacing w:after="0"/>
              <w:rPr>
                <w:sz w:val="10"/>
                <w:szCs w:val="10"/>
                <w:color w:val="auto"/>
              </w:rPr>
            </w:pPr>
          </w:p>
        </w:tc>
        <w:tc>
          <w:tcPr>
            <w:tcW w:w="6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5,678,060</w:t>
            </w:r>
          </w:p>
        </w:tc>
        <w:tc>
          <w:tcPr>
            <w:tcW w:w="140" w:type="dxa"/>
            <w:vAlign w:val="bottom"/>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768,801</w:t>
            </w:r>
          </w:p>
        </w:tc>
        <w:tc>
          <w:tcPr>
            <w:tcW w:w="140" w:type="dxa"/>
            <w:vAlign w:val="bottom"/>
          </w:tcPr>
          <w:p>
            <w:pPr>
              <w:spacing w:after="0"/>
              <w:rPr>
                <w:sz w:val="10"/>
                <w:szCs w:val="10"/>
                <w:color w:val="auto"/>
              </w:rPr>
            </w:pPr>
          </w:p>
        </w:tc>
        <w:tc>
          <w:tcPr>
            <w:tcW w:w="740" w:type="dxa"/>
            <w:vAlign w:val="bottom"/>
            <w:tcBorders>
              <w:bottom w:val="single" w:sz="8" w:color="auto"/>
            </w:tcBorders>
          </w:tcPr>
          <w:p>
            <w:pPr>
              <w:jc w:val="right"/>
              <w:ind w:right="3"/>
              <w:spacing w:after="0" w:line="115" w:lineRule="exact"/>
              <w:rPr>
                <w:sz w:val="20"/>
                <w:szCs w:val="20"/>
                <w:color w:val="auto"/>
              </w:rPr>
            </w:pPr>
            <w:r>
              <w:rPr>
                <w:rFonts w:ascii="Arial" w:cs="Arial" w:eastAsia="Arial" w:hAnsi="Arial"/>
                <w:sz w:val="11"/>
                <w:szCs w:val="11"/>
                <w:color w:val="auto"/>
              </w:rPr>
              <w:t>188,932,487</w:t>
            </w:r>
          </w:p>
        </w:tc>
        <w:tc>
          <w:tcPr>
            <w:tcW w:w="120" w:type="dxa"/>
            <w:vAlign w:val="bottom"/>
          </w:tcPr>
          <w:p>
            <w:pPr>
              <w:spacing w:after="0"/>
              <w:rPr>
                <w:sz w:val="10"/>
                <w:szCs w:val="10"/>
                <w:color w:val="auto"/>
              </w:rPr>
            </w:pPr>
          </w:p>
        </w:tc>
        <w:tc>
          <w:tcPr>
            <w:tcW w:w="9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30,786,161</w:t>
            </w:r>
          </w:p>
        </w:tc>
        <w:tc>
          <w:tcPr>
            <w:tcW w:w="140" w:type="dxa"/>
            <w:vAlign w:val="bottom"/>
          </w:tcPr>
          <w:p>
            <w:pPr>
              <w:spacing w:after="0"/>
              <w:rPr>
                <w:sz w:val="10"/>
                <w:szCs w:val="10"/>
                <w:color w:val="auto"/>
              </w:rPr>
            </w:pPr>
          </w:p>
        </w:tc>
        <w:tc>
          <w:tcPr>
            <w:tcW w:w="740" w:type="dxa"/>
            <w:vAlign w:val="bottom"/>
            <w:tcBorders>
              <w:bottom w:val="single" w:sz="8" w:color="auto"/>
            </w:tcBorders>
          </w:tcPr>
          <w:p>
            <w:pPr>
              <w:jc w:val="right"/>
              <w:ind w:right="3"/>
              <w:spacing w:after="0" w:line="115" w:lineRule="exact"/>
              <w:rPr>
                <w:sz w:val="20"/>
                <w:szCs w:val="20"/>
                <w:color w:val="auto"/>
              </w:rPr>
            </w:pPr>
            <w:r>
              <w:rPr>
                <w:rFonts w:ascii="Arial" w:cs="Arial" w:eastAsia="Arial" w:hAnsi="Arial"/>
                <w:sz w:val="11"/>
                <w:szCs w:val="11"/>
                <w:color w:val="auto"/>
              </w:rPr>
              <w:t>226,165,509</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 w:right="5300" w:hanging="3"/>
        <w:spacing w:after="0" w:line="462" w:lineRule="auto"/>
        <w:tabs>
          <w:tab w:leader="none" w:pos="296"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It includes non-trading investments that did not pass SPPI test. (**) OCI: Other comprehensive income.</w:t>
      </w:r>
    </w:p>
    <w:p>
      <w:pPr>
        <w:ind w:left="4603"/>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23"/>
          </w:cols>
          <w:pgMar w:left="1197" w:top="306" w:right="579" w:bottom="1440" w:gutter="0" w:footer="0" w:header="0"/>
          <w:type w:val="continuous"/>
        </w:sectPr>
      </w:pPr>
    </w:p>
    <w:bookmarkStart w:id="159" w:name="page160"/>
    <w:bookmarkEnd w:id="159"/>
    <w:p>
      <w:pPr>
        <w:ind w:left="296" w:hanging="296"/>
        <w:spacing w:after="0"/>
        <w:tabs>
          <w:tab w:leader="none" w:pos="29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Offsetting financial assets and liabilities -</w:t>
      </w:r>
    </w:p>
    <w:p>
      <w:pPr>
        <w:spacing w:after="0" w:line="181" w:lineRule="exact"/>
        <w:rPr>
          <w:rFonts w:ascii="Arial" w:cs="Arial" w:eastAsia="Arial" w:hAnsi="Arial"/>
          <w:sz w:val="16"/>
          <w:szCs w:val="16"/>
          <w:color w:val="auto"/>
        </w:rPr>
      </w:pPr>
    </w:p>
    <w:p>
      <w:pPr>
        <w:ind w:left="296"/>
        <w:spacing w:after="0"/>
        <w:rPr>
          <w:rFonts w:ascii="Arial" w:cs="Arial" w:eastAsia="Arial" w:hAnsi="Arial"/>
          <w:sz w:val="16"/>
          <w:szCs w:val="16"/>
          <w:color w:val="auto"/>
        </w:rPr>
      </w:pPr>
      <w:r>
        <w:rPr>
          <w:rFonts w:ascii="Arial" w:cs="Arial" w:eastAsia="Arial" w:hAnsi="Arial"/>
          <w:sz w:val="16"/>
          <w:szCs w:val="16"/>
          <w:color w:val="auto"/>
        </w:rPr>
        <w:t>The disclosures set out in the tables below include financial assets and liabilities that:</w:t>
      </w:r>
    </w:p>
    <w:p>
      <w:pPr>
        <w:spacing w:after="0" w:line="182" w:lineRule="exact"/>
        <w:rPr>
          <w:rFonts w:ascii="Arial" w:cs="Arial" w:eastAsia="Arial" w:hAnsi="Arial"/>
          <w:sz w:val="16"/>
          <w:szCs w:val="16"/>
          <w:color w:val="auto"/>
        </w:rPr>
      </w:pPr>
    </w:p>
    <w:p>
      <w:pPr>
        <w:ind w:left="596" w:hanging="303"/>
        <w:spacing w:after="0"/>
        <w:tabs>
          <w:tab w:leader="none" w:pos="596"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Are offset in the Group’s consolidated statement of financial position; or</w:t>
      </w:r>
    </w:p>
    <w:p>
      <w:pPr>
        <w:spacing w:after="0" w:line="15" w:lineRule="exact"/>
        <w:rPr>
          <w:rFonts w:ascii="Arial" w:cs="Arial" w:eastAsia="Arial" w:hAnsi="Arial"/>
          <w:sz w:val="16"/>
          <w:szCs w:val="16"/>
          <w:color w:val="auto"/>
        </w:rPr>
      </w:pPr>
    </w:p>
    <w:p>
      <w:pPr>
        <w:ind w:left="596" w:right="360" w:hanging="303"/>
        <w:spacing w:after="0" w:line="259" w:lineRule="auto"/>
        <w:tabs>
          <w:tab w:leader="none" w:pos="596"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Are subject to an enforceable master netting arrangement or similar agreement that covers similar financial instruments, irrespective of whether they are offset in the consolidated statement of financial position.</w:t>
      </w:r>
    </w:p>
    <w:p>
      <w:pPr>
        <w:spacing w:after="0" w:line="137" w:lineRule="exact"/>
        <w:rPr>
          <w:sz w:val="20"/>
          <w:szCs w:val="20"/>
          <w:color w:val="auto"/>
        </w:rPr>
      </w:pPr>
    </w:p>
    <w:p>
      <w:pPr>
        <w:ind w:left="296" w:right="60"/>
        <w:spacing w:after="0" w:line="252" w:lineRule="auto"/>
        <w:rPr>
          <w:sz w:val="20"/>
          <w:szCs w:val="20"/>
          <w:color w:val="auto"/>
        </w:rPr>
      </w:pPr>
      <w:r>
        <w:rPr>
          <w:rFonts w:ascii="Arial" w:cs="Arial" w:eastAsia="Arial" w:hAnsi="Arial"/>
          <w:sz w:val="16"/>
          <w:szCs w:val="16"/>
          <w:color w:val="auto"/>
        </w:rPr>
        <w:t>Similar agreements include derivative clearing agreements, master repurchase agreements, and master securities lending agreements. Similar financial instruments include derivatives, accounts receivable from reverse repurchase agreements and securities borrowing, payables from repurchase agreements and securities lending and other financial assets and liabilities. Financial instruments such as loans and deposits are not disclosed in the tables below because they are not offset in the statement of financial position.</w:t>
      </w:r>
    </w:p>
    <w:p>
      <w:pPr>
        <w:spacing w:after="0" w:line="144" w:lineRule="exact"/>
        <w:rPr>
          <w:sz w:val="20"/>
          <w:szCs w:val="20"/>
          <w:color w:val="auto"/>
        </w:rPr>
      </w:pPr>
    </w:p>
    <w:p>
      <w:pPr>
        <w:ind w:left="296" w:right="40"/>
        <w:spacing w:after="0" w:line="249" w:lineRule="auto"/>
        <w:rPr>
          <w:sz w:val="20"/>
          <w:szCs w:val="20"/>
          <w:color w:val="auto"/>
        </w:rPr>
      </w:pPr>
      <w:r>
        <w:rPr>
          <w:rFonts w:ascii="Arial" w:cs="Arial" w:eastAsia="Arial" w:hAnsi="Arial"/>
          <w:sz w:val="16"/>
          <w:szCs w:val="16"/>
          <w:color w:val="auto"/>
        </w:rPr>
        <w:t>The offsetting framework contract issued by the International Swaps and Derivatives Association Inc. (“ISDA”) and similar master offsetting arrangements do not meet the criteria for offsetting in the statement of financial position, because said agreements were created in order for both parties to have an enforceable offsetting right in cases of default, insolvency or bankruptcy of the Group or the counterparties or following other predetermined events. In addition, the Group and its counterparties do not intend to settle said instruments on a net basis or to realize the assets and settle the liabilities simultaneously.</w:t>
      </w:r>
    </w:p>
    <w:p>
      <w:pPr>
        <w:spacing w:after="0" w:line="145" w:lineRule="exact"/>
        <w:rPr>
          <w:sz w:val="20"/>
          <w:szCs w:val="20"/>
          <w:color w:val="auto"/>
        </w:rPr>
      </w:pPr>
    </w:p>
    <w:p>
      <w:pPr>
        <w:ind w:left="296"/>
        <w:spacing w:after="0"/>
        <w:rPr>
          <w:sz w:val="20"/>
          <w:szCs w:val="20"/>
          <w:color w:val="auto"/>
        </w:rPr>
      </w:pPr>
      <w:r>
        <w:rPr>
          <w:rFonts w:ascii="Arial" w:cs="Arial" w:eastAsia="Arial" w:hAnsi="Arial"/>
          <w:sz w:val="16"/>
          <w:szCs w:val="16"/>
          <w:color w:val="auto"/>
        </w:rPr>
        <w:t>The Group receives and gives collateral in the form of cash and trading securities in respect of the following transactions:</w:t>
      </w:r>
    </w:p>
    <w:p>
      <w:pPr>
        <w:spacing w:after="0" w:line="183" w:lineRule="exact"/>
        <w:rPr>
          <w:sz w:val="20"/>
          <w:szCs w:val="20"/>
          <w:color w:val="auto"/>
        </w:rPr>
      </w:pPr>
    </w:p>
    <w:p>
      <w:pPr>
        <w:ind w:left="596" w:hanging="303"/>
        <w:spacing w:after="0"/>
        <w:tabs>
          <w:tab w:leader="none" w:pos="59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Derivatives;</w:t>
      </w:r>
    </w:p>
    <w:p>
      <w:pPr>
        <w:spacing w:after="0" w:line="15" w:lineRule="exact"/>
        <w:rPr>
          <w:rFonts w:ascii="Arial" w:cs="Arial" w:eastAsia="Arial" w:hAnsi="Arial"/>
          <w:sz w:val="16"/>
          <w:szCs w:val="16"/>
          <w:color w:val="auto"/>
        </w:rPr>
      </w:pPr>
    </w:p>
    <w:p>
      <w:pPr>
        <w:ind w:left="596" w:hanging="303"/>
        <w:spacing w:after="0"/>
        <w:tabs>
          <w:tab w:leader="none" w:pos="59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Accounts receivable from reverse repurchase agreements and securities borrowing;</w:t>
      </w:r>
    </w:p>
    <w:p>
      <w:pPr>
        <w:ind w:left="596" w:hanging="303"/>
        <w:spacing w:after="0"/>
        <w:tabs>
          <w:tab w:leader="none" w:pos="59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Payables from repurchase agreements and securities lending; and</w:t>
      </w:r>
    </w:p>
    <w:p>
      <w:pPr>
        <w:ind w:left="596" w:hanging="303"/>
        <w:spacing w:after="0"/>
        <w:tabs>
          <w:tab w:leader="none" w:pos="59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Other financial assets and liabilities</w:t>
      </w:r>
    </w:p>
    <w:p>
      <w:pPr>
        <w:spacing w:after="0" w:line="167" w:lineRule="exact"/>
        <w:rPr>
          <w:sz w:val="20"/>
          <w:szCs w:val="20"/>
          <w:color w:val="auto"/>
        </w:rPr>
      </w:pPr>
    </w:p>
    <w:p>
      <w:pPr>
        <w:ind w:left="296"/>
        <w:spacing w:after="0" w:line="259" w:lineRule="auto"/>
        <w:rPr>
          <w:sz w:val="20"/>
          <w:szCs w:val="20"/>
          <w:color w:val="auto"/>
        </w:rPr>
      </w:pPr>
      <w:r>
        <w:rPr>
          <w:rFonts w:ascii="Arial" w:cs="Arial" w:eastAsia="Arial" w:hAnsi="Arial"/>
          <w:sz w:val="16"/>
          <w:szCs w:val="16"/>
          <w:color w:val="auto"/>
        </w:rPr>
        <w:t>Such collateral adheres to standard industry terms including, when appropriate, an ISDA Credit Support Annex. This means that securities received/given as collateral can be pledged or sold during the term of the transaction but have to be returned on maturity of the transaction. The terms also give each party the right to terminate the related transactions upon the counterparty’s failure to return the respective collateral.</w:t>
      </w:r>
    </w:p>
    <w:p>
      <w:pPr>
        <w:spacing w:after="0" w:line="296" w:lineRule="exact"/>
        <w:rPr>
          <w:sz w:val="20"/>
          <w:szCs w:val="20"/>
          <w:color w:val="auto"/>
        </w:rPr>
      </w:pPr>
    </w:p>
    <w:p>
      <w:pPr>
        <w:ind w:left="4876"/>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36"/>
          </w:cols>
          <w:pgMar w:left="904" w:top="124" w:right="35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color w:val="auto"/>
        </w:rPr>
        <w:t>Financial assets subject to offsetting, enforceable master offsetting agreements and similar agreements: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340" w:type="dxa"/>
            <w:vAlign w:val="bottom"/>
          </w:tcPr>
          <w:p>
            <w:pPr>
              <w:spacing w:after="0"/>
              <w:rPr>
                <w:sz w:val="13"/>
                <w:szCs w:val="13"/>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278"/>
        </w:trPr>
        <w:tc>
          <w:tcPr>
            <w:tcW w:w="3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Related amounts not offset in the</w:t>
            </w:r>
          </w:p>
        </w:tc>
        <w:tc>
          <w:tcPr>
            <w:tcW w:w="1200" w:type="dxa"/>
            <w:vAlign w:val="bottom"/>
          </w:tcPr>
          <w:p>
            <w:pPr>
              <w:spacing w:after="0"/>
              <w:rPr>
                <w:sz w:val="24"/>
                <w:szCs w:val="24"/>
                <w:color w:val="auto"/>
              </w:rPr>
            </w:pPr>
          </w:p>
        </w:tc>
      </w:tr>
      <w:tr>
        <w:trPr>
          <w:trHeight w:val="147"/>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Net of financial</w:t>
            </w:r>
          </w:p>
        </w:tc>
        <w:tc>
          <w:tcPr>
            <w:tcW w:w="2600" w:type="dxa"/>
            <w:vAlign w:val="bottom"/>
            <w:gridSpan w:val="4"/>
          </w:tcPr>
          <w:p>
            <w:pPr>
              <w:ind w:left="60"/>
              <w:spacing w:after="0" w:line="147" w:lineRule="exact"/>
              <w:rPr>
                <w:sz w:val="20"/>
                <w:szCs w:val="20"/>
                <w:color w:val="auto"/>
              </w:rPr>
            </w:pPr>
            <w:r>
              <w:rPr>
                <w:rFonts w:ascii="Arial" w:cs="Arial" w:eastAsia="Arial" w:hAnsi="Arial"/>
                <w:sz w:val="13"/>
                <w:szCs w:val="13"/>
                <w:b w:val="1"/>
                <w:bCs w:val="1"/>
                <w:color w:val="auto"/>
              </w:rPr>
              <w:t>consolidated statement of</w:t>
            </w:r>
          </w:p>
        </w:tc>
        <w:tc>
          <w:tcPr>
            <w:tcW w:w="1200" w:type="dxa"/>
            <w:vAlign w:val="bottom"/>
          </w:tcPr>
          <w:p>
            <w:pPr>
              <w:spacing w:after="0"/>
              <w:rPr>
                <w:sz w:val="12"/>
                <w:szCs w:val="12"/>
                <w:color w:val="auto"/>
              </w:rPr>
            </w:pPr>
          </w:p>
        </w:tc>
      </w:tr>
      <w:tr>
        <w:trPr>
          <w:trHeight w:val="154"/>
        </w:trPr>
        <w:tc>
          <w:tcPr>
            <w:tcW w:w="3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ind w:left="60"/>
              <w:spacing w:after="0"/>
              <w:rPr>
                <w:sz w:val="20"/>
                <w:szCs w:val="20"/>
                <w:color w:val="auto"/>
              </w:rPr>
            </w:pPr>
            <w:r>
              <w:rPr>
                <w:rFonts w:ascii="Arial" w:cs="Arial" w:eastAsia="Arial" w:hAnsi="Arial"/>
                <w:sz w:val="13"/>
                <w:szCs w:val="13"/>
                <w:b w:val="1"/>
                <w:bCs w:val="1"/>
                <w:color w:val="auto"/>
              </w:rPr>
              <w:t>assets presented</w:t>
            </w: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financial position</w:t>
            </w: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31"/>
        </w:trPr>
        <w:tc>
          <w:tcPr>
            <w:tcW w:w="3340" w:type="dxa"/>
            <w:vAlign w:val="bottom"/>
          </w:tcPr>
          <w:p>
            <w:pPr>
              <w:spacing w:after="0"/>
              <w:rPr>
                <w:sz w:val="11"/>
                <w:szCs w:val="11"/>
                <w:color w:val="auto"/>
              </w:rPr>
            </w:pPr>
          </w:p>
        </w:tc>
        <w:tc>
          <w:tcPr>
            <w:tcW w:w="1340" w:type="dxa"/>
            <w:vAlign w:val="bottom"/>
            <w:gridSpan w:val="2"/>
          </w:tcPr>
          <w:p>
            <w:pPr>
              <w:ind w:left="60"/>
              <w:spacing w:after="0" w:line="131" w:lineRule="exact"/>
              <w:rPr>
                <w:sz w:val="20"/>
                <w:szCs w:val="20"/>
                <w:color w:val="auto"/>
              </w:rPr>
            </w:pPr>
            <w:r>
              <w:rPr>
                <w:rFonts w:ascii="Arial" w:cs="Arial" w:eastAsia="Arial" w:hAnsi="Arial"/>
                <w:sz w:val="13"/>
                <w:szCs w:val="13"/>
                <w:b w:val="1"/>
                <w:bCs w:val="1"/>
                <w:color w:val="auto"/>
              </w:rPr>
              <w:t>Gross amounts</w:t>
            </w:r>
          </w:p>
        </w:tc>
        <w:tc>
          <w:tcPr>
            <w:tcW w:w="1640" w:type="dxa"/>
            <w:vAlign w:val="bottom"/>
            <w:gridSpan w:val="2"/>
          </w:tcPr>
          <w:p>
            <w:pPr>
              <w:ind w:left="60"/>
              <w:spacing w:after="0" w:line="131" w:lineRule="exact"/>
              <w:rPr>
                <w:sz w:val="20"/>
                <w:szCs w:val="20"/>
                <w:color w:val="auto"/>
              </w:rPr>
            </w:pPr>
            <w:r>
              <w:rPr>
                <w:rFonts w:ascii="Arial" w:cs="Arial" w:eastAsia="Arial" w:hAnsi="Arial"/>
                <w:sz w:val="13"/>
                <w:szCs w:val="13"/>
                <w:b w:val="1"/>
                <w:bCs w:val="1"/>
                <w:color w:val="auto"/>
              </w:rPr>
              <w:t>in the consolidated</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60"/>
              <w:spacing w:after="0" w:line="131" w:lineRule="exact"/>
              <w:rPr>
                <w:sz w:val="20"/>
                <w:szCs w:val="20"/>
                <w:color w:val="auto"/>
              </w:rPr>
            </w:pPr>
            <w:r>
              <w:rPr>
                <w:rFonts w:ascii="Arial" w:cs="Arial" w:eastAsia="Arial" w:hAnsi="Arial"/>
                <w:sz w:val="13"/>
                <w:szCs w:val="13"/>
                <w:b w:val="1"/>
                <w:bCs w:val="1"/>
                <w:color w:val="auto"/>
              </w:rPr>
              <w:t>Cash</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47"/>
        </w:trPr>
        <w:tc>
          <w:tcPr>
            <w:tcW w:w="3340" w:type="dxa"/>
            <w:vAlign w:val="bottom"/>
          </w:tcPr>
          <w:p>
            <w:pPr>
              <w:spacing w:after="0"/>
              <w:rPr>
                <w:sz w:val="12"/>
                <w:szCs w:val="12"/>
                <w:color w:val="auto"/>
              </w:rPr>
            </w:pPr>
          </w:p>
        </w:tc>
        <w:tc>
          <w:tcPr>
            <w:tcW w:w="13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recognized</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statements of</w:t>
            </w:r>
          </w:p>
        </w:tc>
        <w:tc>
          <w:tcPr>
            <w:tcW w:w="13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Financial</w:t>
            </w:r>
          </w:p>
        </w:tc>
        <w:tc>
          <w:tcPr>
            <w:tcW w:w="13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collateral</w:t>
            </w:r>
          </w:p>
        </w:tc>
        <w:tc>
          <w:tcPr>
            <w:tcW w:w="1200" w:type="dxa"/>
            <w:vAlign w:val="bottom"/>
          </w:tcPr>
          <w:p>
            <w:pPr>
              <w:spacing w:after="0"/>
              <w:rPr>
                <w:sz w:val="12"/>
                <w:szCs w:val="12"/>
                <w:color w:val="auto"/>
              </w:rPr>
            </w:pPr>
          </w:p>
        </w:tc>
      </w:tr>
      <w:tr>
        <w:trPr>
          <w:trHeight w:val="154"/>
        </w:trPr>
        <w:tc>
          <w:tcPr>
            <w:tcW w:w="3340" w:type="dxa"/>
            <w:vAlign w:val="bottom"/>
          </w:tcPr>
          <w:p>
            <w:pPr>
              <w:spacing w:after="0"/>
              <w:rPr>
                <w:sz w:val="20"/>
                <w:szCs w:val="20"/>
                <w:color w:val="auto"/>
              </w:rPr>
            </w:pPr>
            <w:r>
              <w:rPr>
                <w:rFonts w:ascii="Arial" w:cs="Arial" w:eastAsia="Arial" w:hAnsi="Arial"/>
                <w:sz w:val="13"/>
                <w:szCs w:val="13"/>
                <w:b w:val="1"/>
                <w:bCs w:val="1"/>
                <w:color w:val="auto"/>
              </w:rPr>
              <w:t>Details</w:t>
            </w:r>
          </w:p>
        </w:tc>
        <w:tc>
          <w:tcPr>
            <w:tcW w:w="1340" w:type="dxa"/>
            <w:vAlign w:val="bottom"/>
            <w:gridSpan w:val="2"/>
          </w:tcPr>
          <w:p>
            <w:pPr>
              <w:ind w:left="60"/>
              <w:spacing w:after="0"/>
              <w:rPr>
                <w:sz w:val="20"/>
                <w:szCs w:val="20"/>
                <w:color w:val="auto"/>
              </w:rPr>
            </w:pPr>
            <w:r>
              <w:rPr>
                <w:rFonts w:ascii="Arial" w:cs="Arial" w:eastAsia="Arial" w:hAnsi="Arial"/>
                <w:sz w:val="13"/>
                <w:szCs w:val="13"/>
                <w:b w:val="1"/>
                <w:bCs w:val="1"/>
                <w:color w:val="auto"/>
              </w:rPr>
              <w:t>financial assets</w:t>
            </w:r>
          </w:p>
        </w:tc>
        <w:tc>
          <w:tcPr>
            <w:tcW w:w="1640" w:type="dxa"/>
            <w:vAlign w:val="bottom"/>
            <w:gridSpan w:val="2"/>
          </w:tcPr>
          <w:p>
            <w:pPr>
              <w:ind w:left="60"/>
              <w:spacing w:after="0"/>
              <w:rPr>
                <w:sz w:val="20"/>
                <w:szCs w:val="20"/>
                <w:color w:val="auto"/>
              </w:rPr>
            </w:pPr>
            <w:r>
              <w:rPr>
                <w:rFonts w:ascii="Arial" w:cs="Arial" w:eastAsia="Arial" w:hAnsi="Arial"/>
                <w:sz w:val="13"/>
                <w:szCs w:val="13"/>
                <w:b w:val="1"/>
                <w:bCs w:val="1"/>
                <w:color w:val="auto"/>
              </w:rPr>
              <w:t>financial position</w:t>
            </w:r>
          </w:p>
        </w:tc>
        <w:tc>
          <w:tcPr>
            <w:tcW w:w="1300" w:type="dxa"/>
            <w:vAlign w:val="bottom"/>
            <w:gridSpan w:val="2"/>
          </w:tcPr>
          <w:p>
            <w:pPr>
              <w:ind w:left="60"/>
              <w:spacing w:after="0"/>
              <w:rPr>
                <w:sz w:val="20"/>
                <w:szCs w:val="20"/>
                <w:color w:val="auto"/>
              </w:rPr>
            </w:pPr>
            <w:r>
              <w:rPr>
                <w:rFonts w:ascii="Arial" w:cs="Arial" w:eastAsia="Arial" w:hAnsi="Arial"/>
                <w:sz w:val="13"/>
                <w:szCs w:val="13"/>
                <w:b w:val="1"/>
                <w:bCs w:val="1"/>
                <w:color w:val="auto"/>
              </w:rPr>
              <w:t>instruments</w:t>
            </w:r>
          </w:p>
        </w:tc>
        <w:tc>
          <w:tcPr>
            <w:tcW w:w="1300" w:type="dxa"/>
            <w:vAlign w:val="bottom"/>
            <w:gridSpan w:val="2"/>
          </w:tcPr>
          <w:p>
            <w:pPr>
              <w:ind w:left="60"/>
              <w:spacing w:after="0"/>
              <w:rPr>
                <w:sz w:val="20"/>
                <w:szCs w:val="20"/>
                <w:color w:val="auto"/>
              </w:rPr>
            </w:pPr>
            <w:r>
              <w:rPr>
                <w:rFonts w:ascii="Arial" w:cs="Arial" w:eastAsia="Arial" w:hAnsi="Arial"/>
                <w:sz w:val="13"/>
                <w:szCs w:val="13"/>
                <w:b w:val="1"/>
                <w:bCs w:val="1"/>
                <w:color w:val="auto"/>
              </w:rPr>
              <w:t>received</w:t>
            </w:r>
          </w:p>
        </w:tc>
        <w:tc>
          <w:tcPr>
            <w:tcW w:w="1200" w:type="dxa"/>
            <w:vAlign w:val="bottom"/>
          </w:tcPr>
          <w:p>
            <w:pPr>
              <w:ind w:left="40"/>
              <w:spacing w:after="0"/>
              <w:rPr>
                <w:sz w:val="20"/>
                <w:szCs w:val="20"/>
                <w:color w:val="auto"/>
              </w:rPr>
            </w:pPr>
            <w:r>
              <w:rPr>
                <w:rFonts w:ascii="Arial" w:cs="Arial" w:eastAsia="Arial" w:hAnsi="Arial"/>
                <w:sz w:val="13"/>
                <w:szCs w:val="13"/>
                <w:b w:val="1"/>
                <w:bCs w:val="1"/>
                <w:color w:val="auto"/>
              </w:rPr>
              <w:t>Net amount</w:t>
            </w:r>
          </w:p>
        </w:tc>
      </w:tr>
      <w:tr>
        <w:trPr>
          <w:trHeight w:val="131"/>
        </w:trPr>
        <w:tc>
          <w:tcPr>
            <w:tcW w:w="3340" w:type="dxa"/>
            <w:vAlign w:val="bottom"/>
          </w:tcPr>
          <w:p>
            <w:pPr>
              <w:spacing w:after="0"/>
              <w:rPr>
                <w:sz w:val="11"/>
                <w:szCs w:val="11"/>
                <w:color w:val="auto"/>
              </w:rPr>
            </w:pPr>
          </w:p>
        </w:tc>
        <w:tc>
          <w:tcPr>
            <w:tcW w:w="12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5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2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2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20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r>
      <w:tr>
        <w:trPr>
          <w:trHeight w:val="147"/>
        </w:trPr>
        <w:tc>
          <w:tcPr>
            <w:tcW w:w="3340" w:type="dxa"/>
            <w:vAlign w:val="bottom"/>
          </w:tcPr>
          <w:p>
            <w:pPr>
              <w:spacing w:after="0" w:line="147" w:lineRule="exact"/>
              <w:rPr>
                <w:sz w:val="20"/>
                <w:szCs w:val="20"/>
                <w:color w:val="auto"/>
              </w:rPr>
            </w:pPr>
            <w:r>
              <w:rPr>
                <w:rFonts w:ascii="Arial" w:cs="Arial" w:eastAsia="Arial" w:hAnsi="Arial"/>
                <w:sz w:val="13"/>
                <w:szCs w:val="13"/>
                <w:color w:val="auto"/>
              </w:rPr>
              <w:t>Receivables from derivatives</w:t>
            </w:r>
          </w:p>
        </w:tc>
        <w:tc>
          <w:tcPr>
            <w:tcW w:w="12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987,663</w:t>
            </w:r>
          </w:p>
        </w:tc>
        <w:tc>
          <w:tcPr>
            <w:tcW w:w="100" w:type="dxa"/>
            <w:vAlign w:val="bottom"/>
          </w:tcPr>
          <w:p>
            <w:pPr>
              <w:spacing w:after="0"/>
              <w:rPr>
                <w:sz w:val="12"/>
                <w:szCs w:val="12"/>
                <w:color w:val="auto"/>
              </w:rPr>
            </w:pPr>
          </w:p>
        </w:tc>
        <w:tc>
          <w:tcPr>
            <w:tcW w:w="1540" w:type="dxa"/>
            <w:vAlign w:val="bottom"/>
          </w:tcPr>
          <w:p>
            <w:pPr>
              <w:jc w:val="right"/>
              <w:ind w:right="35"/>
              <w:spacing w:after="0" w:line="147" w:lineRule="exact"/>
              <w:rPr>
                <w:sz w:val="20"/>
                <w:szCs w:val="20"/>
                <w:color w:val="auto"/>
              </w:rPr>
            </w:pPr>
            <w:r>
              <w:rPr>
                <w:rFonts w:ascii="Arial" w:cs="Arial" w:eastAsia="Arial" w:hAnsi="Arial"/>
                <w:sz w:val="13"/>
                <w:szCs w:val="13"/>
                <w:color w:val="auto"/>
              </w:rPr>
              <w:t>987,663</w:t>
            </w:r>
          </w:p>
        </w:tc>
        <w:tc>
          <w:tcPr>
            <w:tcW w:w="100" w:type="dxa"/>
            <w:vAlign w:val="bottom"/>
          </w:tcPr>
          <w:p>
            <w:pPr>
              <w:spacing w:after="0"/>
              <w:rPr>
                <w:sz w:val="12"/>
                <w:szCs w:val="12"/>
                <w:color w:val="auto"/>
              </w:rPr>
            </w:pPr>
          </w:p>
        </w:tc>
        <w:tc>
          <w:tcPr>
            <w:tcW w:w="1200" w:type="dxa"/>
            <w:vAlign w:val="bottom"/>
          </w:tcPr>
          <w:p>
            <w:pPr>
              <w:jc w:val="right"/>
              <w:spacing w:after="0" w:line="147" w:lineRule="exact"/>
              <w:rPr>
                <w:sz w:val="20"/>
                <w:szCs w:val="20"/>
                <w:color w:val="auto"/>
              </w:rPr>
            </w:pPr>
            <w:r>
              <w:rPr>
                <w:rFonts w:ascii="Arial" w:cs="Arial" w:eastAsia="Arial" w:hAnsi="Arial"/>
                <w:sz w:val="13"/>
                <w:szCs w:val="13"/>
                <w:color w:val="auto"/>
              </w:rPr>
              <w:t>(234,550)</w:t>
            </w:r>
          </w:p>
        </w:tc>
        <w:tc>
          <w:tcPr>
            <w:tcW w:w="100" w:type="dxa"/>
            <w:vAlign w:val="bottom"/>
          </w:tcPr>
          <w:p>
            <w:pPr>
              <w:spacing w:after="0"/>
              <w:rPr>
                <w:sz w:val="12"/>
                <w:szCs w:val="12"/>
                <w:color w:val="auto"/>
              </w:rPr>
            </w:pPr>
          </w:p>
        </w:tc>
        <w:tc>
          <w:tcPr>
            <w:tcW w:w="1200" w:type="dxa"/>
            <w:vAlign w:val="bottom"/>
          </w:tcPr>
          <w:p>
            <w:pPr>
              <w:jc w:val="right"/>
              <w:spacing w:after="0" w:line="147" w:lineRule="exact"/>
              <w:rPr>
                <w:sz w:val="20"/>
                <w:szCs w:val="20"/>
                <w:color w:val="auto"/>
              </w:rPr>
            </w:pPr>
            <w:r>
              <w:rPr>
                <w:rFonts w:ascii="Arial" w:cs="Arial" w:eastAsia="Arial" w:hAnsi="Arial"/>
                <w:sz w:val="13"/>
                <w:szCs w:val="13"/>
                <w:color w:val="auto"/>
              </w:rPr>
              <w:t>(139,833)</w:t>
            </w:r>
          </w:p>
        </w:tc>
        <w:tc>
          <w:tcPr>
            <w:tcW w:w="100" w:type="dxa"/>
            <w:vAlign w:val="bottom"/>
          </w:tcPr>
          <w:p>
            <w:pPr>
              <w:spacing w:after="0"/>
              <w:rPr>
                <w:sz w:val="12"/>
                <w:szCs w:val="12"/>
                <w:color w:val="auto"/>
              </w:rPr>
            </w:pPr>
          </w:p>
        </w:tc>
        <w:tc>
          <w:tcPr>
            <w:tcW w:w="1200" w:type="dxa"/>
            <w:vAlign w:val="bottom"/>
          </w:tcPr>
          <w:p>
            <w:pPr>
              <w:jc w:val="right"/>
              <w:ind w:right="35"/>
              <w:spacing w:after="0" w:line="147" w:lineRule="exact"/>
              <w:rPr>
                <w:sz w:val="20"/>
                <w:szCs w:val="20"/>
                <w:color w:val="auto"/>
              </w:rPr>
            </w:pPr>
            <w:r>
              <w:rPr>
                <w:rFonts w:ascii="Arial" w:cs="Arial" w:eastAsia="Arial" w:hAnsi="Arial"/>
                <w:sz w:val="13"/>
                <w:szCs w:val="13"/>
                <w:color w:val="auto"/>
              </w:rPr>
              <w:t>613,280</w:t>
            </w:r>
          </w:p>
        </w:tc>
      </w:tr>
      <w:tr>
        <w:trPr>
          <w:trHeight w:val="147"/>
        </w:trPr>
        <w:tc>
          <w:tcPr>
            <w:tcW w:w="3340" w:type="dxa"/>
            <w:vAlign w:val="bottom"/>
          </w:tcPr>
          <w:p>
            <w:pPr>
              <w:spacing w:after="0" w:line="147" w:lineRule="exact"/>
              <w:rPr>
                <w:sz w:val="20"/>
                <w:szCs w:val="20"/>
                <w:color w:val="auto"/>
              </w:rPr>
            </w:pPr>
            <w:r>
              <w:rPr>
                <w:rFonts w:ascii="Arial" w:cs="Arial" w:eastAsia="Arial" w:hAnsi="Arial"/>
                <w:sz w:val="13"/>
                <w:szCs w:val="13"/>
                <w:color w:val="auto"/>
              </w:rPr>
              <w:t>Cash collateral, reverse repurchase agreements and</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7"/>
        </w:trPr>
        <w:tc>
          <w:tcPr>
            <w:tcW w:w="3340" w:type="dxa"/>
            <w:vAlign w:val="bottom"/>
          </w:tcPr>
          <w:p>
            <w:pPr>
              <w:ind w:left="140"/>
              <w:spacing w:after="0" w:line="147" w:lineRule="exact"/>
              <w:rPr>
                <w:sz w:val="20"/>
                <w:szCs w:val="20"/>
                <w:color w:val="auto"/>
              </w:rPr>
            </w:pPr>
            <w:r>
              <w:rPr>
                <w:rFonts w:ascii="Arial" w:cs="Arial" w:eastAsia="Arial" w:hAnsi="Arial"/>
                <w:sz w:val="13"/>
                <w:szCs w:val="13"/>
                <w:color w:val="auto"/>
              </w:rPr>
              <w:t>securities borrowing</w:t>
            </w:r>
          </w:p>
        </w:tc>
        <w:tc>
          <w:tcPr>
            <w:tcW w:w="12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1,410,647</w:t>
            </w:r>
          </w:p>
        </w:tc>
        <w:tc>
          <w:tcPr>
            <w:tcW w:w="100" w:type="dxa"/>
            <w:vAlign w:val="bottom"/>
          </w:tcPr>
          <w:p>
            <w:pPr>
              <w:spacing w:after="0"/>
              <w:rPr>
                <w:sz w:val="12"/>
                <w:szCs w:val="12"/>
                <w:color w:val="auto"/>
              </w:rPr>
            </w:pPr>
          </w:p>
        </w:tc>
        <w:tc>
          <w:tcPr>
            <w:tcW w:w="1540" w:type="dxa"/>
            <w:vAlign w:val="bottom"/>
          </w:tcPr>
          <w:p>
            <w:pPr>
              <w:jc w:val="right"/>
              <w:ind w:right="35"/>
              <w:spacing w:after="0" w:line="147" w:lineRule="exact"/>
              <w:rPr>
                <w:sz w:val="20"/>
                <w:szCs w:val="20"/>
                <w:color w:val="auto"/>
              </w:rPr>
            </w:pPr>
            <w:r>
              <w:rPr>
                <w:rFonts w:ascii="Arial" w:cs="Arial" w:eastAsia="Arial" w:hAnsi="Arial"/>
                <w:sz w:val="13"/>
                <w:szCs w:val="13"/>
                <w:color w:val="auto"/>
              </w:rPr>
              <w:t>1,410,647</w:t>
            </w:r>
          </w:p>
        </w:tc>
        <w:tc>
          <w:tcPr>
            <w:tcW w:w="100" w:type="dxa"/>
            <w:vAlign w:val="bottom"/>
          </w:tcPr>
          <w:p>
            <w:pPr>
              <w:spacing w:after="0"/>
              <w:rPr>
                <w:sz w:val="12"/>
                <w:szCs w:val="12"/>
                <w:color w:val="auto"/>
              </w:rPr>
            </w:pPr>
          </w:p>
        </w:tc>
        <w:tc>
          <w:tcPr>
            <w:tcW w:w="130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200" w:type="dxa"/>
            <w:vAlign w:val="bottom"/>
          </w:tcPr>
          <w:p>
            <w:pPr>
              <w:jc w:val="right"/>
              <w:spacing w:after="0" w:line="147" w:lineRule="exact"/>
              <w:rPr>
                <w:sz w:val="20"/>
                <w:szCs w:val="20"/>
                <w:color w:val="auto"/>
              </w:rPr>
            </w:pPr>
            <w:r>
              <w:rPr>
                <w:rFonts w:ascii="Arial" w:cs="Arial" w:eastAsia="Arial" w:hAnsi="Arial"/>
                <w:sz w:val="13"/>
                <w:szCs w:val="13"/>
                <w:color w:val="auto"/>
              </w:rPr>
              <w:t>(16,924)</w:t>
            </w:r>
          </w:p>
        </w:tc>
        <w:tc>
          <w:tcPr>
            <w:tcW w:w="100" w:type="dxa"/>
            <w:vAlign w:val="bottom"/>
          </w:tcPr>
          <w:p>
            <w:pPr>
              <w:spacing w:after="0"/>
              <w:rPr>
                <w:sz w:val="12"/>
                <w:szCs w:val="12"/>
                <w:color w:val="auto"/>
              </w:rPr>
            </w:pPr>
          </w:p>
        </w:tc>
        <w:tc>
          <w:tcPr>
            <w:tcW w:w="1200" w:type="dxa"/>
            <w:vAlign w:val="bottom"/>
          </w:tcPr>
          <w:p>
            <w:pPr>
              <w:jc w:val="right"/>
              <w:ind w:right="35"/>
              <w:spacing w:after="0" w:line="147" w:lineRule="exact"/>
              <w:rPr>
                <w:sz w:val="20"/>
                <w:szCs w:val="20"/>
                <w:color w:val="auto"/>
              </w:rPr>
            </w:pPr>
            <w:r>
              <w:rPr>
                <w:rFonts w:ascii="Arial" w:cs="Arial" w:eastAsia="Arial" w:hAnsi="Arial"/>
                <w:sz w:val="13"/>
                <w:szCs w:val="13"/>
                <w:color w:val="auto"/>
              </w:rPr>
              <w:t>1,393,723</w:t>
            </w:r>
          </w:p>
        </w:tc>
      </w:tr>
      <w:tr>
        <w:trPr>
          <w:trHeight w:val="147"/>
        </w:trPr>
        <w:tc>
          <w:tcPr>
            <w:tcW w:w="3340" w:type="dxa"/>
            <w:vAlign w:val="bottom"/>
          </w:tcPr>
          <w:p>
            <w:pPr>
              <w:spacing w:after="0" w:line="147" w:lineRule="exact"/>
              <w:rPr>
                <w:sz w:val="20"/>
                <w:szCs w:val="20"/>
                <w:color w:val="auto"/>
              </w:rPr>
            </w:pPr>
            <w:r>
              <w:rPr>
                <w:rFonts w:ascii="Arial" w:cs="Arial" w:eastAsia="Arial" w:hAnsi="Arial"/>
                <w:sz w:val="13"/>
                <w:szCs w:val="13"/>
                <w:color w:val="auto"/>
              </w:rPr>
              <w:t>Investments at fair value through other comprehensive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7"/>
        </w:trPr>
        <w:tc>
          <w:tcPr>
            <w:tcW w:w="3340" w:type="dxa"/>
            <w:vAlign w:val="bottom"/>
          </w:tcPr>
          <w:p>
            <w:pPr>
              <w:ind w:left="140"/>
              <w:spacing w:after="0"/>
              <w:rPr>
                <w:sz w:val="20"/>
                <w:szCs w:val="20"/>
                <w:color w:val="auto"/>
              </w:rPr>
            </w:pPr>
            <w:r>
              <w:rPr>
                <w:rFonts w:ascii="Arial" w:cs="Arial" w:eastAsia="Arial" w:hAnsi="Arial"/>
                <w:sz w:val="13"/>
                <w:szCs w:val="13"/>
                <w:color w:val="auto"/>
              </w:rPr>
              <w:t>income and amortized cost pledged as collateral</w:t>
            </w:r>
          </w:p>
        </w:tc>
        <w:tc>
          <w:tcPr>
            <w:tcW w:w="1240" w:type="dxa"/>
            <w:vAlign w:val="bottom"/>
          </w:tcPr>
          <w:p>
            <w:pPr>
              <w:jc w:val="right"/>
              <w:ind w:right="55"/>
              <w:spacing w:after="0"/>
              <w:rPr>
                <w:sz w:val="20"/>
                <w:szCs w:val="20"/>
                <w:color w:val="auto"/>
              </w:rPr>
            </w:pPr>
            <w:r>
              <w:rPr>
                <w:rFonts w:ascii="Arial" w:cs="Arial" w:eastAsia="Arial" w:hAnsi="Arial"/>
                <w:sz w:val="13"/>
                <w:szCs w:val="13"/>
                <w:color w:val="auto"/>
              </w:rPr>
              <w:t>6,533,959</w:t>
            </w:r>
          </w:p>
        </w:tc>
        <w:tc>
          <w:tcPr>
            <w:tcW w:w="100" w:type="dxa"/>
            <w:vAlign w:val="bottom"/>
          </w:tcPr>
          <w:p>
            <w:pPr>
              <w:spacing w:after="0"/>
              <w:rPr>
                <w:sz w:val="14"/>
                <w:szCs w:val="14"/>
                <w:color w:val="auto"/>
              </w:rPr>
            </w:pPr>
          </w:p>
        </w:tc>
        <w:tc>
          <w:tcPr>
            <w:tcW w:w="1540" w:type="dxa"/>
            <w:vAlign w:val="bottom"/>
          </w:tcPr>
          <w:p>
            <w:pPr>
              <w:jc w:val="right"/>
              <w:ind w:right="35"/>
              <w:spacing w:after="0"/>
              <w:rPr>
                <w:sz w:val="20"/>
                <w:szCs w:val="20"/>
                <w:color w:val="auto"/>
              </w:rPr>
            </w:pPr>
            <w:r>
              <w:rPr>
                <w:rFonts w:ascii="Arial" w:cs="Arial" w:eastAsia="Arial" w:hAnsi="Arial"/>
                <w:sz w:val="13"/>
                <w:szCs w:val="13"/>
                <w:color w:val="auto"/>
              </w:rPr>
              <w:t>6,533,959</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(5,496,964)</w:t>
            </w:r>
          </w:p>
        </w:tc>
        <w:tc>
          <w:tcPr>
            <w:tcW w:w="10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5"/>
              <w:spacing w:after="0"/>
              <w:rPr>
                <w:sz w:val="20"/>
                <w:szCs w:val="20"/>
                <w:color w:val="auto"/>
              </w:rPr>
            </w:pPr>
            <w:r>
              <w:rPr>
                <w:rFonts w:ascii="Arial" w:cs="Arial" w:eastAsia="Arial" w:hAnsi="Arial"/>
                <w:sz w:val="13"/>
                <w:szCs w:val="13"/>
                <w:color w:val="auto"/>
              </w:rPr>
              <w:t>1,036,995</w:t>
            </w:r>
          </w:p>
        </w:tc>
      </w:tr>
      <w:tr>
        <w:trPr>
          <w:trHeight w:val="168"/>
        </w:trPr>
        <w:tc>
          <w:tcPr>
            <w:tcW w:w="33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8,932,269</w:t>
            </w:r>
          </w:p>
        </w:tc>
        <w:tc>
          <w:tcPr>
            <w:tcW w:w="10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8,932,269</w:t>
            </w: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(5,731,514)</w:t>
            </w: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(156,757)</w:t>
            </w: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3,043,998</w:t>
            </w:r>
          </w:p>
        </w:tc>
      </w:tr>
      <w:tr>
        <w:trPr>
          <w:trHeight w:val="330"/>
        </w:trPr>
        <w:tc>
          <w:tcPr>
            <w:tcW w:w="3340" w:type="dxa"/>
            <w:vAlign w:val="bottom"/>
          </w:tcPr>
          <w:p>
            <w:pPr>
              <w:spacing w:after="0"/>
              <w:rPr>
                <w:sz w:val="24"/>
                <w:szCs w:val="24"/>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pacing w:after="0" w:line="136" w:lineRule="exact"/>
        <w:rPr>
          <w:sz w:val="20"/>
          <w:szCs w:val="20"/>
          <w:color w:val="auto"/>
        </w:rPr>
      </w:pPr>
    </w:p>
    <w:p>
      <w:pPr>
        <w:sectPr>
          <w:pgSz w:w="11900" w:h="16838" w:orient="portrait"/>
          <w:cols w:equalWidth="0" w:num="1">
            <w:col w:w="10120"/>
          </w:cols>
          <w:pgMar w:left="1200" w:top="306" w:right="579" w:bottom="1440" w:gutter="0" w:footer="0" w:header="0"/>
        </w:sect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Related amounts not offset in the</w:t>
            </w:r>
          </w:p>
        </w:tc>
      </w:tr>
      <w:tr>
        <w:trPr>
          <w:trHeight w:val="147"/>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Net of financial</w:t>
            </w:r>
          </w:p>
        </w:tc>
        <w:tc>
          <w:tcPr>
            <w:tcW w:w="25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consolidated statement of</w:t>
            </w:r>
          </w:p>
        </w:tc>
      </w:tr>
      <w:tr>
        <w:trPr>
          <w:trHeight w:val="154"/>
        </w:trPr>
        <w:tc>
          <w:tcPr>
            <w:tcW w:w="3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ind w:left="60"/>
              <w:spacing w:after="0"/>
              <w:rPr>
                <w:sz w:val="20"/>
                <w:szCs w:val="20"/>
                <w:color w:val="auto"/>
              </w:rPr>
            </w:pPr>
            <w:r>
              <w:rPr>
                <w:rFonts w:ascii="Arial" w:cs="Arial" w:eastAsia="Arial" w:hAnsi="Arial"/>
                <w:sz w:val="13"/>
                <w:szCs w:val="13"/>
                <w:b w:val="1"/>
                <w:bCs w:val="1"/>
                <w:color w:val="auto"/>
              </w:rPr>
              <w:t>assets presented</w:t>
            </w: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financial position</w:t>
            </w:r>
          </w:p>
        </w:tc>
        <w:tc>
          <w:tcPr>
            <w:tcW w:w="1200" w:type="dxa"/>
            <w:vAlign w:val="bottom"/>
            <w:tcBorders>
              <w:bottom w:val="single" w:sz="8" w:color="auto"/>
            </w:tcBorders>
          </w:tcPr>
          <w:p>
            <w:pPr>
              <w:spacing w:after="0"/>
              <w:rPr>
                <w:sz w:val="13"/>
                <w:szCs w:val="13"/>
                <w:color w:val="auto"/>
              </w:rPr>
            </w:pPr>
          </w:p>
        </w:tc>
      </w:tr>
      <w:tr>
        <w:trPr>
          <w:trHeight w:val="131"/>
        </w:trPr>
        <w:tc>
          <w:tcPr>
            <w:tcW w:w="3340" w:type="dxa"/>
            <w:vAlign w:val="bottom"/>
          </w:tcPr>
          <w:p>
            <w:pPr>
              <w:spacing w:after="0"/>
              <w:rPr>
                <w:sz w:val="11"/>
                <w:szCs w:val="11"/>
                <w:color w:val="auto"/>
              </w:rPr>
            </w:pPr>
          </w:p>
        </w:tc>
        <w:tc>
          <w:tcPr>
            <w:tcW w:w="1340" w:type="dxa"/>
            <w:vAlign w:val="bottom"/>
            <w:gridSpan w:val="2"/>
          </w:tcPr>
          <w:p>
            <w:pPr>
              <w:ind w:left="60"/>
              <w:spacing w:after="0" w:line="131" w:lineRule="exact"/>
              <w:rPr>
                <w:sz w:val="20"/>
                <w:szCs w:val="20"/>
                <w:color w:val="auto"/>
              </w:rPr>
            </w:pPr>
            <w:r>
              <w:rPr>
                <w:rFonts w:ascii="Arial" w:cs="Arial" w:eastAsia="Arial" w:hAnsi="Arial"/>
                <w:sz w:val="13"/>
                <w:szCs w:val="13"/>
                <w:b w:val="1"/>
                <w:bCs w:val="1"/>
                <w:color w:val="auto"/>
              </w:rPr>
              <w:t>Gross amounts</w:t>
            </w:r>
          </w:p>
        </w:tc>
        <w:tc>
          <w:tcPr>
            <w:tcW w:w="1640" w:type="dxa"/>
            <w:vAlign w:val="bottom"/>
            <w:gridSpan w:val="2"/>
          </w:tcPr>
          <w:p>
            <w:pPr>
              <w:ind w:left="60"/>
              <w:spacing w:after="0" w:line="131" w:lineRule="exact"/>
              <w:rPr>
                <w:sz w:val="20"/>
                <w:szCs w:val="20"/>
                <w:color w:val="auto"/>
              </w:rPr>
            </w:pPr>
            <w:r>
              <w:rPr>
                <w:rFonts w:ascii="Arial" w:cs="Arial" w:eastAsia="Arial" w:hAnsi="Arial"/>
                <w:sz w:val="13"/>
                <w:szCs w:val="13"/>
                <w:b w:val="1"/>
                <w:bCs w:val="1"/>
                <w:color w:val="auto"/>
              </w:rPr>
              <w:t>in the consolidated</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60"/>
              <w:spacing w:after="0" w:line="131" w:lineRule="exact"/>
              <w:rPr>
                <w:sz w:val="20"/>
                <w:szCs w:val="20"/>
                <w:color w:val="auto"/>
              </w:rPr>
            </w:pPr>
            <w:r>
              <w:rPr>
                <w:rFonts w:ascii="Arial" w:cs="Arial" w:eastAsia="Arial" w:hAnsi="Arial"/>
                <w:sz w:val="13"/>
                <w:szCs w:val="13"/>
                <w:b w:val="1"/>
                <w:bCs w:val="1"/>
                <w:color w:val="auto"/>
              </w:rPr>
              <w:t>Cash</w:t>
            </w:r>
          </w:p>
        </w:tc>
      </w:tr>
      <w:tr>
        <w:trPr>
          <w:trHeight w:val="147"/>
        </w:trPr>
        <w:tc>
          <w:tcPr>
            <w:tcW w:w="3340" w:type="dxa"/>
            <w:vAlign w:val="bottom"/>
          </w:tcPr>
          <w:p>
            <w:pPr>
              <w:spacing w:after="0"/>
              <w:rPr>
                <w:sz w:val="12"/>
                <w:szCs w:val="12"/>
                <w:color w:val="auto"/>
              </w:rPr>
            </w:pPr>
          </w:p>
        </w:tc>
        <w:tc>
          <w:tcPr>
            <w:tcW w:w="13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recognized</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statements of</w:t>
            </w:r>
          </w:p>
        </w:tc>
        <w:tc>
          <w:tcPr>
            <w:tcW w:w="13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Financial</w:t>
            </w:r>
          </w:p>
        </w:tc>
        <w:tc>
          <w:tcPr>
            <w:tcW w:w="120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collateral</w:t>
            </w:r>
          </w:p>
        </w:tc>
      </w:tr>
      <w:tr>
        <w:trPr>
          <w:trHeight w:val="154"/>
        </w:trPr>
        <w:tc>
          <w:tcPr>
            <w:tcW w:w="3340" w:type="dxa"/>
            <w:vAlign w:val="bottom"/>
          </w:tcPr>
          <w:p>
            <w:pPr>
              <w:spacing w:after="0"/>
              <w:rPr>
                <w:sz w:val="20"/>
                <w:szCs w:val="20"/>
                <w:color w:val="auto"/>
              </w:rPr>
            </w:pPr>
            <w:r>
              <w:rPr>
                <w:rFonts w:ascii="Arial" w:cs="Arial" w:eastAsia="Arial" w:hAnsi="Arial"/>
                <w:sz w:val="13"/>
                <w:szCs w:val="13"/>
                <w:b w:val="1"/>
                <w:bCs w:val="1"/>
                <w:color w:val="auto"/>
              </w:rPr>
              <w:t>Details</w:t>
            </w:r>
          </w:p>
        </w:tc>
        <w:tc>
          <w:tcPr>
            <w:tcW w:w="1340" w:type="dxa"/>
            <w:vAlign w:val="bottom"/>
            <w:gridSpan w:val="2"/>
          </w:tcPr>
          <w:p>
            <w:pPr>
              <w:ind w:left="60"/>
              <w:spacing w:after="0"/>
              <w:rPr>
                <w:sz w:val="20"/>
                <w:szCs w:val="20"/>
                <w:color w:val="auto"/>
              </w:rPr>
            </w:pPr>
            <w:r>
              <w:rPr>
                <w:rFonts w:ascii="Arial" w:cs="Arial" w:eastAsia="Arial" w:hAnsi="Arial"/>
                <w:sz w:val="13"/>
                <w:szCs w:val="13"/>
                <w:b w:val="1"/>
                <w:bCs w:val="1"/>
                <w:color w:val="auto"/>
              </w:rPr>
              <w:t>financial assets</w:t>
            </w:r>
          </w:p>
        </w:tc>
        <w:tc>
          <w:tcPr>
            <w:tcW w:w="1640" w:type="dxa"/>
            <w:vAlign w:val="bottom"/>
            <w:gridSpan w:val="2"/>
          </w:tcPr>
          <w:p>
            <w:pPr>
              <w:ind w:left="60"/>
              <w:spacing w:after="0"/>
              <w:rPr>
                <w:sz w:val="20"/>
                <w:szCs w:val="20"/>
                <w:color w:val="auto"/>
              </w:rPr>
            </w:pPr>
            <w:r>
              <w:rPr>
                <w:rFonts w:ascii="Arial" w:cs="Arial" w:eastAsia="Arial" w:hAnsi="Arial"/>
                <w:sz w:val="13"/>
                <w:szCs w:val="13"/>
                <w:b w:val="1"/>
                <w:bCs w:val="1"/>
                <w:color w:val="auto"/>
              </w:rPr>
              <w:t>financial position</w:t>
            </w:r>
          </w:p>
        </w:tc>
        <w:tc>
          <w:tcPr>
            <w:tcW w:w="1300" w:type="dxa"/>
            <w:vAlign w:val="bottom"/>
            <w:gridSpan w:val="2"/>
          </w:tcPr>
          <w:p>
            <w:pPr>
              <w:ind w:left="60"/>
              <w:spacing w:after="0"/>
              <w:rPr>
                <w:sz w:val="20"/>
                <w:szCs w:val="20"/>
                <w:color w:val="auto"/>
              </w:rPr>
            </w:pPr>
            <w:r>
              <w:rPr>
                <w:rFonts w:ascii="Arial" w:cs="Arial" w:eastAsia="Arial" w:hAnsi="Arial"/>
                <w:sz w:val="13"/>
                <w:szCs w:val="13"/>
                <w:b w:val="1"/>
                <w:bCs w:val="1"/>
                <w:color w:val="auto"/>
              </w:rPr>
              <w:t>instruments</w:t>
            </w:r>
          </w:p>
        </w:tc>
        <w:tc>
          <w:tcPr>
            <w:tcW w:w="1200" w:type="dxa"/>
            <w:vAlign w:val="bottom"/>
          </w:tcPr>
          <w:p>
            <w:pPr>
              <w:ind w:left="60"/>
              <w:spacing w:after="0"/>
              <w:rPr>
                <w:sz w:val="20"/>
                <w:szCs w:val="20"/>
                <w:color w:val="auto"/>
              </w:rPr>
            </w:pPr>
            <w:r>
              <w:rPr>
                <w:rFonts w:ascii="Arial" w:cs="Arial" w:eastAsia="Arial" w:hAnsi="Arial"/>
                <w:sz w:val="13"/>
                <w:szCs w:val="13"/>
                <w:b w:val="1"/>
                <w:bCs w:val="1"/>
                <w:color w:val="auto"/>
              </w:rPr>
              <w:t>received</w:t>
            </w:r>
          </w:p>
        </w:tc>
      </w:tr>
      <w:tr>
        <w:trPr>
          <w:trHeight w:val="131"/>
        </w:trPr>
        <w:tc>
          <w:tcPr>
            <w:tcW w:w="3340" w:type="dxa"/>
            <w:vAlign w:val="bottom"/>
          </w:tcPr>
          <w:p>
            <w:pPr>
              <w:spacing w:after="0"/>
              <w:rPr>
                <w:sz w:val="11"/>
                <w:szCs w:val="11"/>
                <w:color w:val="auto"/>
              </w:rPr>
            </w:pPr>
          </w:p>
        </w:tc>
        <w:tc>
          <w:tcPr>
            <w:tcW w:w="12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5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2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2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r>
      <w:tr>
        <w:trPr>
          <w:trHeight w:val="147"/>
        </w:trPr>
        <w:tc>
          <w:tcPr>
            <w:tcW w:w="3340" w:type="dxa"/>
            <w:vAlign w:val="bottom"/>
          </w:tcPr>
          <w:p>
            <w:pPr>
              <w:spacing w:after="0" w:line="147" w:lineRule="exact"/>
              <w:rPr>
                <w:sz w:val="20"/>
                <w:szCs w:val="20"/>
                <w:color w:val="auto"/>
              </w:rPr>
            </w:pPr>
            <w:r>
              <w:rPr>
                <w:rFonts w:ascii="Arial" w:cs="Arial" w:eastAsia="Arial" w:hAnsi="Arial"/>
                <w:sz w:val="13"/>
                <w:szCs w:val="13"/>
                <w:color w:val="auto"/>
              </w:rPr>
              <w:t>Receivables from derivatives</w:t>
            </w:r>
          </w:p>
        </w:tc>
        <w:tc>
          <w:tcPr>
            <w:tcW w:w="12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1,500,335</w:t>
            </w:r>
          </w:p>
        </w:tc>
        <w:tc>
          <w:tcPr>
            <w:tcW w:w="100" w:type="dxa"/>
            <w:vAlign w:val="bottom"/>
          </w:tcPr>
          <w:p>
            <w:pPr>
              <w:spacing w:after="0"/>
              <w:rPr>
                <w:sz w:val="12"/>
                <w:szCs w:val="12"/>
                <w:color w:val="auto"/>
              </w:rPr>
            </w:pPr>
          </w:p>
        </w:tc>
        <w:tc>
          <w:tcPr>
            <w:tcW w:w="1540" w:type="dxa"/>
            <w:vAlign w:val="bottom"/>
          </w:tcPr>
          <w:p>
            <w:pPr>
              <w:ind w:left="860"/>
              <w:spacing w:after="0" w:line="147" w:lineRule="exact"/>
              <w:rPr>
                <w:sz w:val="20"/>
                <w:szCs w:val="20"/>
                <w:color w:val="auto"/>
              </w:rPr>
            </w:pPr>
            <w:r>
              <w:rPr>
                <w:rFonts w:ascii="Arial" w:cs="Arial" w:eastAsia="Arial" w:hAnsi="Arial"/>
                <w:sz w:val="13"/>
                <w:szCs w:val="13"/>
                <w:color w:val="auto"/>
              </w:rPr>
              <w:t>1,500,335</w:t>
            </w:r>
          </w:p>
        </w:tc>
        <w:tc>
          <w:tcPr>
            <w:tcW w:w="100" w:type="dxa"/>
            <w:vAlign w:val="bottom"/>
          </w:tcPr>
          <w:p>
            <w:pPr>
              <w:spacing w:after="0"/>
              <w:rPr>
                <w:sz w:val="12"/>
                <w:szCs w:val="12"/>
                <w:color w:val="auto"/>
              </w:rPr>
            </w:pPr>
          </w:p>
        </w:tc>
        <w:tc>
          <w:tcPr>
            <w:tcW w:w="1200" w:type="dxa"/>
            <w:vAlign w:val="bottom"/>
          </w:tcPr>
          <w:p>
            <w:pPr>
              <w:jc w:val="right"/>
              <w:spacing w:after="0" w:line="147" w:lineRule="exact"/>
              <w:rPr>
                <w:sz w:val="20"/>
                <w:szCs w:val="20"/>
                <w:color w:val="auto"/>
              </w:rPr>
            </w:pPr>
            <w:r>
              <w:rPr>
                <w:rFonts w:ascii="Arial" w:cs="Arial" w:eastAsia="Arial" w:hAnsi="Arial"/>
                <w:sz w:val="13"/>
                <w:szCs w:val="13"/>
                <w:color w:val="auto"/>
              </w:rPr>
              <w:t>(285,850)</w:t>
            </w:r>
          </w:p>
        </w:tc>
        <w:tc>
          <w:tcPr>
            <w:tcW w:w="100" w:type="dxa"/>
            <w:vAlign w:val="bottom"/>
          </w:tcPr>
          <w:p>
            <w:pPr>
              <w:spacing w:after="0"/>
              <w:rPr>
                <w:sz w:val="12"/>
                <w:szCs w:val="12"/>
                <w:color w:val="auto"/>
              </w:rPr>
            </w:pPr>
          </w:p>
        </w:tc>
        <w:tc>
          <w:tcPr>
            <w:tcW w:w="1200" w:type="dxa"/>
            <w:vAlign w:val="bottom"/>
          </w:tcPr>
          <w:p>
            <w:pPr>
              <w:jc w:val="right"/>
              <w:spacing w:after="0" w:line="147" w:lineRule="exact"/>
              <w:rPr>
                <w:sz w:val="20"/>
                <w:szCs w:val="20"/>
                <w:color w:val="auto"/>
              </w:rPr>
            </w:pPr>
            <w:r>
              <w:rPr>
                <w:rFonts w:ascii="Arial" w:cs="Arial" w:eastAsia="Arial" w:hAnsi="Arial"/>
                <w:sz w:val="13"/>
                <w:szCs w:val="13"/>
                <w:color w:val="auto"/>
              </w:rPr>
              <w:t>(145,945)</w:t>
            </w:r>
          </w:p>
        </w:tc>
      </w:tr>
      <w:tr>
        <w:trPr>
          <w:trHeight w:val="147"/>
        </w:trPr>
        <w:tc>
          <w:tcPr>
            <w:tcW w:w="3340" w:type="dxa"/>
            <w:vAlign w:val="bottom"/>
          </w:tcPr>
          <w:p>
            <w:pPr>
              <w:spacing w:after="0" w:line="147" w:lineRule="exact"/>
              <w:rPr>
                <w:sz w:val="20"/>
                <w:szCs w:val="20"/>
                <w:color w:val="auto"/>
              </w:rPr>
            </w:pPr>
            <w:r>
              <w:rPr>
                <w:rFonts w:ascii="Arial" w:cs="Arial" w:eastAsia="Arial" w:hAnsi="Arial"/>
                <w:sz w:val="13"/>
                <w:szCs w:val="13"/>
                <w:color w:val="auto"/>
              </w:rPr>
              <w:t>Cash collateral, reverse repurchase agreements and</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7"/>
        </w:trPr>
        <w:tc>
          <w:tcPr>
            <w:tcW w:w="3340" w:type="dxa"/>
            <w:vAlign w:val="bottom"/>
          </w:tcPr>
          <w:p>
            <w:pPr>
              <w:ind w:left="140"/>
              <w:spacing w:after="0" w:line="147" w:lineRule="exact"/>
              <w:rPr>
                <w:sz w:val="20"/>
                <w:szCs w:val="20"/>
                <w:color w:val="auto"/>
              </w:rPr>
            </w:pPr>
            <w:r>
              <w:rPr>
                <w:rFonts w:ascii="Arial" w:cs="Arial" w:eastAsia="Arial" w:hAnsi="Arial"/>
                <w:sz w:val="13"/>
                <w:szCs w:val="13"/>
                <w:color w:val="auto"/>
              </w:rPr>
              <w:t>securities borrowing</w:t>
            </w:r>
          </w:p>
        </w:tc>
        <w:tc>
          <w:tcPr>
            <w:tcW w:w="1240" w:type="dxa"/>
            <w:vAlign w:val="bottom"/>
          </w:tcPr>
          <w:p>
            <w:pPr>
              <w:jc w:val="right"/>
              <w:ind w:right="55"/>
              <w:spacing w:after="0" w:line="147" w:lineRule="exact"/>
              <w:rPr>
                <w:sz w:val="20"/>
                <w:szCs w:val="20"/>
                <w:color w:val="auto"/>
              </w:rPr>
            </w:pPr>
            <w:r>
              <w:rPr>
                <w:rFonts w:ascii="Arial" w:cs="Arial" w:eastAsia="Arial" w:hAnsi="Arial"/>
                <w:sz w:val="13"/>
                <w:szCs w:val="13"/>
                <w:color w:val="auto"/>
              </w:rPr>
              <w:t>1,101,856</w:t>
            </w:r>
          </w:p>
        </w:tc>
        <w:tc>
          <w:tcPr>
            <w:tcW w:w="100" w:type="dxa"/>
            <w:vAlign w:val="bottom"/>
          </w:tcPr>
          <w:p>
            <w:pPr>
              <w:spacing w:after="0"/>
              <w:rPr>
                <w:sz w:val="12"/>
                <w:szCs w:val="12"/>
                <w:color w:val="auto"/>
              </w:rPr>
            </w:pPr>
          </w:p>
        </w:tc>
        <w:tc>
          <w:tcPr>
            <w:tcW w:w="1540" w:type="dxa"/>
            <w:vAlign w:val="bottom"/>
          </w:tcPr>
          <w:p>
            <w:pPr>
              <w:ind w:left="860"/>
              <w:spacing w:after="0" w:line="147" w:lineRule="exact"/>
              <w:rPr>
                <w:sz w:val="20"/>
                <w:szCs w:val="20"/>
                <w:color w:val="auto"/>
              </w:rPr>
            </w:pPr>
            <w:r>
              <w:rPr>
                <w:rFonts w:ascii="Arial" w:cs="Arial" w:eastAsia="Arial" w:hAnsi="Arial"/>
                <w:sz w:val="13"/>
                <w:szCs w:val="13"/>
                <w:color w:val="auto"/>
              </w:rPr>
              <w:t>1,101,856</w:t>
            </w:r>
          </w:p>
        </w:tc>
        <w:tc>
          <w:tcPr>
            <w:tcW w:w="100" w:type="dxa"/>
            <w:vAlign w:val="bottom"/>
          </w:tcPr>
          <w:p>
            <w:pPr>
              <w:spacing w:after="0"/>
              <w:rPr>
                <w:sz w:val="12"/>
                <w:szCs w:val="12"/>
                <w:color w:val="auto"/>
              </w:rPr>
            </w:pPr>
          </w:p>
        </w:tc>
        <w:tc>
          <w:tcPr>
            <w:tcW w:w="130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200" w:type="dxa"/>
            <w:vAlign w:val="bottom"/>
          </w:tcPr>
          <w:p>
            <w:pPr>
              <w:jc w:val="right"/>
              <w:spacing w:after="0" w:line="147" w:lineRule="exact"/>
              <w:rPr>
                <w:sz w:val="20"/>
                <w:szCs w:val="20"/>
                <w:color w:val="auto"/>
              </w:rPr>
            </w:pPr>
            <w:r>
              <w:rPr>
                <w:rFonts w:ascii="Arial" w:cs="Arial" w:eastAsia="Arial" w:hAnsi="Arial"/>
                <w:sz w:val="13"/>
                <w:szCs w:val="13"/>
                <w:color w:val="auto"/>
              </w:rPr>
              <w:t>(224,947)</w:t>
            </w:r>
          </w:p>
        </w:tc>
      </w:tr>
      <w:tr>
        <w:trPr>
          <w:trHeight w:val="147"/>
        </w:trPr>
        <w:tc>
          <w:tcPr>
            <w:tcW w:w="3340" w:type="dxa"/>
            <w:vAlign w:val="bottom"/>
          </w:tcPr>
          <w:p>
            <w:pPr>
              <w:spacing w:after="0" w:line="147" w:lineRule="exact"/>
              <w:rPr>
                <w:sz w:val="20"/>
                <w:szCs w:val="20"/>
                <w:color w:val="auto"/>
              </w:rPr>
            </w:pPr>
            <w:r>
              <w:rPr>
                <w:rFonts w:ascii="Arial" w:cs="Arial" w:eastAsia="Arial" w:hAnsi="Arial"/>
                <w:sz w:val="13"/>
                <w:szCs w:val="13"/>
                <w:color w:val="auto"/>
              </w:rPr>
              <w:t>Investments at fair value through other comprehensive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54"/>
        </w:trPr>
        <w:tc>
          <w:tcPr>
            <w:tcW w:w="3340" w:type="dxa"/>
            <w:vAlign w:val="bottom"/>
          </w:tcPr>
          <w:p>
            <w:pPr>
              <w:ind w:left="140"/>
              <w:spacing w:after="0"/>
              <w:rPr>
                <w:sz w:val="20"/>
                <w:szCs w:val="20"/>
                <w:color w:val="auto"/>
              </w:rPr>
            </w:pPr>
            <w:r>
              <w:rPr>
                <w:rFonts w:ascii="Arial" w:cs="Arial" w:eastAsia="Arial" w:hAnsi="Arial"/>
                <w:sz w:val="13"/>
                <w:szCs w:val="13"/>
                <w:color w:val="auto"/>
              </w:rPr>
              <w:t>income and amortized cost pledged as collateral</w:t>
            </w: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3,540,528</w:t>
            </w:r>
          </w:p>
        </w:tc>
        <w:tc>
          <w:tcPr>
            <w:tcW w:w="100" w:type="dxa"/>
            <w:vAlign w:val="bottom"/>
          </w:tcPr>
          <w:p>
            <w:pPr>
              <w:spacing w:after="0"/>
              <w:rPr>
                <w:sz w:val="13"/>
                <w:szCs w:val="13"/>
                <w:color w:val="auto"/>
              </w:rPr>
            </w:pPr>
          </w:p>
        </w:tc>
        <w:tc>
          <w:tcPr>
            <w:tcW w:w="154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rPr>
              <w:t>3,540,528</w:t>
            </w: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(3,062,627)</w:t>
            </w: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r>
      <w:tr>
        <w:trPr>
          <w:trHeight w:val="143"/>
        </w:trPr>
        <w:tc>
          <w:tcPr>
            <w:tcW w:w="3340" w:type="dxa"/>
            <w:vAlign w:val="bottom"/>
          </w:tcPr>
          <w:p>
            <w:pPr>
              <w:spacing w:after="0" w:line="139" w:lineRule="exact"/>
              <w:rPr>
                <w:sz w:val="20"/>
                <w:szCs w:val="20"/>
                <w:color w:val="auto"/>
              </w:rPr>
            </w:pPr>
            <w:r>
              <w:rPr>
                <w:rFonts w:ascii="Arial" w:cs="Arial" w:eastAsia="Arial" w:hAnsi="Arial"/>
                <w:sz w:val="13"/>
                <w:szCs w:val="13"/>
                <w:b w:val="1"/>
                <w:bCs w:val="1"/>
                <w:color w:val="auto"/>
              </w:rPr>
              <w:t>Total</w:t>
            </w:r>
          </w:p>
        </w:tc>
        <w:tc>
          <w:tcPr>
            <w:tcW w:w="1240" w:type="dxa"/>
            <w:vAlign w:val="bottom"/>
            <w:tcBorders>
              <w:bottom w:val="single" w:sz="8" w:color="auto"/>
            </w:tcBorders>
          </w:tcPr>
          <w:p>
            <w:pPr>
              <w:jc w:val="right"/>
              <w:ind w:right="55"/>
              <w:spacing w:after="0" w:line="139" w:lineRule="exact"/>
              <w:rPr>
                <w:sz w:val="20"/>
                <w:szCs w:val="20"/>
                <w:color w:val="auto"/>
              </w:rPr>
            </w:pPr>
            <w:r>
              <w:rPr>
                <w:rFonts w:ascii="Arial" w:cs="Arial" w:eastAsia="Arial" w:hAnsi="Arial"/>
                <w:sz w:val="13"/>
                <w:szCs w:val="13"/>
                <w:color w:val="auto"/>
              </w:rPr>
              <w:t>6,142,719</w:t>
            </w:r>
          </w:p>
        </w:tc>
        <w:tc>
          <w:tcPr>
            <w:tcW w:w="100" w:type="dxa"/>
            <w:vAlign w:val="bottom"/>
          </w:tcPr>
          <w:p>
            <w:pPr>
              <w:spacing w:after="0"/>
              <w:rPr>
                <w:sz w:val="12"/>
                <w:szCs w:val="12"/>
                <w:color w:val="auto"/>
              </w:rPr>
            </w:pPr>
          </w:p>
        </w:tc>
        <w:tc>
          <w:tcPr>
            <w:tcW w:w="1540" w:type="dxa"/>
            <w:vAlign w:val="bottom"/>
            <w:tcBorders>
              <w:bottom w:val="single" w:sz="8" w:color="auto"/>
            </w:tcBorders>
          </w:tcPr>
          <w:p>
            <w:pPr>
              <w:ind w:left="860"/>
              <w:spacing w:after="0" w:line="139" w:lineRule="exact"/>
              <w:rPr>
                <w:sz w:val="20"/>
                <w:szCs w:val="20"/>
                <w:color w:val="auto"/>
              </w:rPr>
            </w:pPr>
            <w:r>
              <w:rPr>
                <w:rFonts w:ascii="Arial" w:cs="Arial" w:eastAsia="Arial" w:hAnsi="Arial"/>
                <w:sz w:val="13"/>
                <w:szCs w:val="13"/>
                <w:color w:val="auto"/>
              </w:rPr>
              <w:t>6,142,719</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(3,348,477)</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(370,892)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40"/>
        <w:spacing w:after="0" w:line="254" w:lineRule="auto"/>
        <w:rPr>
          <w:sz w:val="20"/>
          <w:szCs w:val="20"/>
          <w:color w:val="auto"/>
        </w:rPr>
      </w:pPr>
      <w:r>
        <w:rPr>
          <w:rFonts w:ascii="Arial" w:cs="Arial" w:eastAsia="Arial" w:hAnsi="Arial"/>
          <w:sz w:val="13"/>
          <w:szCs w:val="13"/>
          <w:b w:val="1"/>
          <w:bCs w:val="1"/>
          <w:color w:val="auto"/>
        </w:rPr>
        <w:t>Net amount 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-102235</wp:posOffset>
            </wp:positionV>
            <wp:extent cx="76009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0095" cy="7620"/>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3"/>
          <w:szCs w:val="13"/>
          <w:color w:val="auto"/>
        </w:rPr>
        <w:t>1,068,540</w:t>
      </w:r>
    </w:p>
    <w:p>
      <w:pPr>
        <w:spacing w:after="0" w:line="132"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876,909</w:t>
      </w:r>
    </w:p>
    <w:p>
      <w:pPr>
        <w:spacing w:after="0" w:line="144"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477,901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3175</wp:posOffset>
            </wp:positionV>
            <wp:extent cx="76009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0095" cy="7620"/>
                    </a:xfrm>
                    <a:prstGeom prst="rect">
                      <a:avLst/>
                    </a:prstGeom>
                    <a:noFill/>
                  </pic:spPr>
                </pic:pic>
              </a:graphicData>
            </a:graphic>
          </wp:anchor>
        </w:drawing>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2,423,350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-3810</wp:posOffset>
            </wp:positionV>
            <wp:extent cx="76009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0095" cy="1524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8820" w:space="140"/>
            <w:col w:w="1160"/>
          </w:cols>
          <w:pgMar w:left="1200" w:top="306" w:right="579" w:bottom="1440" w:gutter="0" w:footer="0" w:header="0"/>
          <w:type w:val="continuous"/>
        </w:sectPr>
      </w:pPr>
    </w:p>
    <w:p>
      <w:pPr>
        <w:spacing w:after="0" w:line="125"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41275</wp:posOffset>
            </wp:positionV>
            <wp:extent cx="714565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20"/>
          </w:cols>
          <w:pgMar w:left="1200" w:top="306" w:right="579" w:bottom="1440" w:gutter="0" w:footer="0" w:header="0"/>
          <w:type w:val="continuous"/>
        </w:sectPr>
      </w:pPr>
    </w:p>
    <w:bookmarkStart w:id="161" w:name="page162"/>
    <w:bookmarkEnd w:id="161"/>
    <w:p>
      <w:pPr>
        <w:ind w:left="3"/>
        <w:spacing w:after="0"/>
        <w:rPr>
          <w:sz w:val="20"/>
          <w:szCs w:val="20"/>
          <w:color w:val="auto"/>
        </w:rPr>
      </w:pPr>
      <w:r>
        <w:rPr>
          <w:rFonts w:ascii="Arial" w:cs="Arial" w:eastAsia="Arial" w:hAnsi="Arial"/>
          <w:sz w:val="16"/>
          <w:szCs w:val="16"/>
          <w:color w:val="auto"/>
        </w:rPr>
        <w:t>Financial liabilities subject to offsetting, enforceable offsetting master agreements and similar agreements:</w:t>
      </w:r>
    </w:p>
    <w:p>
      <w:pPr>
        <w:sectPr>
          <w:pgSz w:w="11900" w:h="16838" w:orient="portrait"/>
          <w:cols w:equalWidth="0" w:num="1">
            <w:col w:w="10363"/>
          </w:cols>
          <w:pgMar w:left="1197" w:top="3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3"/>
        <w:spacing w:after="0"/>
        <w:rPr>
          <w:sz w:val="20"/>
          <w:szCs w:val="20"/>
          <w:color w:val="auto"/>
        </w:rPr>
      </w:pPr>
      <w:r>
        <w:rPr>
          <w:rFonts w:ascii="Arial" w:cs="Arial" w:eastAsia="Arial" w:hAnsi="Arial"/>
          <w:sz w:val="13"/>
          <w:szCs w:val="13"/>
          <w:b w:val="1"/>
          <w:bCs w:val="1"/>
          <w:color w:val="auto"/>
        </w:rPr>
        <w:t>Details</w:t>
      </w:r>
    </w:p>
    <w:p>
      <w:pPr>
        <w:spacing w:after="0" w:line="156" w:lineRule="exact"/>
        <w:rPr>
          <w:sz w:val="20"/>
          <w:szCs w:val="20"/>
          <w:color w:val="auto"/>
        </w:rPr>
      </w:pPr>
    </w:p>
    <w:p>
      <w:pPr>
        <w:ind w:left="43"/>
        <w:spacing w:after="0"/>
        <w:rPr>
          <w:sz w:val="20"/>
          <w:szCs w:val="20"/>
          <w:color w:val="auto"/>
        </w:rPr>
      </w:pPr>
      <w:r>
        <w:rPr>
          <w:rFonts w:ascii="Arial" w:cs="Arial" w:eastAsia="Arial" w:hAnsi="Arial"/>
          <w:sz w:val="13"/>
          <w:szCs w:val="13"/>
          <w:color w:val="auto"/>
        </w:rPr>
        <w:t>Payables on derivatives</w:t>
      </w:r>
    </w:p>
    <w:p>
      <w:pPr>
        <w:spacing w:after="0" w:line="9" w:lineRule="exact"/>
        <w:rPr>
          <w:sz w:val="20"/>
          <w:szCs w:val="20"/>
          <w:color w:val="auto"/>
        </w:rPr>
      </w:pPr>
    </w:p>
    <w:p>
      <w:pPr>
        <w:ind w:left="43"/>
        <w:spacing w:after="0"/>
        <w:rPr>
          <w:sz w:val="20"/>
          <w:szCs w:val="20"/>
          <w:color w:val="auto"/>
        </w:rPr>
      </w:pPr>
      <w:r>
        <w:rPr>
          <w:rFonts w:ascii="Arial" w:cs="Arial" w:eastAsia="Arial" w:hAnsi="Arial"/>
          <w:sz w:val="13"/>
          <w:szCs w:val="13"/>
          <w:color w:val="auto"/>
        </w:rPr>
        <w:t>Payables on repurchase agreements and securites lending</w:t>
      </w:r>
    </w:p>
    <w:p>
      <w:pPr>
        <w:spacing w:after="0" w:line="22" w:lineRule="exact"/>
        <w:rPr>
          <w:sz w:val="20"/>
          <w:szCs w:val="20"/>
          <w:color w:val="auto"/>
        </w:rPr>
      </w:pPr>
    </w:p>
    <w:p>
      <w:pPr>
        <w:ind w:left="43"/>
        <w:spacing w:after="0"/>
        <w:rPr>
          <w:sz w:val="20"/>
          <w:szCs w:val="20"/>
          <w:color w:val="auto"/>
        </w:rPr>
      </w:pPr>
      <w:r>
        <w:rPr>
          <w:rFonts w:ascii="Arial" w:cs="Arial" w:eastAsia="Arial" w:hAnsi="Arial"/>
          <w:sz w:val="13"/>
          <w:szCs w:val="13"/>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3"/>
        <w:spacing w:after="0"/>
        <w:rPr>
          <w:sz w:val="20"/>
          <w:szCs w:val="20"/>
          <w:color w:val="auto"/>
        </w:rPr>
      </w:pPr>
      <w:r>
        <w:rPr>
          <w:rFonts w:ascii="Arial" w:cs="Arial" w:eastAsia="Arial" w:hAnsi="Arial"/>
          <w:sz w:val="13"/>
          <w:szCs w:val="13"/>
          <w:b w:val="1"/>
          <w:bCs w:val="1"/>
          <w:color w:val="auto"/>
        </w:rPr>
        <w:t>Details</w:t>
      </w:r>
    </w:p>
    <w:p>
      <w:pPr>
        <w:spacing w:after="0" w:line="156" w:lineRule="exact"/>
        <w:rPr>
          <w:sz w:val="20"/>
          <w:szCs w:val="20"/>
          <w:color w:val="auto"/>
        </w:rPr>
      </w:pPr>
    </w:p>
    <w:p>
      <w:pPr>
        <w:ind w:left="43"/>
        <w:spacing w:after="0"/>
        <w:rPr>
          <w:sz w:val="20"/>
          <w:szCs w:val="20"/>
          <w:color w:val="auto"/>
        </w:rPr>
      </w:pPr>
      <w:r>
        <w:rPr>
          <w:rFonts w:ascii="Arial" w:cs="Arial" w:eastAsia="Arial" w:hAnsi="Arial"/>
          <w:sz w:val="13"/>
          <w:szCs w:val="13"/>
          <w:color w:val="auto"/>
        </w:rPr>
        <w:t>Payables on derivatives</w:t>
      </w:r>
    </w:p>
    <w:p>
      <w:pPr>
        <w:spacing w:after="0" w:line="9" w:lineRule="exact"/>
        <w:rPr>
          <w:sz w:val="20"/>
          <w:szCs w:val="20"/>
          <w:color w:val="auto"/>
        </w:rPr>
      </w:pPr>
    </w:p>
    <w:p>
      <w:pPr>
        <w:ind w:left="43"/>
        <w:spacing w:after="0"/>
        <w:rPr>
          <w:sz w:val="20"/>
          <w:szCs w:val="20"/>
          <w:color w:val="auto"/>
        </w:rPr>
      </w:pPr>
      <w:r>
        <w:rPr>
          <w:rFonts w:ascii="Arial" w:cs="Arial" w:eastAsia="Arial" w:hAnsi="Arial"/>
          <w:sz w:val="13"/>
          <w:szCs w:val="13"/>
          <w:color w:val="auto"/>
        </w:rPr>
        <w:t>Payables on repurchase agreements and securites lending</w:t>
      </w:r>
    </w:p>
    <w:p>
      <w:pPr>
        <w:spacing w:after="0" w:line="22" w:lineRule="exact"/>
        <w:rPr>
          <w:sz w:val="20"/>
          <w:szCs w:val="20"/>
          <w:color w:val="auto"/>
        </w:rPr>
      </w:pPr>
    </w:p>
    <w:p>
      <w:pPr>
        <w:ind w:left="43"/>
        <w:spacing w:after="0"/>
        <w:rPr>
          <w:sz w:val="20"/>
          <w:szCs w:val="20"/>
          <w:color w:val="auto"/>
        </w:rPr>
      </w:pP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10400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04005" cy="762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Net amounts of</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47"/>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financial liabilities</w:t>
            </w:r>
          </w:p>
        </w:tc>
        <w:tc>
          <w:tcPr>
            <w:tcW w:w="2600" w:type="dxa"/>
            <w:vAlign w:val="bottom"/>
            <w:gridSpan w:val="5"/>
          </w:tcPr>
          <w:p>
            <w:pPr>
              <w:ind w:left="60"/>
              <w:spacing w:after="0" w:line="147" w:lineRule="exact"/>
              <w:rPr>
                <w:sz w:val="20"/>
                <w:szCs w:val="20"/>
                <w:color w:val="auto"/>
              </w:rPr>
            </w:pPr>
            <w:r>
              <w:rPr>
                <w:rFonts w:ascii="Arial" w:cs="Arial" w:eastAsia="Arial" w:hAnsi="Arial"/>
                <w:sz w:val="13"/>
                <w:szCs w:val="13"/>
                <w:b w:val="1"/>
                <w:bCs w:val="1"/>
                <w:color w:val="auto"/>
              </w:rPr>
              <w:t>Related amounts not offset in the</w:t>
            </w:r>
          </w:p>
        </w:tc>
        <w:tc>
          <w:tcPr>
            <w:tcW w:w="1200" w:type="dxa"/>
            <w:vAlign w:val="bottom"/>
          </w:tcPr>
          <w:p>
            <w:pPr>
              <w:spacing w:after="0"/>
              <w:rPr>
                <w:sz w:val="12"/>
                <w:szCs w:val="12"/>
                <w:color w:val="auto"/>
              </w:rPr>
            </w:pPr>
          </w:p>
        </w:tc>
      </w:tr>
      <w:tr>
        <w:trPr>
          <w:trHeight w:val="147"/>
        </w:trPr>
        <w:tc>
          <w:tcPr>
            <w:tcW w:w="13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Gross amounts</w:t>
            </w: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presented in the</w:t>
            </w:r>
          </w:p>
        </w:tc>
        <w:tc>
          <w:tcPr>
            <w:tcW w:w="2600" w:type="dxa"/>
            <w:vAlign w:val="bottom"/>
            <w:gridSpan w:val="5"/>
          </w:tcPr>
          <w:p>
            <w:pPr>
              <w:ind w:left="60"/>
              <w:spacing w:after="0" w:line="147" w:lineRule="exact"/>
              <w:rPr>
                <w:sz w:val="20"/>
                <w:szCs w:val="20"/>
                <w:color w:val="auto"/>
              </w:rPr>
            </w:pPr>
            <w:r>
              <w:rPr>
                <w:rFonts w:ascii="Arial" w:cs="Arial" w:eastAsia="Arial" w:hAnsi="Arial"/>
                <w:sz w:val="13"/>
                <w:szCs w:val="13"/>
                <w:b w:val="1"/>
                <w:bCs w:val="1"/>
                <w:color w:val="auto"/>
              </w:rPr>
              <w:t>consolidated statement of</w:t>
            </w:r>
          </w:p>
        </w:tc>
        <w:tc>
          <w:tcPr>
            <w:tcW w:w="1200" w:type="dxa"/>
            <w:vAlign w:val="bottom"/>
          </w:tcPr>
          <w:p>
            <w:pPr>
              <w:spacing w:after="0"/>
              <w:rPr>
                <w:sz w:val="12"/>
                <w:szCs w:val="12"/>
                <w:color w:val="auto"/>
              </w:rPr>
            </w:pPr>
          </w:p>
        </w:tc>
      </w:tr>
      <w:tr>
        <w:trPr>
          <w:trHeight w:val="154"/>
        </w:trPr>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of</w:t>
            </w: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consolidated</w:t>
            </w: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financial position</w:t>
            </w: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31"/>
        </w:trPr>
        <w:tc>
          <w:tcPr>
            <w:tcW w:w="134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recognized</w:t>
            </w:r>
          </w:p>
        </w:tc>
        <w:tc>
          <w:tcPr>
            <w:tcW w:w="132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statement of</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47"/>
        </w:trPr>
        <w:tc>
          <w:tcPr>
            <w:tcW w:w="13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financial</w:t>
            </w: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financial</w:t>
            </w:r>
          </w:p>
        </w:tc>
        <w:tc>
          <w:tcPr>
            <w:tcW w:w="114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Financial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Cash collateral</w:t>
            </w:r>
          </w:p>
        </w:tc>
        <w:tc>
          <w:tcPr>
            <w:tcW w:w="1200" w:type="dxa"/>
            <w:vAlign w:val="bottom"/>
          </w:tcPr>
          <w:p>
            <w:pPr>
              <w:spacing w:after="0"/>
              <w:rPr>
                <w:sz w:val="12"/>
                <w:szCs w:val="12"/>
                <w:color w:val="auto"/>
              </w:rPr>
            </w:pPr>
          </w:p>
        </w:tc>
      </w:tr>
      <w:tr>
        <w:trPr>
          <w:trHeight w:val="154"/>
        </w:trPr>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liabilities</w:t>
            </w: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position</w:t>
            </w:r>
          </w:p>
        </w:tc>
        <w:tc>
          <w:tcPr>
            <w:tcW w:w="1140" w:type="dxa"/>
            <w:vAlign w:val="bottom"/>
          </w:tcPr>
          <w:p>
            <w:pPr>
              <w:ind w:left="60"/>
              <w:spacing w:after="0"/>
              <w:rPr>
                <w:sz w:val="20"/>
                <w:szCs w:val="20"/>
                <w:color w:val="auto"/>
              </w:rPr>
            </w:pPr>
            <w:r>
              <w:rPr>
                <w:rFonts w:ascii="Arial" w:cs="Arial" w:eastAsia="Arial" w:hAnsi="Arial"/>
                <w:sz w:val="13"/>
                <w:szCs w:val="13"/>
                <w:b w:val="1"/>
                <w:bCs w:val="1"/>
                <w:color w:val="auto"/>
              </w:rPr>
              <w:t>instruments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b w:val="1"/>
                <w:bCs w:val="1"/>
                <w:color w:val="auto"/>
              </w:rPr>
              <w:t>pledged</w:t>
            </w:r>
          </w:p>
        </w:tc>
        <w:tc>
          <w:tcPr>
            <w:tcW w:w="1200" w:type="dxa"/>
            <w:vAlign w:val="bottom"/>
          </w:tcPr>
          <w:p>
            <w:pPr>
              <w:ind w:left="40"/>
              <w:spacing w:after="0"/>
              <w:rPr>
                <w:sz w:val="20"/>
                <w:szCs w:val="20"/>
                <w:color w:val="auto"/>
              </w:rPr>
            </w:pPr>
            <w:r>
              <w:rPr>
                <w:rFonts w:ascii="Arial" w:cs="Arial" w:eastAsia="Arial" w:hAnsi="Arial"/>
                <w:sz w:val="13"/>
                <w:szCs w:val="13"/>
                <w:b w:val="1"/>
                <w:bCs w:val="1"/>
                <w:color w:val="auto"/>
              </w:rPr>
              <w:t>Net amount</w:t>
            </w:r>
          </w:p>
        </w:tc>
      </w:tr>
      <w:tr>
        <w:trPr>
          <w:trHeight w:val="131"/>
        </w:trPr>
        <w:tc>
          <w:tcPr>
            <w:tcW w:w="12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2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1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20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r>
      <w:tr>
        <w:trPr>
          <w:trHeight w:val="147"/>
        </w:trPr>
        <w:tc>
          <w:tcPr>
            <w:tcW w:w="1220" w:type="dxa"/>
            <w:vAlign w:val="bottom"/>
          </w:tcPr>
          <w:p>
            <w:pPr>
              <w:jc w:val="right"/>
              <w:ind w:right="35"/>
              <w:spacing w:after="0" w:line="147" w:lineRule="exact"/>
              <w:rPr>
                <w:sz w:val="20"/>
                <w:szCs w:val="20"/>
                <w:color w:val="auto"/>
              </w:rPr>
            </w:pPr>
            <w:r>
              <w:rPr>
                <w:rFonts w:ascii="Arial" w:cs="Arial" w:eastAsia="Arial" w:hAnsi="Arial"/>
                <w:sz w:val="13"/>
                <w:szCs w:val="13"/>
                <w:color w:val="auto"/>
              </w:rPr>
              <w:t>891,999</w:t>
            </w:r>
          </w:p>
        </w:tc>
        <w:tc>
          <w:tcPr>
            <w:tcW w:w="120" w:type="dxa"/>
            <w:vAlign w:val="bottom"/>
          </w:tcPr>
          <w:p>
            <w:pPr>
              <w:spacing w:after="0"/>
              <w:rPr>
                <w:sz w:val="12"/>
                <w:szCs w:val="12"/>
                <w:color w:val="auto"/>
              </w:rPr>
            </w:pPr>
          </w:p>
        </w:tc>
        <w:tc>
          <w:tcPr>
            <w:tcW w:w="1220" w:type="dxa"/>
            <w:vAlign w:val="bottom"/>
          </w:tcPr>
          <w:p>
            <w:pPr>
              <w:jc w:val="right"/>
              <w:ind w:right="35"/>
              <w:spacing w:after="0" w:line="147" w:lineRule="exact"/>
              <w:rPr>
                <w:sz w:val="20"/>
                <w:szCs w:val="20"/>
                <w:color w:val="auto"/>
              </w:rPr>
            </w:pPr>
            <w:r>
              <w:rPr>
                <w:rFonts w:ascii="Arial" w:cs="Arial" w:eastAsia="Arial" w:hAnsi="Arial"/>
                <w:sz w:val="13"/>
                <w:szCs w:val="13"/>
                <w:color w:val="auto"/>
              </w:rPr>
              <w:t>891,999</w:t>
            </w:r>
          </w:p>
        </w:tc>
        <w:tc>
          <w:tcPr>
            <w:tcW w:w="100" w:type="dxa"/>
            <w:vAlign w:val="bottom"/>
          </w:tcPr>
          <w:p>
            <w:pPr>
              <w:spacing w:after="0"/>
              <w:rPr>
                <w:sz w:val="12"/>
                <w:szCs w:val="12"/>
                <w:color w:val="auto"/>
              </w:rPr>
            </w:pPr>
          </w:p>
        </w:tc>
        <w:tc>
          <w:tcPr>
            <w:tcW w:w="1140" w:type="dxa"/>
            <w:vAlign w:val="bottom"/>
          </w:tcPr>
          <w:p>
            <w:pPr>
              <w:jc w:val="right"/>
              <w:spacing w:after="0" w:line="147" w:lineRule="exact"/>
              <w:rPr>
                <w:sz w:val="20"/>
                <w:szCs w:val="20"/>
                <w:color w:val="auto"/>
              </w:rPr>
            </w:pPr>
            <w:r>
              <w:rPr>
                <w:rFonts w:ascii="Arial" w:cs="Arial" w:eastAsia="Arial" w:hAnsi="Arial"/>
                <w:sz w:val="13"/>
                <w:szCs w:val="13"/>
                <w:color w:val="auto"/>
              </w:rPr>
              <w:t>(234,550</w:t>
            </w:r>
          </w:p>
        </w:tc>
        <w:tc>
          <w:tcPr>
            <w:tcW w:w="60" w:type="dxa"/>
            <w:vAlign w:val="bottom"/>
          </w:tcPr>
          <w:p>
            <w:pPr>
              <w:jc w:val="right"/>
              <w:spacing w:after="0" w:line="147"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1200" w:type="dxa"/>
            <w:vAlign w:val="bottom"/>
          </w:tcPr>
          <w:p>
            <w:pPr>
              <w:jc w:val="right"/>
              <w:spacing w:after="0" w:line="147" w:lineRule="exact"/>
              <w:rPr>
                <w:sz w:val="20"/>
                <w:szCs w:val="20"/>
                <w:color w:val="auto"/>
              </w:rPr>
            </w:pPr>
            <w:r>
              <w:rPr>
                <w:rFonts w:ascii="Arial" w:cs="Arial" w:eastAsia="Arial" w:hAnsi="Arial"/>
                <w:sz w:val="13"/>
                <w:szCs w:val="13"/>
                <w:color w:val="auto"/>
              </w:rPr>
              <w:t>(170,998 )</w:t>
            </w:r>
          </w:p>
        </w:tc>
        <w:tc>
          <w:tcPr>
            <w:tcW w:w="100" w:type="dxa"/>
            <w:vAlign w:val="bottom"/>
          </w:tcPr>
          <w:p>
            <w:pPr>
              <w:spacing w:after="0"/>
              <w:rPr>
                <w:sz w:val="12"/>
                <w:szCs w:val="12"/>
                <w:color w:val="auto"/>
              </w:rPr>
            </w:pPr>
          </w:p>
        </w:tc>
        <w:tc>
          <w:tcPr>
            <w:tcW w:w="1200" w:type="dxa"/>
            <w:vAlign w:val="bottom"/>
          </w:tcPr>
          <w:p>
            <w:pPr>
              <w:jc w:val="right"/>
              <w:ind w:right="35"/>
              <w:spacing w:after="0" w:line="147" w:lineRule="exact"/>
              <w:rPr>
                <w:sz w:val="20"/>
                <w:szCs w:val="20"/>
                <w:color w:val="auto"/>
              </w:rPr>
            </w:pPr>
            <w:r>
              <w:rPr>
                <w:rFonts w:ascii="Arial" w:cs="Arial" w:eastAsia="Arial" w:hAnsi="Arial"/>
                <w:sz w:val="13"/>
                <w:szCs w:val="13"/>
                <w:color w:val="auto"/>
              </w:rPr>
              <w:t>486,451</w:t>
            </w:r>
          </w:p>
        </w:tc>
      </w:tr>
      <w:tr>
        <w:trPr>
          <w:trHeight w:val="167"/>
        </w:trPr>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10,168,427</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10,168,427</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(7,566,773</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(607,639 )</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1,994,015</w:t>
            </w:r>
          </w:p>
        </w:tc>
      </w:tr>
      <w:tr>
        <w:trPr>
          <w:trHeight w:val="143"/>
        </w:trPr>
        <w:tc>
          <w:tcPr>
            <w:tcW w:w="1220" w:type="dxa"/>
            <w:vAlign w:val="bottom"/>
            <w:tcBorders>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11,060,426</w:t>
            </w:r>
          </w:p>
        </w:tc>
        <w:tc>
          <w:tcPr>
            <w:tcW w:w="120" w:type="dxa"/>
            <w:vAlign w:val="bottom"/>
          </w:tcPr>
          <w:p>
            <w:pPr>
              <w:spacing w:after="0"/>
              <w:rPr>
                <w:sz w:val="12"/>
                <w:szCs w:val="12"/>
                <w:color w:val="auto"/>
              </w:rPr>
            </w:pPr>
          </w:p>
        </w:tc>
        <w:tc>
          <w:tcPr>
            <w:tcW w:w="1220" w:type="dxa"/>
            <w:vAlign w:val="bottom"/>
            <w:tcBorders>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11,060,426</w:t>
            </w: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(7,801,323</w:t>
            </w:r>
          </w:p>
        </w:tc>
        <w:tc>
          <w:tcPr>
            <w:tcW w:w="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(778,637 )</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2,480,466</w:t>
            </w:r>
          </w:p>
        </w:tc>
      </w:tr>
      <w:tr>
        <w:trPr>
          <w:trHeight w:val="330"/>
        </w:trPr>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78"/>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Net amounts of</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47"/>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financial liabilities</w:t>
            </w:r>
          </w:p>
        </w:tc>
        <w:tc>
          <w:tcPr>
            <w:tcW w:w="2600" w:type="dxa"/>
            <w:vAlign w:val="bottom"/>
            <w:gridSpan w:val="5"/>
          </w:tcPr>
          <w:p>
            <w:pPr>
              <w:ind w:left="60"/>
              <w:spacing w:after="0" w:line="147" w:lineRule="exact"/>
              <w:rPr>
                <w:sz w:val="20"/>
                <w:szCs w:val="20"/>
                <w:color w:val="auto"/>
              </w:rPr>
            </w:pPr>
            <w:r>
              <w:rPr>
                <w:rFonts w:ascii="Arial" w:cs="Arial" w:eastAsia="Arial" w:hAnsi="Arial"/>
                <w:sz w:val="13"/>
                <w:szCs w:val="13"/>
                <w:b w:val="1"/>
                <w:bCs w:val="1"/>
                <w:color w:val="auto"/>
              </w:rPr>
              <w:t>Related amounts not offset in the</w:t>
            </w:r>
          </w:p>
        </w:tc>
        <w:tc>
          <w:tcPr>
            <w:tcW w:w="1200" w:type="dxa"/>
            <w:vAlign w:val="bottom"/>
          </w:tcPr>
          <w:p>
            <w:pPr>
              <w:spacing w:after="0"/>
              <w:rPr>
                <w:sz w:val="12"/>
                <w:szCs w:val="12"/>
                <w:color w:val="auto"/>
              </w:rPr>
            </w:pPr>
          </w:p>
        </w:tc>
      </w:tr>
      <w:tr>
        <w:trPr>
          <w:trHeight w:val="147"/>
        </w:trPr>
        <w:tc>
          <w:tcPr>
            <w:tcW w:w="13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Gross amounts</w:t>
            </w: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presented in the</w:t>
            </w:r>
          </w:p>
        </w:tc>
        <w:tc>
          <w:tcPr>
            <w:tcW w:w="2600" w:type="dxa"/>
            <w:vAlign w:val="bottom"/>
            <w:gridSpan w:val="5"/>
          </w:tcPr>
          <w:p>
            <w:pPr>
              <w:ind w:left="60"/>
              <w:spacing w:after="0" w:line="147" w:lineRule="exact"/>
              <w:rPr>
                <w:sz w:val="20"/>
                <w:szCs w:val="20"/>
                <w:color w:val="auto"/>
              </w:rPr>
            </w:pPr>
            <w:r>
              <w:rPr>
                <w:rFonts w:ascii="Arial" w:cs="Arial" w:eastAsia="Arial" w:hAnsi="Arial"/>
                <w:sz w:val="13"/>
                <w:szCs w:val="13"/>
                <w:b w:val="1"/>
                <w:bCs w:val="1"/>
                <w:color w:val="auto"/>
              </w:rPr>
              <w:t>consolidated statement of</w:t>
            </w:r>
          </w:p>
        </w:tc>
        <w:tc>
          <w:tcPr>
            <w:tcW w:w="1200" w:type="dxa"/>
            <w:vAlign w:val="bottom"/>
          </w:tcPr>
          <w:p>
            <w:pPr>
              <w:spacing w:after="0"/>
              <w:rPr>
                <w:sz w:val="12"/>
                <w:szCs w:val="12"/>
                <w:color w:val="auto"/>
              </w:rPr>
            </w:pPr>
          </w:p>
        </w:tc>
      </w:tr>
      <w:tr>
        <w:trPr>
          <w:trHeight w:val="154"/>
        </w:trPr>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of</w:t>
            </w: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consolidated</w:t>
            </w: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financial position</w:t>
            </w: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31"/>
        </w:trPr>
        <w:tc>
          <w:tcPr>
            <w:tcW w:w="134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recognized</w:t>
            </w:r>
          </w:p>
        </w:tc>
        <w:tc>
          <w:tcPr>
            <w:tcW w:w="132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statement of</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47"/>
        </w:trPr>
        <w:tc>
          <w:tcPr>
            <w:tcW w:w="134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financial</w:t>
            </w: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b w:val="1"/>
                <w:bCs w:val="1"/>
                <w:color w:val="auto"/>
              </w:rPr>
              <w:t>financial</w:t>
            </w:r>
          </w:p>
        </w:tc>
        <w:tc>
          <w:tcPr>
            <w:tcW w:w="114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Financial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Cash collateral</w:t>
            </w:r>
          </w:p>
        </w:tc>
        <w:tc>
          <w:tcPr>
            <w:tcW w:w="1200" w:type="dxa"/>
            <w:vAlign w:val="bottom"/>
          </w:tcPr>
          <w:p>
            <w:pPr>
              <w:spacing w:after="0"/>
              <w:rPr>
                <w:sz w:val="12"/>
                <w:szCs w:val="12"/>
                <w:color w:val="auto"/>
              </w:rPr>
            </w:pPr>
          </w:p>
        </w:tc>
      </w:tr>
      <w:tr>
        <w:trPr>
          <w:trHeight w:val="154"/>
        </w:trPr>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liabilities</w:t>
            </w: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position</w:t>
            </w:r>
          </w:p>
        </w:tc>
        <w:tc>
          <w:tcPr>
            <w:tcW w:w="1140" w:type="dxa"/>
            <w:vAlign w:val="bottom"/>
          </w:tcPr>
          <w:p>
            <w:pPr>
              <w:ind w:left="60"/>
              <w:spacing w:after="0"/>
              <w:rPr>
                <w:sz w:val="20"/>
                <w:szCs w:val="20"/>
                <w:color w:val="auto"/>
              </w:rPr>
            </w:pPr>
            <w:r>
              <w:rPr>
                <w:rFonts w:ascii="Arial" w:cs="Arial" w:eastAsia="Arial" w:hAnsi="Arial"/>
                <w:sz w:val="13"/>
                <w:szCs w:val="13"/>
                <w:b w:val="1"/>
                <w:bCs w:val="1"/>
                <w:color w:val="auto"/>
              </w:rPr>
              <w:t>instruments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b w:val="1"/>
                <w:bCs w:val="1"/>
                <w:color w:val="auto"/>
              </w:rPr>
              <w:t>pledged</w:t>
            </w:r>
          </w:p>
        </w:tc>
        <w:tc>
          <w:tcPr>
            <w:tcW w:w="1200" w:type="dxa"/>
            <w:vAlign w:val="bottom"/>
          </w:tcPr>
          <w:p>
            <w:pPr>
              <w:ind w:left="40"/>
              <w:spacing w:after="0"/>
              <w:rPr>
                <w:sz w:val="20"/>
                <w:szCs w:val="20"/>
                <w:color w:val="auto"/>
              </w:rPr>
            </w:pPr>
            <w:r>
              <w:rPr>
                <w:rFonts w:ascii="Arial" w:cs="Arial" w:eastAsia="Arial" w:hAnsi="Arial"/>
                <w:sz w:val="13"/>
                <w:szCs w:val="13"/>
                <w:b w:val="1"/>
                <w:bCs w:val="1"/>
                <w:color w:val="auto"/>
              </w:rPr>
              <w:t>Net amount</w:t>
            </w:r>
          </w:p>
        </w:tc>
      </w:tr>
      <w:tr>
        <w:trPr>
          <w:trHeight w:val="131"/>
        </w:trPr>
        <w:tc>
          <w:tcPr>
            <w:tcW w:w="12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1"/>
                <w:szCs w:val="11"/>
                <w:color w:val="auto"/>
              </w:rPr>
            </w:pPr>
          </w:p>
        </w:tc>
        <w:tc>
          <w:tcPr>
            <w:tcW w:w="12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1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1"/>
                <w:szCs w:val="11"/>
                <w:color w:val="auto"/>
              </w:rPr>
            </w:pPr>
          </w:p>
        </w:tc>
        <w:tc>
          <w:tcPr>
            <w:tcW w:w="120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S/(000)</w:t>
            </w:r>
          </w:p>
        </w:tc>
      </w:tr>
      <w:tr>
        <w:trPr>
          <w:trHeight w:val="147"/>
        </w:trPr>
        <w:tc>
          <w:tcPr>
            <w:tcW w:w="1220" w:type="dxa"/>
            <w:vAlign w:val="bottom"/>
          </w:tcPr>
          <w:p>
            <w:pPr>
              <w:jc w:val="right"/>
              <w:ind w:right="35"/>
              <w:spacing w:after="0" w:line="147" w:lineRule="exact"/>
              <w:rPr>
                <w:sz w:val="20"/>
                <w:szCs w:val="20"/>
                <w:color w:val="auto"/>
              </w:rPr>
            </w:pPr>
            <w:r>
              <w:rPr>
                <w:rFonts w:ascii="Arial" w:cs="Arial" w:eastAsia="Arial" w:hAnsi="Arial"/>
                <w:sz w:val="13"/>
                <w:szCs w:val="13"/>
                <w:color w:val="auto"/>
              </w:rPr>
              <w:t>1,367,274</w:t>
            </w:r>
          </w:p>
        </w:tc>
        <w:tc>
          <w:tcPr>
            <w:tcW w:w="120" w:type="dxa"/>
            <w:vAlign w:val="bottom"/>
          </w:tcPr>
          <w:p>
            <w:pPr>
              <w:spacing w:after="0"/>
              <w:rPr>
                <w:sz w:val="12"/>
                <w:szCs w:val="12"/>
                <w:color w:val="auto"/>
              </w:rPr>
            </w:pPr>
          </w:p>
        </w:tc>
        <w:tc>
          <w:tcPr>
            <w:tcW w:w="1220" w:type="dxa"/>
            <w:vAlign w:val="bottom"/>
          </w:tcPr>
          <w:p>
            <w:pPr>
              <w:jc w:val="right"/>
              <w:ind w:right="35"/>
              <w:spacing w:after="0" w:line="147" w:lineRule="exact"/>
              <w:rPr>
                <w:sz w:val="20"/>
                <w:szCs w:val="20"/>
                <w:color w:val="auto"/>
              </w:rPr>
            </w:pPr>
            <w:r>
              <w:rPr>
                <w:rFonts w:ascii="Arial" w:cs="Arial" w:eastAsia="Arial" w:hAnsi="Arial"/>
                <w:sz w:val="13"/>
                <w:szCs w:val="13"/>
                <w:color w:val="auto"/>
              </w:rPr>
              <w:t>1,367,274</w:t>
            </w:r>
          </w:p>
        </w:tc>
        <w:tc>
          <w:tcPr>
            <w:tcW w:w="100" w:type="dxa"/>
            <w:vAlign w:val="bottom"/>
          </w:tcPr>
          <w:p>
            <w:pPr>
              <w:spacing w:after="0"/>
              <w:rPr>
                <w:sz w:val="12"/>
                <w:szCs w:val="12"/>
                <w:color w:val="auto"/>
              </w:rPr>
            </w:pPr>
          </w:p>
        </w:tc>
        <w:tc>
          <w:tcPr>
            <w:tcW w:w="1140" w:type="dxa"/>
            <w:vAlign w:val="bottom"/>
          </w:tcPr>
          <w:p>
            <w:pPr>
              <w:jc w:val="right"/>
              <w:spacing w:after="0" w:line="147" w:lineRule="exact"/>
              <w:rPr>
                <w:sz w:val="20"/>
                <w:szCs w:val="20"/>
                <w:color w:val="auto"/>
              </w:rPr>
            </w:pPr>
            <w:r>
              <w:rPr>
                <w:rFonts w:ascii="Arial" w:cs="Arial" w:eastAsia="Arial" w:hAnsi="Arial"/>
                <w:sz w:val="13"/>
                <w:szCs w:val="13"/>
                <w:color w:val="auto"/>
              </w:rPr>
              <w:t>(285,850</w:t>
            </w:r>
          </w:p>
        </w:tc>
        <w:tc>
          <w:tcPr>
            <w:tcW w:w="60" w:type="dxa"/>
            <w:vAlign w:val="bottom"/>
          </w:tcPr>
          <w:p>
            <w:pPr>
              <w:jc w:val="right"/>
              <w:spacing w:after="0" w:line="147"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1200" w:type="dxa"/>
            <w:vAlign w:val="bottom"/>
          </w:tcPr>
          <w:p>
            <w:pPr>
              <w:jc w:val="right"/>
              <w:spacing w:after="0" w:line="147" w:lineRule="exact"/>
              <w:rPr>
                <w:sz w:val="20"/>
                <w:szCs w:val="20"/>
                <w:color w:val="auto"/>
              </w:rPr>
            </w:pPr>
            <w:r>
              <w:rPr>
                <w:rFonts w:ascii="Arial" w:cs="Arial" w:eastAsia="Arial" w:hAnsi="Arial"/>
                <w:sz w:val="13"/>
                <w:szCs w:val="13"/>
                <w:color w:val="auto"/>
              </w:rPr>
              <w:t>(184,378 )</w:t>
            </w:r>
          </w:p>
        </w:tc>
        <w:tc>
          <w:tcPr>
            <w:tcW w:w="100" w:type="dxa"/>
            <w:vAlign w:val="bottom"/>
          </w:tcPr>
          <w:p>
            <w:pPr>
              <w:spacing w:after="0"/>
              <w:rPr>
                <w:sz w:val="12"/>
                <w:szCs w:val="12"/>
                <w:color w:val="auto"/>
              </w:rPr>
            </w:pPr>
          </w:p>
        </w:tc>
        <w:tc>
          <w:tcPr>
            <w:tcW w:w="1200" w:type="dxa"/>
            <w:vAlign w:val="bottom"/>
          </w:tcPr>
          <w:p>
            <w:pPr>
              <w:jc w:val="right"/>
              <w:ind w:right="35"/>
              <w:spacing w:after="0" w:line="147" w:lineRule="exact"/>
              <w:rPr>
                <w:sz w:val="20"/>
                <w:szCs w:val="20"/>
                <w:color w:val="auto"/>
              </w:rPr>
            </w:pPr>
            <w:r>
              <w:rPr>
                <w:rFonts w:ascii="Arial" w:cs="Arial" w:eastAsia="Arial" w:hAnsi="Arial"/>
                <w:sz w:val="13"/>
                <w:szCs w:val="13"/>
                <w:color w:val="auto"/>
              </w:rPr>
              <w:t>897,046</w:t>
            </w:r>
          </w:p>
        </w:tc>
      </w:tr>
      <w:tr>
        <w:trPr>
          <w:trHeight w:val="167"/>
        </w:trPr>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12,966,725</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12,966,725</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(10,655,534</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(649,769 )</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1,661,422</w:t>
            </w:r>
          </w:p>
        </w:tc>
      </w:tr>
      <w:tr>
        <w:trPr>
          <w:trHeight w:val="143"/>
        </w:trPr>
        <w:tc>
          <w:tcPr>
            <w:tcW w:w="1220" w:type="dxa"/>
            <w:vAlign w:val="bottom"/>
            <w:tcBorders>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14,333,999</w:t>
            </w:r>
          </w:p>
        </w:tc>
        <w:tc>
          <w:tcPr>
            <w:tcW w:w="120" w:type="dxa"/>
            <w:vAlign w:val="bottom"/>
          </w:tcPr>
          <w:p>
            <w:pPr>
              <w:spacing w:after="0"/>
              <w:rPr>
                <w:sz w:val="12"/>
                <w:szCs w:val="12"/>
                <w:color w:val="auto"/>
              </w:rPr>
            </w:pPr>
          </w:p>
        </w:tc>
        <w:tc>
          <w:tcPr>
            <w:tcW w:w="1220" w:type="dxa"/>
            <w:vAlign w:val="bottom"/>
            <w:tcBorders>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14,333,999</w:t>
            </w: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(10,941,384</w:t>
            </w:r>
          </w:p>
        </w:tc>
        <w:tc>
          <w:tcPr>
            <w:tcW w:w="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(834,147 )</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2,558,468</w:t>
            </w:r>
          </w:p>
        </w:tc>
      </w:tr>
    </w:tbl>
    <w:p>
      <w:pPr>
        <w:spacing w:after="0" w:line="166" w:lineRule="exact"/>
        <w:rPr>
          <w:sz w:val="20"/>
          <w:szCs w:val="20"/>
          <w:color w:val="auto"/>
        </w:rPr>
      </w:pPr>
    </w:p>
    <w:p>
      <w:pPr>
        <w:sectPr>
          <w:pgSz w:w="11900" w:h="16838" w:orient="portrait"/>
          <w:cols w:equalWidth="0" w:num="2">
            <w:col w:w="3443" w:space="220"/>
            <w:col w:w="6700"/>
          </w:cols>
          <w:pgMar w:left="1197" w:top="306" w:right="339" w:bottom="1440" w:gutter="0" w:footer="0" w:header="0"/>
          <w:type w:val="continuous"/>
        </w:sectPr>
      </w:pPr>
    </w:p>
    <w:p>
      <w:pPr>
        <w:ind w:left="3"/>
        <w:spacing w:after="0" w:line="280" w:lineRule="auto"/>
        <w:rPr>
          <w:sz w:val="20"/>
          <w:szCs w:val="20"/>
          <w:color w:val="auto"/>
        </w:rPr>
      </w:pPr>
      <w:r>
        <w:rPr>
          <w:rFonts w:ascii="Arial" w:cs="Arial" w:eastAsia="Arial" w:hAnsi="Arial"/>
          <w:sz w:val="16"/>
          <w:szCs w:val="16"/>
          <w:color w:val="auto"/>
        </w:rPr>
        <w:t>The gross amounts of financial assets and liabilities disclosed in the above tables have been measured in the statement of financial position on the following basis:</w:t>
      </w:r>
    </w:p>
    <w:p>
      <w:pPr>
        <w:spacing w:after="0" w:line="120" w:lineRule="exact"/>
        <w:rPr>
          <w:sz w:val="20"/>
          <w:szCs w:val="20"/>
          <w:color w:val="auto"/>
        </w:rPr>
      </w:pPr>
    </w:p>
    <w:p>
      <w:pPr>
        <w:ind w:left="303" w:hanging="303"/>
        <w:spacing w:after="0"/>
        <w:tabs>
          <w:tab w:leader="none" w:pos="303" w:val="left"/>
        </w:tabs>
        <w:numPr>
          <w:ilvl w:val="0"/>
          <w:numId w:val="191"/>
        </w:numPr>
        <w:rPr>
          <w:rFonts w:ascii="Arial" w:cs="Arial" w:eastAsia="Arial" w:hAnsi="Arial"/>
          <w:sz w:val="16"/>
          <w:szCs w:val="16"/>
          <w:color w:val="auto"/>
        </w:rPr>
      </w:pPr>
      <w:r>
        <w:rPr>
          <w:rFonts w:ascii="Arial" w:cs="Arial" w:eastAsia="Arial" w:hAnsi="Arial"/>
          <w:sz w:val="16"/>
          <w:szCs w:val="16"/>
          <w:color w:val="auto"/>
        </w:rPr>
        <w:t>Derivative assets and liabilities are measured at fair value.</w:t>
      </w:r>
    </w:p>
    <w:p>
      <w:pPr>
        <w:spacing w:after="0" w:line="15" w:lineRule="exact"/>
        <w:rPr>
          <w:rFonts w:ascii="Arial" w:cs="Arial" w:eastAsia="Arial" w:hAnsi="Arial"/>
          <w:sz w:val="16"/>
          <w:szCs w:val="16"/>
          <w:color w:val="auto"/>
        </w:rPr>
      </w:pPr>
    </w:p>
    <w:p>
      <w:pPr>
        <w:ind w:left="303" w:hanging="303"/>
        <w:spacing w:after="0"/>
        <w:tabs>
          <w:tab w:leader="none" w:pos="303" w:val="left"/>
        </w:tabs>
        <w:numPr>
          <w:ilvl w:val="0"/>
          <w:numId w:val="191"/>
        </w:numPr>
        <w:rPr>
          <w:rFonts w:ascii="Arial" w:cs="Arial" w:eastAsia="Arial" w:hAnsi="Arial"/>
          <w:sz w:val="16"/>
          <w:szCs w:val="16"/>
          <w:color w:val="auto"/>
        </w:rPr>
      </w:pPr>
      <w:r>
        <w:rPr>
          <w:rFonts w:ascii="Arial" w:cs="Arial" w:eastAsia="Arial" w:hAnsi="Arial"/>
          <w:sz w:val="16"/>
          <w:szCs w:val="16"/>
          <w:color w:val="auto"/>
        </w:rPr>
        <w:t>Receivables from reverse repurchase agreements and securities lending are measured at amortized cost.</w:t>
      </w:r>
    </w:p>
    <w:p>
      <w:pPr>
        <w:ind w:left="303" w:hanging="303"/>
        <w:spacing w:after="0"/>
        <w:tabs>
          <w:tab w:leader="none" w:pos="303" w:val="left"/>
        </w:tabs>
        <w:numPr>
          <w:ilvl w:val="0"/>
          <w:numId w:val="191"/>
        </w:numPr>
        <w:rPr>
          <w:rFonts w:ascii="Arial" w:cs="Arial" w:eastAsia="Arial" w:hAnsi="Arial"/>
          <w:sz w:val="16"/>
          <w:szCs w:val="16"/>
          <w:color w:val="auto"/>
        </w:rPr>
      </w:pPr>
      <w:r>
        <w:rPr>
          <w:rFonts w:ascii="Arial" w:cs="Arial" w:eastAsia="Arial" w:hAnsi="Arial"/>
          <w:sz w:val="16"/>
          <w:szCs w:val="16"/>
          <w:color w:val="auto"/>
        </w:rPr>
        <w:t>Financial liabilities are measured at fair value.</w:t>
      </w:r>
    </w:p>
    <w:p>
      <w:pPr>
        <w:spacing w:after="0" w:line="167" w:lineRule="exact"/>
        <w:rPr>
          <w:sz w:val="20"/>
          <w:szCs w:val="20"/>
          <w:color w:val="auto"/>
        </w:rPr>
      </w:pPr>
    </w:p>
    <w:p>
      <w:pPr>
        <w:ind w:left="3" w:right="40"/>
        <w:spacing w:after="0" w:line="252" w:lineRule="auto"/>
        <w:rPr>
          <w:sz w:val="20"/>
          <w:szCs w:val="20"/>
          <w:color w:val="auto"/>
        </w:rPr>
      </w:pPr>
      <w:r>
        <w:rPr>
          <w:rFonts w:ascii="Arial" w:cs="Arial" w:eastAsia="Arial" w:hAnsi="Arial"/>
          <w:sz w:val="16"/>
          <w:szCs w:val="16"/>
          <w:color w:val="auto"/>
        </w:rPr>
        <w:t>The difference between the carrying amount in the consolidated statement of financial position and the amounts presented in the tables above for derivatives (presented in other assets Note 12(c)), receivables from reverse repurchase agreement and securities borrowing and payables from repurchase agreements and securities lending and financial liabilities measured at fair value through profit or loss are financial instruments outside of the scope of offsetting disclosure.</w:t>
      </w:r>
    </w:p>
    <w:p>
      <w:pPr>
        <w:spacing w:after="0" w:line="302" w:lineRule="exact"/>
        <w:rPr>
          <w:sz w:val="20"/>
          <w:szCs w:val="20"/>
          <w:color w:val="auto"/>
        </w:rPr>
      </w:pPr>
    </w:p>
    <w:p>
      <w:pPr>
        <w:ind w:left="4583"/>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63"/>
          </w:cols>
          <w:pgMar w:left="1197" w:top="306" w:right="339" w:bottom="1440" w:gutter="0" w:footer="0" w:header="0"/>
          <w:type w:val="continuous"/>
        </w:sectPr>
      </w:pPr>
    </w:p>
    <w:bookmarkStart w:id="162" w:name="page163"/>
    <w:bookmarkEnd w:id="162"/>
    <w:p>
      <w:pPr>
        <w:spacing w:after="0"/>
        <w:tabs>
          <w:tab w:leader="none" w:pos="560" w:val="left"/>
        </w:tabs>
        <w:rPr>
          <w:sz w:val="20"/>
          <w:szCs w:val="20"/>
          <w:color w:val="auto"/>
        </w:rPr>
      </w:pPr>
      <w:r>
        <w:rPr>
          <w:rFonts w:ascii="Arial" w:cs="Arial" w:eastAsia="Arial" w:hAnsi="Arial"/>
          <w:sz w:val="16"/>
          <w:szCs w:val="16"/>
          <w:b w:val="1"/>
          <w:bCs w:val="1"/>
          <w:color w:val="auto"/>
        </w:rPr>
        <w:t>30.2</w:t>
        <w:tab/>
        <w:t>Market risk -</w:t>
      </w:r>
    </w:p>
    <w:p>
      <w:pPr>
        <w:spacing w:after="0" w:line="183" w:lineRule="exact"/>
        <w:rPr>
          <w:sz w:val="20"/>
          <w:szCs w:val="20"/>
          <w:color w:val="auto"/>
        </w:rPr>
      </w:pPr>
    </w:p>
    <w:p>
      <w:pPr>
        <w:ind w:left="580" w:right="300"/>
        <w:spacing w:after="0" w:line="249" w:lineRule="auto"/>
        <w:rPr>
          <w:sz w:val="20"/>
          <w:szCs w:val="20"/>
          <w:color w:val="auto"/>
        </w:rPr>
      </w:pPr>
      <w:r>
        <w:rPr>
          <w:rFonts w:ascii="Arial" w:cs="Arial" w:eastAsia="Arial" w:hAnsi="Arial"/>
          <w:sz w:val="16"/>
          <w:szCs w:val="16"/>
          <w:color w:val="auto"/>
        </w:rPr>
        <w:t>The Group has exposure to market risk,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order of the Group’s current activities, commodity price risk has not been approved, so this type of instrument is not agreed.</w:t>
      </w:r>
    </w:p>
    <w:p>
      <w:pPr>
        <w:spacing w:after="0" w:line="145" w:lineRule="exact"/>
        <w:rPr>
          <w:sz w:val="20"/>
          <w:szCs w:val="20"/>
          <w:color w:val="auto"/>
        </w:rPr>
      </w:pPr>
    </w:p>
    <w:p>
      <w:pPr>
        <w:ind w:left="580" w:right="20"/>
        <w:spacing w:after="0" w:line="252" w:lineRule="auto"/>
        <w:rPr>
          <w:sz w:val="20"/>
          <w:szCs w:val="20"/>
          <w:color w:val="auto"/>
        </w:rPr>
      </w:pPr>
      <w:r>
        <w:rPr>
          <w:rFonts w:ascii="Arial" w:cs="Arial" w:eastAsia="Arial" w:hAnsi="Arial"/>
          <w:sz w:val="16"/>
          <w:szCs w:val="16"/>
          <w:color w:val="auto"/>
        </w:rPr>
        <w:t>The Group separates exposures to market risk in two groups: (i) those that arise from value fluctuation of trading portfolios recognized at fair value through profit or loss due to movements of market rates or prices (Trading Book) and (ii) those that arise from changes in the structural positions of non-trading portfolios due to movements of the interest rates, prices and foreign exchange ratios (Banking Book) and that are recorded at amortized cost and at fair value with changes in other comprehensive income, this is due to movements in interest rates, prices and currency exchange rates.</w:t>
      </w:r>
    </w:p>
    <w:p>
      <w:pPr>
        <w:spacing w:after="0" w:line="144" w:lineRule="exact"/>
        <w:rPr>
          <w:sz w:val="20"/>
          <w:szCs w:val="20"/>
          <w:color w:val="auto"/>
        </w:rPr>
      </w:pPr>
    </w:p>
    <w:p>
      <w:pPr>
        <w:ind w:left="580"/>
        <w:spacing w:after="0" w:line="280" w:lineRule="auto"/>
        <w:rPr>
          <w:sz w:val="20"/>
          <w:szCs w:val="20"/>
          <w:color w:val="auto"/>
        </w:rPr>
      </w:pPr>
      <w:r>
        <w:rPr>
          <w:rFonts w:ascii="Arial" w:cs="Arial" w:eastAsia="Arial" w:hAnsi="Arial"/>
          <w:sz w:val="16"/>
          <w:szCs w:val="16"/>
          <w:color w:val="auto"/>
        </w:rPr>
        <w:t>The risks that trading portfolios face are managed through Value at Risk (VaR) historical simulation techniques; while non-trading portfolios (Banking Book) are monitored using rate sensitivity metrics, which are a part of Asset and Liability Management (ALM).</w:t>
      </w:r>
    </w:p>
    <w:p>
      <w:pPr>
        <w:spacing w:after="0" w:line="120" w:lineRule="exact"/>
        <w:rPr>
          <w:sz w:val="20"/>
          <w:szCs w:val="20"/>
          <w:color w:val="auto"/>
        </w:rPr>
      </w:pPr>
    </w:p>
    <w:p>
      <w:pPr>
        <w:ind w:left="880" w:hanging="296"/>
        <w:spacing w:after="0"/>
        <w:tabs>
          <w:tab w:leader="none" w:pos="8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Trading Book –</w:t>
      </w:r>
    </w:p>
    <w:p>
      <w:pPr>
        <w:spacing w:after="0" w:line="182" w:lineRule="exact"/>
        <w:rPr>
          <w:rFonts w:ascii="Arial" w:cs="Arial" w:eastAsia="Arial" w:hAnsi="Arial"/>
          <w:sz w:val="16"/>
          <w:szCs w:val="16"/>
          <w:color w:val="auto"/>
        </w:rPr>
      </w:pPr>
    </w:p>
    <w:p>
      <w:pPr>
        <w:ind w:left="880" w:right="280"/>
        <w:spacing w:after="0" w:line="259" w:lineRule="auto"/>
        <w:rPr>
          <w:rFonts w:ascii="Arial" w:cs="Arial" w:eastAsia="Arial" w:hAnsi="Arial"/>
          <w:sz w:val="16"/>
          <w:szCs w:val="16"/>
          <w:color w:val="auto"/>
        </w:rPr>
      </w:pPr>
      <w:r>
        <w:rPr>
          <w:rFonts w:ascii="Arial" w:cs="Arial" w:eastAsia="Arial" w:hAnsi="Arial"/>
          <w:sz w:val="16"/>
          <w:szCs w:val="16"/>
          <w:color w:val="auto"/>
        </w:rPr>
        <w:t>The trading book is characterized for having liquid positions in stocks, bonds, foreign currencies and derivatives, arising from market-making transactions where the Group acts as principal with the customers or with the market. This portfolio includes investments and derivatives classified by Management as held for trading.</w:t>
      </w:r>
    </w:p>
    <w:p>
      <w:pPr>
        <w:spacing w:after="0" w:line="137" w:lineRule="exact"/>
        <w:rPr>
          <w:sz w:val="20"/>
          <w:szCs w:val="20"/>
          <w:color w:val="auto"/>
        </w:rPr>
      </w:pPr>
    </w:p>
    <w:p>
      <w:pPr>
        <w:ind w:left="880"/>
        <w:spacing w:after="0"/>
        <w:tabs>
          <w:tab w:leader="none" w:pos="1160" w:val="left"/>
        </w:tabs>
        <w:rPr>
          <w:sz w:val="20"/>
          <w:szCs w:val="20"/>
          <w:color w:val="auto"/>
        </w:rPr>
      </w:pPr>
      <w:r>
        <w:rPr>
          <w:rFonts w:ascii="Arial" w:cs="Arial" w:eastAsia="Arial" w:hAnsi="Arial"/>
          <w:sz w:val="16"/>
          <w:szCs w:val="16"/>
          <w:color w:val="auto"/>
        </w:rPr>
        <w:t>(i)</w:t>
        <w:tab/>
        <w:t>Value at Risk (VaR) –</w:t>
      </w:r>
    </w:p>
    <w:p>
      <w:pPr>
        <w:spacing w:after="0" w:line="183" w:lineRule="exact"/>
        <w:rPr>
          <w:sz w:val="20"/>
          <w:szCs w:val="20"/>
          <w:color w:val="auto"/>
        </w:rPr>
      </w:pPr>
    </w:p>
    <w:p>
      <w:pPr>
        <w:ind w:left="1460" w:right="340"/>
        <w:spacing w:after="0" w:line="259" w:lineRule="auto"/>
        <w:rPr>
          <w:sz w:val="20"/>
          <w:szCs w:val="20"/>
          <w:color w:val="auto"/>
        </w:rPr>
      </w:pPr>
      <w:r>
        <w:rPr>
          <w:rFonts w:ascii="Arial" w:cs="Arial" w:eastAsia="Arial" w:hAnsi="Arial"/>
          <w:sz w:val="16"/>
          <w:szCs w:val="16"/>
          <w:color w:val="auto"/>
        </w:rPr>
        <w:t>The Group applies the VaR approach to its trading portfolio to estimate the market risk of the main positions held and the maximum losses that are expected, based upon a number of assumptions for various changes in market conditions and considering the risk appetite of the subsidiary.</w:t>
      </w:r>
    </w:p>
    <w:p>
      <w:pPr>
        <w:spacing w:after="0" w:line="137" w:lineRule="exact"/>
        <w:rPr>
          <w:sz w:val="20"/>
          <w:szCs w:val="20"/>
          <w:color w:val="auto"/>
        </w:rPr>
      </w:pPr>
    </w:p>
    <w:p>
      <w:pPr>
        <w:ind w:left="1460" w:right="360"/>
        <w:spacing w:after="0" w:line="280" w:lineRule="auto"/>
        <w:rPr>
          <w:sz w:val="20"/>
          <w:szCs w:val="20"/>
          <w:color w:val="auto"/>
        </w:rPr>
      </w:pPr>
      <w:r>
        <w:rPr>
          <w:rFonts w:ascii="Arial" w:cs="Arial" w:eastAsia="Arial" w:hAnsi="Arial"/>
          <w:sz w:val="16"/>
          <w:szCs w:val="16"/>
          <w:color w:val="auto"/>
        </w:rPr>
        <w:t>Daily calculation of VaR is a statistically-based estimate of the maximum potential loss on the current portfolio from adverse market movements.</w:t>
      </w:r>
    </w:p>
    <w:p>
      <w:pPr>
        <w:spacing w:after="0" w:line="120" w:lineRule="exact"/>
        <w:rPr>
          <w:sz w:val="20"/>
          <w:szCs w:val="20"/>
          <w:color w:val="auto"/>
        </w:rPr>
      </w:pPr>
    </w:p>
    <w:p>
      <w:pPr>
        <w:ind w:left="1460" w:right="60"/>
        <w:spacing w:after="0" w:line="259" w:lineRule="auto"/>
        <w:rPr>
          <w:sz w:val="20"/>
          <w:szCs w:val="20"/>
          <w:color w:val="auto"/>
        </w:rPr>
      </w:pPr>
      <w:r>
        <w:rPr>
          <w:rFonts w:ascii="Arial" w:cs="Arial" w:eastAsia="Arial" w:hAnsi="Arial"/>
          <w:sz w:val="16"/>
          <w:szCs w:val="16"/>
          <w:color w:val="auto"/>
        </w:rPr>
        <w:t>VaR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37" w:lineRule="exact"/>
        <w:rPr>
          <w:sz w:val="20"/>
          <w:szCs w:val="20"/>
          <w:color w:val="auto"/>
        </w:rPr>
      </w:pPr>
    </w:p>
    <w:p>
      <w:pPr>
        <w:ind w:left="1460" w:right="300"/>
        <w:spacing w:after="0" w:line="249" w:lineRule="auto"/>
        <w:rPr>
          <w:sz w:val="20"/>
          <w:szCs w:val="20"/>
          <w:color w:val="auto"/>
        </w:rPr>
      </w:pPr>
      <w:r>
        <w:rPr>
          <w:rFonts w:ascii="Arial" w:cs="Arial" w:eastAsia="Arial" w:hAnsi="Arial"/>
          <w:sz w:val="16"/>
          <w:szCs w:val="16"/>
          <w:color w:val="auto"/>
        </w:rPr>
        <w:t>The time horizon used to calculate VaR is one day; however, the one-day VAR is amplified to a 10-day time frame and calculated multiplying the one-day VaR by the square root of 10. This adjustment will be accurate only if the changes in the portfolio in the following days have a normal distribution independent and identically distributed; because of that, the result is multiplied by a non-normality adjustment factor. The limits and consumptions of the VaR are established on the basis of the risk appetite and the trading strategies of each subsidiary.</w:t>
      </w:r>
    </w:p>
    <w:p>
      <w:pPr>
        <w:spacing w:after="0" w:line="145" w:lineRule="exact"/>
        <w:rPr>
          <w:sz w:val="20"/>
          <w:szCs w:val="20"/>
          <w:color w:val="auto"/>
        </w:rPr>
      </w:pPr>
    </w:p>
    <w:p>
      <w:pPr>
        <w:ind w:left="1460" w:right="200"/>
        <w:spacing w:after="0" w:line="280" w:lineRule="auto"/>
        <w:rPr>
          <w:sz w:val="20"/>
          <w:szCs w:val="20"/>
          <w:color w:val="auto"/>
        </w:rPr>
      </w:pPr>
      <w:r>
        <w:rPr>
          <w:rFonts w:ascii="Arial" w:cs="Arial" w:eastAsia="Arial" w:hAnsi="Arial"/>
          <w:sz w:val="16"/>
          <w:szCs w:val="16"/>
          <w:color w:val="auto"/>
        </w:rPr>
        <w:t>The evaluation of the movements of the trading portfolio has been based on annual historical information and 129 market risk factors, which are detailed below: 45 market curves, 43 stock prices, 37 mutual fund values and 4 series of volatility.</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63" w:name="page164"/>
    <w:bookmarkEnd w:id="163"/>
    <w:p>
      <w:pPr>
        <w:ind w:left="876" w:right="700"/>
        <w:spacing w:after="0" w:line="280" w:lineRule="auto"/>
        <w:rPr>
          <w:sz w:val="20"/>
          <w:szCs w:val="20"/>
          <w:color w:val="auto"/>
        </w:rPr>
      </w:pPr>
      <w:r>
        <w:rPr>
          <w:rFonts w:ascii="Arial" w:cs="Arial" w:eastAsia="Arial" w:hAnsi="Arial"/>
          <w:sz w:val="16"/>
          <w:szCs w:val="16"/>
          <w:color w:val="auto"/>
        </w:rPr>
        <w:t>The Group directly applies these historical changes in rates to each position in its current portfolio (method known as historical simulation).</w:t>
      </w:r>
    </w:p>
    <w:p>
      <w:pPr>
        <w:spacing w:after="0" w:line="120" w:lineRule="exact"/>
        <w:rPr>
          <w:sz w:val="20"/>
          <w:szCs w:val="20"/>
          <w:color w:val="auto"/>
        </w:rPr>
      </w:pPr>
    </w:p>
    <w:p>
      <w:pPr>
        <w:ind w:left="876" w:right="200"/>
        <w:spacing w:after="0" w:line="280" w:lineRule="auto"/>
        <w:rPr>
          <w:sz w:val="20"/>
          <w:szCs w:val="20"/>
          <w:color w:val="auto"/>
        </w:rPr>
      </w:pPr>
      <w:r>
        <w:rPr>
          <w:rFonts w:ascii="Arial" w:cs="Arial" w:eastAsia="Arial" w:hAnsi="Arial"/>
          <w:sz w:val="16"/>
          <w:szCs w:val="16"/>
          <w:color w:val="auto"/>
        </w:rPr>
        <w:t>The Group Management considers that the market risk factors, incorporated in their VaR model, are adequate to measure the market risk to which its trading portfolio is exposed.</w:t>
      </w:r>
    </w:p>
    <w:p>
      <w:pPr>
        <w:spacing w:after="0" w:line="120" w:lineRule="exact"/>
        <w:rPr>
          <w:sz w:val="20"/>
          <w:szCs w:val="20"/>
          <w:color w:val="auto"/>
        </w:rPr>
      </w:pPr>
    </w:p>
    <w:p>
      <w:pPr>
        <w:ind w:left="876" w:right="320"/>
        <w:spacing w:after="0" w:line="280" w:lineRule="auto"/>
        <w:rPr>
          <w:sz w:val="20"/>
          <w:szCs w:val="20"/>
          <w:color w:val="auto"/>
        </w:rPr>
      </w:pPr>
      <w:r>
        <w:rPr>
          <w:rFonts w:ascii="Arial" w:cs="Arial" w:eastAsia="Arial" w:hAnsi="Arial"/>
          <w:sz w:val="16"/>
          <w:szCs w:val="16"/>
          <w:color w:val="auto"/>
        </w:rPr>
        <w:t>The use of this approach does not prevent losses outside of these limits in the event of more significant market movements. Losses exceeding the VaR figure may occur, on average under normal market conditions, not more than once every hundred days.</w:t>
      </w:r>
    </w:p>
    <w:p>
      <w:pPr>
        <w:spacing w:after="0" w:line="120" w:lineRule="exact"/>
        <w:rPr>
          <w:sz w:val="20"/>
          <w:szCs w:val="20"/>
          <w:color w:val="auto"/>
        </w:rPr>
      </w:pPr>
    </w:p>
    <w:p>
      <w:pPr>
        <w:ind w:left="876" w:right="120"/>
        <w:spacing w:after="0" w:line="259" w:lineRule="auto"/>
        <w:rPr>
          <w:sz w:val="20"/>
          <w:szCs w:val="20"/>
          <w:color w:val="auto"/>
        </w:rPr>
      </w:pPr>
      <w:r>
        <w:rPr>
          <w:rFonts w:ascii="Arial" w:cs="Arial" w:eastAsia="Arial" w:hAnsi="Arial"/>
          <w:sz w:val="16"/>
          <w:szCs w:val="16"/>
          <w:color w:val="auto"/>
        </w:rPr>
        <w:t>VaR limits have been established to control and keep track of all the risks taken. These risks arise from the size of the positions and/or the volatility of the risk factors embedded in each financial instrument. Regular reports are prepared for the Treasury Risk Committee and ALM, the Risk Management Committee and Senior Management.</w:t>
      </w:r>
    </w:p>
    <w:p>
      <w:pPr>
        <w:spacing w:after="0" w:line="137" w:lineRule="exact"/>
        <w:rPr>
          <w:sz w:val="20"/>
          <w:szCs w:val="20"/>
          <w:color w:val="auto"/>
        </w:rPr>
      </w:pPr>
    </w:p>
    <w:p>
      <w:pPr>
        <w:ind w:left="876" w:right="20"/>
        <w:spacing w:after="0" w:line="259" w:lineRule="auto"/>
        <w:rPr>
          <w:sz w:val="20"/>
          <w:szCs w:val="20"/>
          <w:color w:val="auto"/>
        </w:rPr>
      </w:pPr>
      <w:r>
        <w:rPr>
          <w:rFonts w:ascii="Arial" w:cs="Arial" w:eastAsia="Arial" w:hAnsi="Arial"/>
          <w:sz w:val="16"/>
          <w:szCs w:val="16"/>
          <w:color w:val="auto"/>
        </w:rPr>
        <w:t>VaR results are used to generate economic capital estimates by market risk, which are periodically monitored and are part of the overall risk appetite of each subsidiary. Furthermore, at Group level, there is also a limit to the risk appetite of the trading portfolio, which is monitored and informed to the Treasury Risks and ALM Corporate Committee.</w:t>
      </w:r>
    </w:p>
    <w:p>
      <w:pPr>
        <w:spacing w:after="0" w:line="137" w:lineRule="exact"/>
        <w:rPr>
          <w:sz w:val="20"/>
          <w:szCs w:val="20"/>
          <w:color w:val="auto"/>
        </w:rPr>
      </w:pPr>
    </w:p>
    <w:p>
      <w:pPr>
        <w:ind w:left="876" w:right="240"/>
        <w:spacing w:after="0" w:line="280" w:lineRule="auto"/>
        <w:rPr>
          <w:sz w:val="20"/>
          <w:szCs w:val="20"/>
          <w:color w:val="auto"/>
        </w:rPr>
      </w:pPr>
      <w:r>
        <w:rPr>
          <w:rFonts w:ascii="Arial" w:cs="Arial" w:eastAsia="Arial" w:hAnsi="Arial"/>
          <w:sz w:val="16"/>
          <w:szCs w:val="16"/>
          <w:color w:val="auto"/>
        </w:rPr>
        <w:t>In VaR calculation, the effects of the exchange rate are not included because said effects are measured in the net monetary position, see note 30.2(b)(ii).</w:t>
      </w:r>
    </w:p>
    <w:p>
      <w:pPr>
        <w:spacing w:after="0" w:line="120" w:lineRule="exact"/>
        <w:rPr>
          <w:sz w:val="20"/>
          <w:szCs w:val="20"/>
          <w:color w:val="auto"/>
        </w:rPr>
      </w:pPr>
    </w:p>
    <w:p>
      <w:pPr>
        <w:ind w:left="876" w:right="160"/>
        <w:spacing w:after="0" w:line="259" w:lineRule="auto"/>
        <w:rPr>
          <w:sz w:val="20"/>
          <w:szCs w:val="20"/>
          <w:color w:val="auto"/>
        </w:rPr>
      </w:pPr>
      <w:r>
        <w:rPr>
          <w:rFonts w:ascii="Arial" w:cs="Arial" w:eastAsia="Arial" w:hAnsi="Arial"/>
          <w:sz w:val="16"/>
          <w:szCs w:val="16"/>
          <w:color w:val="auto"/>
        </w:rPr>
        <w:t>The Group’s VaR showed a decrease as of December 31, 2023, mainly due to lower interest rate risk due to a lower sensitive amount of the portfolio and the registration of fewer upward rate shocks during the last year. The VaR remained contained within the risk appetite limits established by the Risk Management of each Subsidiary.</w:t>
      </w:r>
    </w:p>
    <w:p>
      <w:pPr>
        <w:spacing w:after="0" w:line="137" w:lineRule="exact"/>
        <w:rPr>
          <w:sz w:val="20"/>
          <w:szCs w:val="20"/>
          <w:color w:val="auto"/>
        </w:rPr>
      </w:pPr>
    </w:p>
    <w:tbl>
      <w:tblPr>
        <w:tblLayout w:type="fixed"/>
        <w:tblInd w:w="296" w:type="dxa"/>
        <w:tblCellMar>
          <w:top w:w="0" w:type="dxa"/>
          <w:left w:w="0" w:type="dxa"/>
          <w:bottom w:w="0" w:type="dxa"/>
          <w:right w:w="0" w:type="dxa"/>
        </w:tblCellMar>
      </w:tblPr>
      <w:tr>
        <w:trPr>
          <w:trHeight w:val="215"/>
        </w:trPr>
        <w:tc>
          <w:tcPr>
            <w:tcW w:w="5840" w:type="dxa"/>
            <w:vAlign w:val="bottom"/>
          </w:tcPr>
          <w:p>
            <w:pPr>
              <w:spacing w:after="0"/>
              <w:rPr>
                <w:sz w:val="20"/>
                <w:szCs w:val="20"/>
                <w:color w:val="auto"/>
              </w:rPr>
            </w:pPr>
            <w:r>
              <w:rPr>
                <w:rFonts w:ascii="Arial" w:cs="Arial" w:eastAsia="Arial" w:hAnsi="Arial"/>
                <w:sz w:val="16"/>
                <w:szCs w:val="16"/>
                <w:color w:val="auto"/>
              </w:rPr>
              <w:t>As of December 31, 2023 and 2022, the Group’s VaR by risk type is as follows: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63"/>
        </w:trPr>
        <w:tc>
          <w:tcPr>
            <w:tcW w:w="5840" w:type="dxa"/>
            <w:vAlign w:val="bottom"/>
          </w:tcPr>
          <w:p>
            <w:pPr>
              <w:spacing w:after="0"/>
              <w:rPr>
                <w:sz w:val="24"/>
                <w:szCs w:val="24"/>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4"/>
                <w:szCs w:val="24"/>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r>
      <w:tr>
        <w:trPr>
          <w:trHeight w:val="216"/>
        </w:trPr>
        <w:tc>
          <w:tcPr>
            <w:tcW w:w="584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S/(000)</w:t>
            </w:r>
          </w:p>
        </w:tc>
      </w:tr>
      <w:tr>
        <w:trPr>
          <w:trHeight w:val="310"/>
        </w:trPr>
        <w:tc>
          <w:tcPr>
            <w:tcW w:w="5840" w:type="dxa"/>
            <w:vAlign w:val="bottom"/>
          </w:tcPr>
          <w:p>
            <w:pPr>
              <w:ind w:left="40"/>
              <w:spacing w:after="0"/>
              <w:rPr>
                <w:sz w:val="20"/>
                <w:szCs w:val="20"/>
                <w:color w:val="auto"/>
              </w:rPr>
            </w:pPr>
            <w:r>
              <w:rPr>
                <w:rFonts w:ascii="Arial" w:cs="Arial" w:eastAsia="Arial" w:hAnsi="Arial"/>
                <w:sz w:val="16"/>
                <w:szCs w:val="16"/>
                <w:color w:val="auto"/>
              </w:rPr>
              <w:t>Interest rate risk</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29,399</w:t>
            </w:r>
          </w:p>
        </w:tc>
        <w:tc>
          <w:tcPr>
            <w:tcW w:w="6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74,343</w:t>
            </w:r>
          </w:p>
        </w:tc>
      </w:tr>
      <w:tr>
        <w:trPr>
          <w:trHeight w:val="183"/>
        </w:trPr>
        <w:tc>
          <w:tcPr>
            <w:tcW w:w="5840" w:type="dxa"/>
            <w:vAlign w:val="bottom"/>
          </w:tcPr>
          <w:p>
            <w:pPr>
              <w:ind w:left="40"/>
              <w:spacing w:after="0"/>
              <w:rPr>
                <w:sz w:val="20"/>
                <w:szCs w:val="20"/>
                <w:color w:val="auto"/>
              </w:rPr>
            </w:pPr>
            <w:r>
              <w:rPr>
                <w:rFonts w:ascii="Arial" w:cs="Arial" w:eastAsia="Arial" w:hAnsi="Arial"/>
                <w:sz w:val="16"/>
                <w:szCs w:val="16"/>
                <w:color w:val="auto"/>
              </w:rPr>
              <w:t>Price risk</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5,291</w:t>
            </w:r>
          </w:p>
        </w:tc>
        <w:tc>
          <w:tcPr>
            <w:tcW w:w="60" w:type="dxa"/>
            <w:vAlign w:val="bottom"/>
          </w:tcPr>
          <w:p>
            <w:pPr>
              <w:spacing w:after="0"/>
              <w:rPr>
                <w:sz w:val="15"/>
                <w:szCs w:val="15"/>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5,219</w:t>
            </w:r>
          </w:p>
        </w:tc>
      </w:tr>
      <w:tr>
        <w:trPr>
          <w:trHeight w:val="183"/>
        </w:trPr>
        <w:tc>
          <w:tcPr>
            <w:tcW w:w="5840" w:type="dxa"/>
            <w:vAlign w:val="bottom"/>
          </w:tcPr>
          <w:p>
            <w:pPr>
              <w:ind w:left="40"/>
              <w:spacing w:after="0"/>
              <w:rPr>
                <w:sz w:val="20"/>
                <w:szCs w:val="20"/>
                <w:color w:val="auto"/>
              </w:rPr>
            </w:pPr>
            <w:r>
              <w:rPr>
                <w:rFonts w:ascii="Arial" w:cs="Arial" w:eastAsia="Arial" w:hAnsi="Arial"/>
                <w:sz w:val="16"/>
                <w:szCs w:val="16"/>
                <w:color w:val="auto"/>
              </w:rPr>
              <w:t>Volatility risk</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5"/>
                <w:szCs w:val="15"/>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2,032</w:t>
            </w:r>
          </w:p>
        </w:tc>
      </w:tr>
      <w:tr>
        <w:trPr>
          <w:trHeight w:val="212"/>
        </w:trPr>
        <w:tc>
          <w:tcPr>
            <w:tcW w:w="5840" w:type="dxa"/>
            <w:vAlign w:val="bottom"/>
          </w:tcPr>
          <w:p>
            <w:pPr>
              <w:ind w:left="40"/>
              <w:spacing w:after="0"/>
              <w:rPr>
                <w:sz w:val="20"/>
                <w:szCs w:val="20"/>
                <w:color w:val="auto"/>
              </w:rPr>
            </w:pPr>
            <w:r>
              <w:rPr>
                <w:rFonts w:ascii="Arial" w:cs="Arial" w:eastAsia="Arial" w:hAnsi="Arial"/>
                <w:sz w:val="16"/>
                <w:szCs w:val="16"/>
                <w:color w:val="auto"/>
              </w:rPr>
              <w:t>Diversification effect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(5,850)</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(7,347)</w:t>
            </w:r>
          </w:p>
        </w:tc>
      </w:tr>
      <w:tr>
        <w:trPr>
          <w:trHeight w:val="180"/>
        </w:trPr>
        <w:tc>
          <w:tcPr>
            <w:tcW w:w="5840" w:type="dxa"/>
            <w:vAlign w:val="bottom"/>
          </w:tcPr>
          <w:p>
            <w:pPr>
              <w:ind w:left="40"/>
              <w:spacing w:after="0" w:line="175" w:lineRule="exact"/>
              <w:rPr>
                <w:sz w:val="20"/>
                <w:szCs w:val="20"/>
                <w:color w:val="auto"/>
              </w:rPr>
            </w:pPr>
            <w:r>
              <w:rPr>
                <w:rFonts w:ascii="Arial" w:cs="Arial" w:eastAsia="Arial" w:hAnsi="Arial"/>
                <w:sz w:val="16"/>
                <w:szCs w:val="16"/>
                <w:color w:val="auto"/>
              </w:rPr>
              <w:t>Consolidated VaR by type of risk</w:t>
            </w:r>
          </w:p>
        </w:tc>
        <w:tc>
          <w:tcPr>
            <w:tcW w:w="980" w:type="dxa"/>
            <w:vAlign w:val="bottom"/>
            <w:tcBorders>
              <w:bottom w:val="single" w:sz="8" w:color="auto"/>
            </w:tcBorders>
          </w:tcPr>
          <w:p>
            <w:pPr>
              <w:jc w:val="right"/>
              <w:ind w:right="19"/>
              <w:spacing w:after="0" w:line="175" w:lineRule="exact"/>
              <w:rPr>
                <w:sz w:val="20"/>
                <w:szCs w:val="20"/>
                <w:color w:val="auto"/>
              </w:rPr>
            </w:pPr>
            <w:r>
              <w:rPr>
                <w:rFonts w:ascii="Arial" w:cs="Arial" w:eastAsia="Arial" w:hAnsi="Arial"/>
                <w:sz w:val="16"/>
                <w:szCs w:val="16"/>
                <w:color w:val="auto"/>
              </w:rPr>
              <w:t>28,860</w:t>
            </w:r>
          </w:p>
        </w:tc>
        <w:tc>
          <w:tcPr>
            <w:tcW w:w="60" w:type="dxa"/>
            <w:vAlign w:val="bottom"/>
          </w:tcPr>
          <w:p>
            <w:pPr>
              <w:spacing w:after="0"/>
              <w:rPr>
                <w:sz w:val="15"/>
                <w:szCs w:val="15"/>
                <w:color w:val="auto"/>
              </w:rPr>
            </w:pPr>
          </w:p>
        </w:tc>
        <w:tc>
          <w:tcPr>
            <w:tcW w:w="980" w:type="dxa"/>
            <w:vAlign w:val="bottom"/>
            <w:tcBorders>
              <w:bottom w:val="single" w:sz="8" w:color="auto"/>
            </w:tcBorders>
          </w:tcPr>
          <w:p>
            <w:pPr>
              <w:jc w:val="right"/>
              <w:ind w:right="19"/>
              <w:spacing w:after="0" w:line="175" w:lineRule="exact"/>
              <w:rPr>
                <w:sz w:val="20"/>
                <w:szCs w:val="20"/>
                <w:color w:val="auto"/>
              </w:rPr>
            </w:pPr>
            <w:r>
              <w:rPr>
                <w:rFonts w:ascii="Arial" w:cs="Arial" w:eastAsia="Arial" w:hAnsi="Arial"/>
                <w:sz w:val="16"/>
                <w:szCs w:val="16"/>
                <w:color w:val="auto"/>
              </w:rPr>
              <w:t>74,247</w:t>
            </w:r>
          </w:p>
        </w:tc>
      </w:tr>
    </w:tbl>
    <w:p>
      <w:pPr>
        <w:spacing w:after="0" w:line="166" w:lineRule="exact"/>
        <w:rPr>
          <w:sz w:val="20"/>
          <w:szCs w:val="20"/>
          <w:color w:val="auto"/>
        </w:rPr>
      </w:pPr>
    </w:p>
    <w:p>
      <w:pPr>
        <w:jc w:val="both"/>
        <w:ind w:left="296"/>
        <w:spacing w:after="0" w:line="280" w:lineRule="auto"/>
        <w:rPr>
          <w:sz w:val="20"/>
          <w:szCs w:val="20"/>
          <w:color w:val="auto"/>
        </w:rPr>
      </w:pPr>
      <w:r>
        <w:rPr>
          <w:rFonts w:ascii="Arial" w:cs="Arial" w:eastAsia="Arial" w:hAnsi="Arial"/>
          <w:sz w:val="16"/>
          <w:szCs w:val="16"/>
          <w:color w:val="auto"/>
        </w:rPr>
        <w:t>On the other hand, those instruments that are accounted for at fair value through profit or loss and that are not intended for trading are included in the rate and price sensitivity analysis in the following section. See table of earnings sensitivity at risk, net economic value and price sensitivity.</w:t>
      </w:r>
    </w:p>
    <w:p>
      <w:pPr>
        <w:spacing w:after="0" w:line="120" w:lineRule="exact"/>
        <w:rPr>
          <w:sz w:val="20"/>
          <w:szCs w:val="20"/>
          <w:color w:val="auto"/>
        </w:rPr>
      </w:pPr>
    </w:p>
    <w:p>
      <w:pPr>
        <w:ind w:left="296" w:hanging="296"/>
        <w:spacing w:after="0"/>
        <w:tabs>
          <w:tab w:leader="none" w:pos="29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Banking Book –</w:t>
      </w:r>
    </w:p>
    <w:p>
      <w:pPr>
        <w:spacing w:after="0" w:line="182" w:lineRule="exact"/>
        <w:rPr>
          <w:rFonts w:ascii="Arial" w:cs="Arial" w:eastAsia="Arial" w:hAnsi="Arial"/>
          <w:sz w:val="16"/>
          <w:szCs w:val="16"/>
          <w:color w:val="auto"/>
        </w:rPr>
      </w:pPr>
    </w:p>
    <w:p>
      <w:pPr>
        <w:ind w:left="296" w:right="200"/>
        <w:spacing w:after="0" w:line="259" w:lineRule="auto"/>
        <w:rPr>
          <w:rFonts w:ascii="Arial" w:cs="Arial" w:eastAsia="Arial" w:hAnsi="Arial"/>
          <w:sz w:val="16"/>
          <w:szCs w:val="16"/>
          <w:color w:val="auto"/>
        </w:rPr>
      </w:pPr>
      <w:r>
        <w:rPr>
          <w:rFonts w:ascii="Arial" w:cs="Arial" w:eastAsia="Arial" w:hAnsi="Arial"/>
          <w:sz w:val="16"/>
          <w:szCs w:val="16"/>
          <w:color w:val="auto"/>
        </w:rPr>
        <w:t>The non-trading portfolios or, belonging to the banking book (“banking book”), are exposed to different risks, since they are sensitive to movements in market rates, which may result in a negative impact on the value of the assets. with respect to its liabilities, and therefore, in its net worth.</w:t>
      </w:r>
    </w:p>
    <w:p>
      <w:pPr>
        <w:spacing w:after="0" w:line="296" w:lineRule="exact"/>
        <w:rPr>
          <w:sz w:val="20"/>
          <w:szCs w:val="20"/>
          <w:color w:val="auto"/>
        </w:rPr>
      </w:pPr>
    </w:p>
    <w:p>
      <w:pPr>
        <w:ind w:left="4876"/>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56"/>
          </w:cols>
          <w:pgMar w:left="904" w:top="306" w:right="339" w:bottom="1440" w:gutter="0" w:footer="0" w:header="0"/>
        </w:sectPr>
      </w:pPr>
    </w:p>
    <w:bookmarkStart w:id="164" w:name="page165"/>
    <w:bookmarkEnd w:id="164"/>
    <w:p>
      <w:pPr>
        <w:ind w:left="303" w:hanging="303"/>
        <w:spacing w:after="0"/>
        <w:tabs>
          <w:tab w:leader="none" w:pos="303"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Interest rate risk –</w:t>
      </w:r>
    </w:p>
    <w:p>
      <w:pPr>
        <w:spacing w:after="0" w:line="182" w:lineRule="exact"/>
        <w:rPr>
          <w:rFonts w:ascii="Arial" w:cs="Arial" w:eastAsia="Arial" w:hAnsi="Arial"/>
          <w:sz w:val="16"/>
          <w:szCs w:val="16"/>
          <w:color w:val="auto"/>
        </w:rPr>
      </w:pPr>
    </w:p>
    <w:p>
      <w:pPr>
        <w:ind w:left="303"/>
        <w:spacing w:after="0" w:line="259" w:lineRule="auto"/>
        <w:rPr>
          <w:rFonts w:ascii="Arial" w:cs="Arial" w:eastAsia="Arial" w:hAnsi="Arial"/>
          <w:sz w:val="16"/>
          <w:szCs w:val="16"/>
          <w:color w:val="auto"/>
        </w:rPr>
      </w:pPr>
      <w:r>
        <w:rPr>
          <w:rFonts w:ascii="Arial" w:cs="Arial" w:eastAsia="Arial" w:hAnsi="Arial"/>
          <w:sz w:val="16"/>
          <w:szCs w:val="16"/>
          <w:color w:val="auto"/>
        </w:rPr>
        <w:t>The Banking Book-related interest rate risk arises from eventual changes in interest rates that may adversely affect the expected gains (risk gains) or market value of financial assets and liabilities reported on the balance sheet (net economic value). The Group assumes the exposure to the interest rate risk that may affect their fair value as well as the cash flow risk of future assets and liabilities.</w:t>
      </w:r>
    </w:p>
    <w:p>
      <w:pPr>
        <w:spacing w:after="0" w:line="137" w:lineRule="exact"/>
        <w:rPr>
          <w:rFonts w:ascii="Arial" w:cs="Arial" w:eastAsia="Arial" w:hAnsi="Arial"/>
          <w:sz w:val="16"/>
          <w:szCs w:val="16"/>
          <w:color w:val="auto"/>
        </w:rPr>
      </w:pPr>
    </w:p>
    <w:p>
      <w:pPr>
        <w:ind w:left="303" w:right="700"/>
        <w:spacing w:after="0" w:line="280" w:lineRule="auto"/>
        <w:rPr>
          <w:rFonts w:ascii="Arial" w:cs="Arial" w:eastAsia="Arial" w:hAnsi="Arial"/>
          <w:sz w:val="16"/>
          <w:szCs w:val="16"/>
          <w:color w:val="auto"/>
        </w:rPr>
      </w:pPr>
      <w:r>
        <w:rPr>
          <w:rFonts w:ascii="Arial" w:cs="Arial" w:eastAsia="Arial" w:hAnsi="Arial"/>
          <w:sz w:val="16"/>
          <w:szCs w:val="16"/>
          <w:color w:val="auto"/>
        </w:rPr>
        <w:t>The Risk Committee sets the guidelines regarding the level of unmatched repricing of interest rates that can be tolerated, which is periodically monitored through ALCO.</w:t>
      </w:r>
    </w:p>
    <w:p>
      <w:pPr>
        <w:spacing w:after="0" w:line="120" w:lineRule="exact"/>
        <w:rPr>
          <w:rFonts w:ascii="Arial" w:cs="Arial" w:eastAsia="Arial" w:hAnsi="Arial"/>
          <w:sz w:val="16"/>
          <w:szCs w:val="16"/>
          <w:color w:val="auto"/>
        </w:rPr>
      </w:pPr>
    </w:p>
    <w:p>
      <w:pPr>
        <w:ind w:left="303" w:right="840"/>
        <w:spacing w:after="0" w:line="280" w:lineRule="auto"/>
        <w:rPr>
          <w:rFonts w:ascii="Arial" w:cs="Arial" w:eastAsia="Arial" w:hAnsi="Arial"/>
          <w:sz w:val="16"/>
          <w:szCs w:val="16"/>
          <w:color w:val="auto"/>
        </w:rPr>
      </w:pPr>
      <w:r>
        <w:rPr>
          <w:rFonts w:ascii="Arial" w:cs="Arial" w:eastAsia="Arial" w:hAnsi="Arial"/>
          <w:sz w:val="16"/>
          <w:szCs w:val="16"/>
          <w:color w:val="auto"/>
        </w:rPr>
        <w:t>Corporate policies include guidelines for the management of the Group’s exposure to the interest rate risk. These guidelines are implemented considering the features of each segment of business in which the Group entities operate.</w:t>
      </w:r>
    </w:p>
    <w:p>
      <w:pPr>
        <w:spacing w:after="0" w:line="120" w:lineRule="exact"/>
        <w:rPr>
          <w:rFonts w:ascii="Arial" w:cs="Arial" w:eastAsia="Arial" w:hAnsi="Arial"/>
          <w:sz w:val="16"/>
          <w:szCs w:val="16"/>
          <w:color w:val="auto"/>
        </w:rPr>
      </w:pPr>
    </w:p>
    <w:p>
      <w:pPr>
        <w:ind w:left="303" w:right="100"/>
        <w:spacing w:after="0" w:line="247" w:lineRule="auto"/>
        <w:rPr>
          <w:rFonts w:ascii="Arial" w:cs="Arial" w:eastAsia="Arial" w:hAnsi="Arial"/>
          <w:sz w:val="16"/>
          <w:szCs w:val="16"/>
          <w:color w:val="auto"/>
        </w:rPr>
      </w:pPr>
      <w:r>
        <w:rPr>
          <w:rFonts w:ascii="Arial" w:cs="Arial" w:eastAsia="Arial" w:hAnsi="Arial"/>
          <w:sz w:val="16"/>
          <w:szCs w:val="16"/>
          <w:color w:val="auto"/>
        </w:rPr>
        <w:t>In this regard, Group companies that are exposed to the interest rate risk are those that have yields based on interest, such as credits, investments, and technical reserves. Interest rate risk management in Banco de Crédito del Perú, Banco de Crédito de Bolivia, Mibanco-Banco de la Microempresa, Mibanco - Banco de la Microempresa de Colombia, ASB Bank Corp and Pacífico Seguros, is carried out by performing a repricing gap analysis, sensitivity analysis of the financial margin (GER) and sensitivity analysis of the net economic value (VEN). These calculations consider different rate shocks, which are generated through different scenario simulations and consider periods of high volatility.</w:t>
      </w:r>
    </w:p>
    <w:p>
      <w:pPr>
        <w:spacing w:after="0" w:line="146" w:lineRule="exact"/>
        <w:rPr>
          <w:rFonts w:ascii="Arial" w:cs="Arial" w:eastAsia="Arial" w:hAnsi="Arial"/>
          <w:sz w:val="16"/>
          <w:szCs w:val="16"/>
          <w:color w:val="auto"/>
        </w:rPr>
      </w:pPr>
    </w:p>
    <w:p>
      <w:pPr>
        <w:ind w:left="303"/>
        <w:spacing w:after="0"/>
        <w:rPr>
          <w:rFonts w:ascii="Arial" w:cs="Arial" w:eastAsia="Arial" w:hAnsi="Arial"/>
          <w:sz w:val="16"/>
          <w:szCs w:val="16"/>
          <w:color w:val="auto"/>
        </w:rPr>
      </w:pPr>
      <w:r>
        <w:rPr>
          <w:rFonts w:ascii="Arial" w:cs="Arial" w:eastAsia="Arial" w:hAnsi="Arial"/>
          <w:sz w:val="16"/>
          <w:szCs w:val="16"/>
          <w:color w:val="auto"/>
        </w:rPr>
        <w:t>Analysis of repricing gap –</w:t>
      </w:r>
    </w:p>
    <w:p>
      <w:pPr>
        <w:spacing w:after="0" w:line="182" w:lineRule="exact"/>
        <w:rPr>
          <w:rFonts w:ascii="Arial" w:cs="Arial" w:eastAsia="Arial" w:hAnsi="Arial"/>
          <w:sz w:val="16"/>
          <w:szCs w:val="16"/>
          <w:color w:val="auto"/>
        </w:rPr>
      </w:pPr>
    </w:p>
    <w:p>
      <w:pPr>
        <w:ind w:left="303" w:right="80"/>
        <w:spacing w:after="0" w:line="280" w:lineRule="auto"/>
        <w:rPr>
          <w:rFonts w:ascii="Arial" w:cs="Arial" w:eastAsia="Arial" w:hAnsi="Arial"/>
          <w:sz w:val="16"/>
          <w:szCs w:val="16"/>
          <w:color w:val="auto"/>
        </w:rPr>
      </w:pPr>
      <w:r>
        <w:rPr>
          <w:rFonts w:ascii="Arial" w:cs="Arial" w:eastAsia="Arial" w:hAnsi="Arial"/>
          <w:sz w:val="16"/>
          <w:szCs w:val="16"/>
          <w:color w:val="auto"/>
        </w:rPr>
        <w:t>The repricing gap analysis is intended to measure the risk exposure of interest rate for repricing periods, in which both balance and out of balance assets and liabilities are grouped. This allows identifying those sections in which the rate variations would have a potential impact.</w:t>
      </w:r>
    </w:p>
    <w:p>
      <w:pPr>
        <w:spacing w:after="0" w:line="279" w:lineRule="exact"/>
        <w:rPr>
          <w:sz w:val="20"/>
          <w:szCs w:val="20"/>
          <w:color w:val="auto"/>
        </w:rPr>
      </w:pPr>
    </w:p>
    <w:p>
      <w:pPr>
        <w:ind w:left="4583"/>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23"/>
          </w:cols>
          <w:pgMar w:left="1197" w:top="306" w:right="379" w:bottom="1440" w:gutter="0" w:footer="0" w:header="0"/>
        </w:sectPr>
      </w:pPr>
    </w:p>
    <w:bookmarkStart w:id="165" w:name="page166"/>
    <w:bookmarkEnd w:id="165"/>
    <w:p>
      <w:pPr>
        <w:ind w:right="220"/>
        <w:spacing w:after="0" w:line="278" w:lineRule="auto"/>
        <w:rPr>
          <w:sz w:val="20"/>
          <w:szCs w:val="20"/>
          <w:color w:val="auto"/>
        </w:rPr>
      </w:pPr>
      <w:r>
        <w:rPr>
          <w:rFonts w:ascii="Arial" w:cs="Arial" w:eastAsia="Arial" w:hAnsi="Arial"/>
          <w:sz w:val="16"/>
          <w:szCs w:val="16"/>
          <w:color w:val="auto"/>
        </w:rPr>
        <w:t>The table below summarizes the Group’s exposure to interest rate risks. It includes the Group’s financial instruments at carrying amounts, categorized by the earlier of contractual re-pricing or maturity dates, what occurs first:</w:t>
      </w:r>
    </w:p>
    <w:p>
      <w:pPr>
        <w:spacing w:after="0" w:line="144" w:lineRule="exact"/>
        <w:rPr>
          <w:sz w:val="20"/>
          <w:szCs w:val="20"/>
          <w:color w:val="auto"/>
        </w:rPr>
      </w:pPr>
    </w:p>
    <w:tbl>
      <w:tblPr>
        <w:tblLayout w:type="fixed"/>
        <w:tblInd w:w="3600" w:type="dxa"/>
        <w:tblCellMar>
          <w:top w:w="0" w:type="dxa"/>
          <w:left w:w="0" w:type="dxa"/>
          <w:bottom w:w="0" w:type="dxa"/>
          <w:right w:w="0" w:type="dxa"/>
        </w:tblCellMar>
      </w:tblPr>
      <w:tr>
        <w:trPr>
          <w:trHeight w:val="154"/>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43"/>
        </w:trPr>
        <w:tc>
          <w:tcPr>
            <w:tcW w:w="9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Up to 1</w:t>
            </w:r>
          </w:p>
        </w:tc>
        <w:tc>
          <w:tcPr>
            <w:tcW w:w="9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1 to 3</w:t>
            </w:r>
          </w:p>
        </w:tc>
        <w:tc>
          <w:tcPr>
            <w:tcW w:w="9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3 to 12</w:t>
            </w:r>
          </w:p>
        </w:tc>
        <w:tc>
          <w:tcPr>
            <w:tcW w:w="820" w:type="dxa"/>
            <w:vAlign w:val="bottom"/>
          </w:tcPr>
          <w:p>
            <w:pPr>
              <w:spacing w:after="0" w:line="144" w:lineRule="exact"/>
              <w:rPr>
                <w:sz w:val="20"/>
                <w:szCs w:val="20"/>
                <w:color w:val="auto"/>
              </w:rPr>
            </w:pPr>
            <w:r>
              <w:rPr>
                <w:rFonts w:ascii="Arial" w:cs="Arial" w:eastAsia="Arial" w:hAnsi="Arial"/>
                <w:sz w:val="13"/>
                <w:szCs w:val="13"/>
                <w:b w:val="1"/>
                <w:bCs w:val="1"/>
                <w:color w:val="auto"/>
              </w:rPr>
              <w:t>1 to 5</w:t>
            </w:r>
          </w:p>
        </w:tc>
        <w:tc>
          <w:tcPr>
            <w:tcW w:w="100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More than</w:t>
            </w:r>
          </w:p>
        </w:tc>
        <w:tc>
          <w:tcPr>
            <w:tcW w:w="9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Non-interest</w:t>
            </w:r>
          </w:p>
        </w:tc>
        <w:tc>
          <w:tcPr>
            <w:tcW w:w="900" w:type="dxa"/>
            <w:vAlign w:val="bottom"/>
          </w:tcPr>
          <w:p>
            <w:pPr>
              <w:spacing w:after="0"/>
              <w:rPr>
                <w:sz w:val="12"/>
                <w:szCs w:val="12"/>
                <w:color w:val="auto"/>
              </w:rPr>
            </w:pPr>
          </w:p>
        </w:tc>
      </w:tr>
      <w:tr>
        <w:trPr>
          <w:trHeight w:val="154"/>
        </w:trPr>
        <w:tc>
          <w:tcPr>
            <w:tcW w:w="960" w:type="dxa"/>
            <w:vAlign w:val="bottom"/>
            <w:gridSpan w:val="3"/>
          </w:tcPr>
          <w:p>
            <w:pPr>
              <w:spacing w:after="0"/>
              <w:rPr>
                <w:sz w:val="20"/>
                <w:szCs w:val="20"/>
                <w:color w:val="auto"/>
              </w:rPr>
            </w:pPr>
            <w:r>
              <w:rPr>
                <w:rFonts w:ascii="Arial" w:cs="Arial" w:eastAsia="Arial" w:hAnsi="Arial"/>
                <w:sz w:val="13"/>
                <w:szCs w:val="13"/>
                <w:b w:val="1"/>
                <w:bCs w:val="1"/>
                <w:color w:val="auto"/>
              </w:rPr>
              <w:t>month</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months</w:t>
            </w: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months</w:t>
            </w:r>
          </w:p>
        </w:tc>
        <w:tc>
          <w:tcPr>
            <w:tcW w:w="820" w:type="dxa"/>
            <w:vAlign w:val="bottom"/>
          </w:tcPr>
          <w:p>
            <w:pPr>
              <w:spacing w:after="0"/>
              <w:rPr>
                <w:sz w:val="20"/>
                <w:szCs w:val="20"/>
                <w:color w:val="auto"/>
              </w:rPr>
            </w:pPr>
            <w:r>
              <w:rPr>
                <w:rFonts w:ascii="Arial" w:cs="Arial" w:eastAsia="Arial" w:hAnsi="Arial"/>
                <w:sz w:val="13"/>
                <w:szCs w:val="13"/>
                <w:b w:val="1"/>
                <w:bCs w:val="1"/>
                <w:color w:val="auto"/>
              </w:rPr>
              <w:t>years</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5 years</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bearing</w:t>
            </w:r>
          </w:p>
        </w:tc>
        <w:tc>
          <w:tcPr>
            <w:tcW w:w="900" w:type="dxa"/>
            <w:vAlign w:val="bottom"/>
          </w:tcPr>
          <w:p>
            <w:pPr>
              <w:spacing w:after="0"/>
              <w:rPr>
                <w:sz w:val="20"/>
                <w:szCs w:val="20"/>
                <w:color w:val="auto"/>
              </w:rPr>
            </w:pPr>
            <w:r>
              <w:rPr>
                <w:rFonts w:ascii="Arial" w:cs="Arial" w:eastAsia="Arial" w:hAnsi="Arial"/>
                <w:sz w:val="13"/>
                <w:szCs w:val="13"/>
                <w:b w:val="1"/>
                <w:bCs w:val="1"/>
                <w:color w:val="auto"/>
              </w:rPr>
              <w:t>Total</w:t>
            </w:r>
          </w:p>
        </w:tc>
      </w:tr>
      <w:tr>
        <w:trPr>
          <w:trHeight w:val="143"/>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2"/>
                <w:szCs w:val="12"/>
                <w:color w:val="auto"/>
              </w:rPr>
            </w:pPr>
          </w:p>
        </w:tc>
        <w:tc>
          <w:tcPr>
            <w:tcW w:w="90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S/(000)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600" w:type="dxa"/>
            <w:vAlign w:val="bottom"/>
          </w:tcPr>
          <w:p>
            <w:pPr>
              <w:spacing w:after="0" w:line="135" w:lineRule="exact"/>
              <w:rPr>
                <w:sz w:val="20"/>
                <w:szCs w:val="20"/>
                <w:color w:val="auto"/>
              </w:rPr>
            </w:pPr>
            <w:r>
              <w:rPr>
                <w:rFonts w:ascii="Arial" w:cs="Arial" w:eastAsia="Arial" w:hAnsi="Arial"/>
                <w:sz w:val="13"/>
                <w:szCs w:val="13"/>
                <w:b w:val="1"/>
                <w:bCs w:val="1"/>
                <w:color w:val="auto"/>
              </w:rPr>
              <w:t>Assets</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line="147" w:lineRule="exact"/>
              <w:rPr>
                <w:sz w:val="20"/>
                <w:szCs w:val="20"/>
                <w:color w:val="auto"/>
              </w:rPr>
            </w:pPr>
            <w:r>
              <w:rPr>
                <w:rFonts w:ascii="Arial" w:cs="Arial" w:eastAsia="Arial" w:hAnsi="Arial"/>
                <w:sz w:val="13"/>
                <w:szCs w:val="13"/>
                <w:color w:val="auto"/>
              </w:rPr>
              <w:t>Cash and cash collateral, reverse repurchase agreements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0" w:type="dxa"/>
            <w:vAlign w:val="bottom"/>
          </w:tcPr>
          <w:p>
            <w:pPr>
              <w:ind w:left="160"/>
              <w:spacing w:after="0" w:line="147" w:lineRule="exact"/>
              <w:rPr>
                <w:sz w:val="20"/>
                <w:szCs w:val="20"/>
                <w:color w:val="auto"/>
              </w:rPr>
            </w:pPr>
            <w:r>
              <w:rPr>
                <w:rFonts w:ascii="Arial" w:cs="Arial" w:eastAsia="Arial" w:hAnsi="Arial"/>
                <w:sz w:val="13"/>
                <w:szCs w:val="13"/>
                <w:color w:val="auto"/>
              </w:rPr>
              <w:t>and securities borrowing</w:t>
            </w:r>
          </w:p>
        </w:tc>
        <w:tc>
          <w:tcPr>
            <w:tcW w:w="8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13,900,784</w:t>
            </w:r>
          </w:p>
        </w:tc>
        <w:tc>
          <w:tcPr>
            <w:tcW w:w="80" w:type="dxa"/>
            <w:vAlign w:val="bottom"/>
          </w:tcPr>
          <w:p>
            <w:pPr>
              <w:spacing w:after="0"/>
              <w:rPr>
                <w:sz w:val="12"/>
                <w:szCs w:val="12"/>
                <w:color w:val="auto"/>
              </w:rPr>
            </w:pPr>
          </w:p>
        </w:tc>
        <w:tc>
          <w:tcPr>
            <w:tcW w:w="86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1,707,822</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3,050,481</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8,674,709</w:t>
            </w:r>
          </w:p>
        </w:tc>
        <w:tc>
          <w:tcPr>
            <w:tcW w:w="80" w:type="dxa"/>
            <w:vAlign w:val="bottom"/>
          </w:tcPr>
          <w:p>
            <w:pPr>
              <w:spacing w:after="0"/>
              <w:rPr>
                <w:sz w:val="12"/>
                <w:szCs w:val="12"/>
                <w:color w:val="auto"/>
              </w:rPr>
            </w:pPr>
          </w:p>
        </w:tc>
        <w:tc>
          <w:tcPr>
            <w:tcW w:w="840" w:type="dxa"/>
            <w:vAlign w:val="bottom"/>
          </w:tcPr>
          <w:p>
            <w:pPr>
              <w:jc w:val="right"/>
              <w:ind w:right="15"/>
              <w:spacing w:after="0" w:line="147" w:lineRule="exact"/>
              <w:rPr>
                <w:sz w:val="20"/>
                <w:szCs w:val="20"/>
                <w:color w:val="auto"/>
              </w:rPr>
            </w:pPr>
            <w:r>
              <w:rPr>
                <w:rFonts w:ascii="Arial" w:cs="Arial" w:eastAsia="Arial" w:hAnsi="Arial"/>
                <w:sz w:val="13"/>
                <w:szCs w:val="13"/>
                <w:color w:val="auto"/>
              </w:rPr>
              <w:t>273,214</w:t>
            </w:r>
          </w:p>
        </w:tc>
        <w:tc>
          <w:tcPr>
            <w:tcW w:w="80" w:type="dxa"/>
            <w:vAlign w:val="bottom"/>
          </w:tcPr>
          <w:p>
            <w:pPr>
              <w:spacing w:after="0"/>
              <w:rPr>
                <w:sz w:val="12"/>
                <w:szCs w:val="12"/>
                <w:color w:val="auto"/>
              </w:rPr>
            </w:pP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7,734,585</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35,341,595</w:t>
            </w:r>
          </w:p>
        </w:tc>
        <w:tc>
          <w:tcPr>
            <w:tcW w:w="0" w:type="dxa"/>
            <w:vAlign w:val="bottom"/>
          </w:tcPr>
          <w:p>
            <w:pPr>
              <w:spacing w:after="0"/>
              <w:rPr>
                <w:sz w:val="1"/>
                <w:szCs w:val="1"/>
                <w:color w:val="auto"/>
              </w:rPr>
            </w:pPr>
          </w:p>
        </w:tc>
      </w:tr>
      <w:tr>
        <w:trPr>
          <w:trHeight w:val="147"/>
        </w:trPr>
        <w:tc>
          <w:tcPr>
            <w:tcW w:w="3600" w:type="dxa"/>
            <w:vAlign w:val="bottom"/>
          </w:tcPr>
          <w:p>
            <w:pPr>
              <w:spacing w:after="0" w:line="147" w:lineRule="exact"/>
              <w:rPr>
                <w:sz w:val="20"/>
                <w:szCs w:val="20"/>
                <w:color w:val="auto"/>
              </w:rPr>
            </w:pPr>
            <w:r>
              <w:rPr>
                <w:rFonts w:ascii="Arial" w:cs="Arial" w:eastAsia="Arial" w:hAnsi="Arial"/>
                <w:sz w:val="13"/>
                <w:szCs w:val="13"/>
                <w:color w:val="auto"/>
              </w:rPr>
              <w:t>Investments</w:t>
            </w:r>
          </w:p>
        </w:tc>
        <w:tc>
          <w:tcPr>
            <w:tcW w:w="8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1,331,553</w:t>
            </w:r>
          </w:p>
        </w:tc>
        <w:tc>
          <w:tcPr>
            <w:tcW w:w="80" w:type="dxa"/>
            <w:vAlign w:val="bottom"/>
          </w:tcPr>
          <w:p>
            <w:pPr>
              <w:spacing w:after="0"/>
              <w:rPr>
                <w:sz w:val="12"/>
                <w:szCs w:val="12"/>
                <w:color w:val="auto"/>
              </w:rPr>
            </w:pPr>
          </w:p>
        </w:tc>
        <w:tc>
          <w:tcPr>
            <w:tcW w:w="860" w:type="dxa"/>
            <w:vAlign w:val="bottom"/>
          </w:tcPr>
          <w:p>
            <w:pPr>
              <w:jc w:val="right"/>
              <w:ind w:right="15"/>
              <w:spacing w:after="0" w:line="147" w:lineRule="exact"/>
              <w:rPr>
                <w:sz w:val="20"/>
                <w:szCs w:val="20"/>
                <w:color w:val="auto"/>
              </w:rPr>
            </w:pPr>
            <w:r>
              <w:rPr>
                <w:rFonts w:ascii="Arial" w:cs="Arial" w:eastAsia="Arial" w:hAnsi="Arial"/>
                <w:sz w:val="13"/>
                <w:szCs w:val="13"/>
                <w:color w:val="auto"/>
              </w:rPr>
              <w:t>4,489,604</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9,475,564</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12,827,007</w:t>
            </w:r>
          </w:p>
        </w:tc>
        <w:tc>
          <w:tcPr>
            <w:tcW w:w="80" w:type="dxa"/>
            <w:vAlign w:val="bottom"/>
          </w:tcPr>
          <w:p>
            <w:pPr>
              <w:spacing w:after="0"/>
              <w:rPr>
                <w:sz w:val="12"/>
                <w:szCs w:val="12"/>
                <w:color w:val="auto"/>
              </w:rPr>
            </w:pPr>
          </w:p>
        </w:tc>
        <w:tc>
          <w:tcPr>
            <w:tcW w:w="84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18,773,061</w:t>
            </w:r>
          </w:p>
        </w:tc>
        <w:tc>
          <w:tcPr>
            <w:tcW w:w="80" w:type="dxa"/>
            <w:vAlign w:val="bottom"/>
          </w:tcPr>
          <w:p>
            <w:pPr>
              <w:spacing w:after="0"/>
              <w:rPr>
                <w:sz w:val="12"/>
                <w:szCs w:val="12"/>
                <w:color w:val="auto"/>
              </w:rPr>
            </w:pP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336,078</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47,232,867</w:t>
            </w:r>
          </w:p>
        </w:tc>
        <w:tc>
          <w:tcPr>
            <w:tcW w:w="0" w:type="dxa"/>
            <w:vAlign w:val="bottom"/>
          </w:tcPr>
          <w:p>
            <w:pPr>
              <w:spacing w:after="0"/>
              <w:rPr>
                <w:sz w:val="1"/>
                <w:szCs w:val="1"/>
                <w:color w:val="auto"/>
              </w:rPr>
            </w:pPr>
          </w:p>
        </w:tc>
      </w:tr>
      <w:tr>
        <w:trPr>
          <w:trHeight w:val="147"/>
        </w:trPr>
        <w:tc>
          <w:tcPr>
            <w:tcW w:w="3600" w:type="dxa"/>
            <w:vAlign w:val="bottom"/>
          </w:tcPr>
          <w:p>
            <w:pPr>
              <w:spacing w:after="0" w:line="147" w:lineRule="exact"/>
              <w:rPr>
                <w:sz w:val="20"/>
                <w:szCs w:val="20"/>
                <w:color w:val="auto"/>
              </w:rPr>
            </w:pPr>
            <w:r>
              <w:rPr>
                <w:rFonts w:ascii="Arial" w:cs="Arial" w:eastAsia="Arial" w:hAnsi="Arial"/>
                <w:sz w:val="13"/>
                <w:szCs w:val="13"/>
                <w:color w:val="auto"/>
              </w:rPr>
              <w:t>Loans, net</w:t>
            </w:r>
          </w:p>
        </w:tc>
        <w:tc>
          <w:tcPr>
            <w:tcW w:w="8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19,650,760</w:t>
            </w:r>
          </w:p>
        </w:tc>
        <w:tc>
          <w:tcPr>
            <w:tcW w:w="80" w:type="dxa"/>
            <w:vAlign w:val="bottom"/>
          </w:tcPr>
          <w:p>
            <w:pPr>
              <w:spacing w:after="0"/>
              <w:rPr>
                <w:sz w:val="12"/>
                <w:szCs w:val="12"/>
                <w:color w:val="auto"/>
              </w:rPr>
            </w:pPr>
          </w:p>
        </w:tc>
        <w:tc>
          <w:tcPr>
            <w:tcW w:w="86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16,975,402</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38,874,328</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46,963,496</w:t>
            </w:r>
          </w:p>
        </w:tc>
        <w:tc>
          <w:tcPr>
            <w:tcW w:w="80" w:type="dxa"/>
            <w:vAlign w:val="bottom"/>
          </w:tcPr>
          <w:p>
            <w:pPr>
              <w:spacing w:after="0"/>
              <w:rPr>
                <w:sz w:val="12"/>
                <w:szCs w:val="12"/>
                <w:color w:val="auto"/>
              </w:rPr>
            </w:pPr>
          </w:p>
        </w:tc>
        <w:tc>
          <w:tcPr>
            <w:tcW w:w="84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14,420,760</w:t>
            </w:r>
          </w:p>
        </w:tc>
        <w:tc>
          <w:tcPr>
            <w:tcW w:w="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(186,611)</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136,698,135</w:t>
            </w:r>
          </w:p>
        </w:tc>
        <w:tc>
          <w:tcPr>
            <w:tcW w:w="0" w:type="dxa"/>
            <w:vAlign w:val="bottom"/>
          </w:tcPr>
          <w:p>
            <w:pPr>
              <w:spacing w:after="0"/>
              <w:rPr>
                <w:sz w:val="1"/>
                <w:szCs w:val="1"/>
                <w:color w:val="auto"/>
              </w:rPr>
            </w:pPr>
          </w:p>
        </w:tc>
      </w:tr>
      <w:tr>
        <w:trPr>
          <w:trHeight w:val="147"/>
        </w:trPr>
        <w:tc>
          <w:tcPr>
            <w:tcW w:w="3600" w:type="dxa"/>
            <w:vAlign w:val="bottom"/>
          </w:tcPr>
          <w:p>
            <w:pPr>
              <w:ind w:left="160"/>
              <w:spacing w:after="0" w:line="147" w:lineRule="exact"/>
              <w:rPr>
                <w:sz w:val="20"/>
                <w:szCs w:val="20"/>
                <w:color w:val="auto"/>
              </w:rPr>
            </w:pPr>
            <w:r>
              <w:rPr>
                <w:rFonts w:ascii="Arial" w:cs="Arial" w:eastAsia="Arial" w:hAnsi="Arial"/>
                <w:sz w:val="13"/>
                <w:szCs w:val="13"/>
                <w:color w:val="auto"/>
              </w:rPr>
              <w:t>through profit or loss</w:t>
            </w: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810,932</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810,932</w:t>
            </w:r>
          </w:p>
        </w:tc>
        <w:tc>
          <w:tcPr>
            <w:tcW w:w="0" w:type="dxa"/>
            <w:vAlign w:val="bottom"/>
          </w:tcPr>
          <w:p>
            <w:pPr>
              <w:spacing w:after="0"/>
              <w:rPr>
                <w:sz w:val="1"/>
                <w:szCs w:val="1"/>
                <w:color w:val="auto"/>
              </w:rPr>
            </w:pPr>
          </w:p>
        </w:tc>
      </w:tr>
      <w:tr>
        <w:trPr>
          <w:trHeight w:val="159"/>
        </w:trPr>
        <w:tc>
          <w:tcPr>
            <w:tcW w:w="3600" w:type="dxa"/>
            <w:vAlign w:val="bottom"/>
          </w:tcPr>
          <w:p>
            <w:pPr>
              <w:spacing w:after="0"/>
              <w:rPr>
                <w:sz w:val="20"/>
                <w:szCs w:val="20"/>
                <w:color w:val="auto"/>
              </w:rPr>
            </w:pPr>
            <w:r>
              <w:rPr>
                <w:rFonts w:ascii="Arial" w:cs="Arial" w:eastAsia="Arial" w:hAnsi="Arial"/>
                <w:sz w:val="13"/>
                <w:szCs w:val="13"/>
                <w:color w:val="auto"/>
              </w:rPr>
              <w:t>Reinsurance and insurance contract assets</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872,046</w:t>
            </w: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872,046</w:t>
            </w:r>
          </w:p>
        </w:tc>
        <w:tc>
          <w:tcPr>
            <w:tcW w:w="0" w:type="dxa"/>
            <w:vAlign w:val="bottom"/>
          </w:tcPr>
          <w:p>
            <w:pPr>
              <w:spacing w:after="0"/>
              <w:rPr>
                <w:sz w:val="1"/>
                <w:szCs w:val="1"/>
                <w:color w:val="auto"/>
              </w:rPr>
            </w:pPr>
          </w:p>
        </w:tc>
      </w:tr>
      <w:tr>
        <w:trPr>
          <w:trHeight w:val="154"/>
        </w:trPr>
        <w:tc>
          <w:tcPr>
            <w:tcW w:w="3600" w:type="dxa"/>
            <w:vAlign w:val="bottom"/>
          </w:tcPr>
          <w:p>
            <w:pPr>
              <w:spacing w:after="0"/>
              <w:rPr>
                <w:sz w:val="20"/>
                <w:szCs w:val="20"/>
                <w:color w:val="auto"/>
              </w:rPr>
            </w:pPr>
            <w:r>
              <w:rPr>
                <w:rFonts w:ascii="Arial" w:cs="Arial" w:eastAsia="Arial" w:hAnsi="Arial"/>
                <w:sz w:val="13"/>
                <w:szCs w:val="13"/>
                <w:color w:val="auto"/>
              </w:rPr>
              <w:t>Other assets (*)</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143,214</w:t>
            </w:r>
          </w:p>
        </w:tc>
        <w:tc>
          <w:tcPr>
            <w:tcW w:w="8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7,053</w:t>
            </w:r>
          </w:p>
        </w:tc>
        <w:tc>
          <w:tcPr>
            <w:tcW w:w="100" w:type="dxa"/>
            <w:vAlign w:val="bottom"/>
          </w:tcPr>
          <w:p>
            <w:pPr>
              <w:spacing w:after="0"/>
              <w:rPr>
                <w:sz w:val="13"/>
                <w:szCs w:val="13"/>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31,753</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2,381,135</w:t>
            </w:r>
          </w:p>
        </w:tc>
        <w:tc>
          <w:tcPr>
            <w:tcW w:w="80" w:type="dxa"/>
            <w:vAlign w:val="bottom"/>
          </w:tcPr>
          <w:p>
            <w:pPr>
              <w:spacing w:after="0"/>
              <w:rPr>
                <w:sz w:val="13"/>
                <w:szCs w:val="13"/>
                <w:color w:val="auto"/>
              </w:rPr>
            </w:pP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2,563,155</w:t>
            </w:r>
          </w:p>
        </w:tc>
        <w:tc>
          <w:tcPr>
            <w:tcW w:w="0" w:type="dxa"/>
            <w:vAlign w:val="bottom"/>
          </w:tcPr>
          <w:p>
            <w:pPr>
              <w:spacing w:after="0"/>
              <w:rPr>
                <w:sz w:val="1"/>
                <w:szCs w:val="1"/>
                <w:color w:val="auto"/>
              </w:rPr>
            </w:pPr>
          </w:p>
        </w:tc>
      </w:tr>
      <w:tr>
        <w:trPr>
          <w:trHeight w:val="151"/>
        </w:trPr>
        <w:tc>
          <w:tcPr>
            <w:tcW w:w="360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35,898,357</w:t>
            </w:r>
          </w:p>
        </w:tc>
        <w:tc>
          <w:tcPr>
            <w:tcW w:w="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23,179,881</w:t>
            </w:r>
          </w:p>
        </w:tc>
        <w:tc>
          <w:tcPr>
            <w:tcW w:w="1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51,432,126</w:t>
            </w:r>
          </w:p>
        </w:tc>
        <w:tc>
          <w:tcPr>
            <w:tcW w:w="1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68,465,212</w:t>
            </w:r>
          </w:p>
        </w:tc>
        <w:tc>
          <w:tcPr>
            <w:tcW w:w="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33,467,035</w:t>
            </w:r>
          </w:p>
        </w:tc>
        <w:tc>
          <w:tcPr>
            <w:tcW w:w="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11,076,119</w:t>
            </w:r>
          </w:p>
        </w:tc>
        <w:tc>
          <w:tcPr>
            <w:tcW w:w="8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223,518,730</w:t>
            </w:r>
          </w:p>
        </w:tc>
        <w:tc>
          <w:tcPr>
            <w:tcW w:w="0" w:type="dxa"/>
            <w:vAlign w:val="bottom"/>
          </w:tcPr>
          <w:p>
            <w:pPr>
              <w:spacing w:after="0"/>
              <w:rPr>
                <w:sz w:val="1"/>
                <w:szCs w:val="1"/>
                <w:color w:val="auto"/>
              </w:rPr>
            </w:pPr>
          </w:p>
        </w:tc>
      </w:tr>
      <w:tr>
        <w:trPr>
          <w:trHeight w:val="278"/>
        </w:trPr>
        <w:tc>
          <w:tcPr>
            <w:tcW w:w="360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line="147" w:lineRule="exact"/>
              <w:rPr>
                <w:sz w:val="20"/>
                <w:szCs w:val="20"/>
                <w:color w:val="auto"/>
              </w:rPr>
            </w:pPr>
            <w:r>
              <w:rPr>
                <w:rFonts w:ascii="Arial" w:cs="Arial" w:eastAsia="Arial" w:hAnsi="Arial"/>
                <w:sz w:val="13"/>
                <w:szCs w:val="13"/>
                <w:color w:val="auto"/>
              </w:rPr>
              <w:t>Deposits and obligations</w:t>
            </w:r>
          </w:p>
        </w:tc>
        <w:tc>
          <w:tcPr>
            <w:tcW w:w="8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40,740,255</w:t>
            </w:r>
          </w:p>
        </w:tc>
        <w:tc>
          <w:tcPr>
            <w:tcW w:w="80" w:type="dxa"/>
            <w:vAlign w:val="bottom"/>
          </w:tcPr>
          <w:p>
            <w:pPr>
              <w:spacing w:after="0"/>
              <w:rPr>
                <w:sz w:val="12"/>
                <w:szCs w:val="12"/>
                <w:color w:val="auto"/>
              </w:rPr>
            </w:pPr>
          </w:p>
        </w:tc>
        <w:tc>
          <w:tcPr>
            <w:tcW w:w="86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16,793,946</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22,762,047</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57,611,088</w:t>
            </w:r>
          </w:p>
        </w:tc>
        <w:tc>
          <w:tcPr>
            <w:tcW w:w="80" w:type="dxa"/>
            <w:vAlign w:val="bottom"/>
          </w:tcPr>
          <w:p>
            <w:pPr>
              <w:spacing w:after="0"/>
              <w:rPr>
                <w:sz w:val="12"/>
                <w:szCs w:val="12"/>
                <w:color w:val="auto"/>
              </w:rPr>
            </w:pPr>
          </w:p>
        </w:tc>
        <w:tc>
          <w:tcPr>
            <w:tcW w:w="840" w:type="dxa"/>
            <w:vAlign w:val="bottom"/>
          </w:tcPr>
          <w:p>
            <w:pPr>
              <w:jc w:val="right"/>
              <w:ind w:right="15"/>
              <w:spacing w:after="0" w:line="147" w:lineRule="exact"/>
              <w:rPr>
                <w:sz w:val="20"/>
                <w:szCs w:val="20"/>
                <w:color w:val="auto"/>
              </w:rPr>
            </w:pPr>
            <w:r>
              <w:rPr>
                <w:rFonts w:ascii="Arial" w:cs="Arial" w:eastAsia="Arial" w:hAnsi="Arial"/>
                <w:sz w:val="13"/>
                <w:szCs w:val="13"/>
                <w:color w:val="auto"/>
              </w:rPr>
              <w:t>8,418,281</w:t>
            </w:r>
          </w:p>
        </w:tc>
        <w:tc>
          <w:tcPr>
            <w:tcW w:w="80" w:type="dxa"/>
            <w:vAlign w:val="bottom"/>
          </w:tcPr>
          <w:p>
            <w:pPr>
              <w:spacing w:after="0"/>
              <w:rPr>
                <w:sz w:val="12"/>
                <w:szCs w:val="12"/>
                <w:color w:val="auto"/>
              </w:rPr>
            </w:pP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1,379,377</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147,704,994</w:t>
            </w:r>
          </w:p>
        </w:tc>
        <w:tc>
          <w:tcPr>
            <w:tcW w:w="0" w:type="dxa"/>
            <w:vAlign w:val="bottom"/>
          </w:tcPr>
          <w:p>
            <w:pPr>
              <w:spacing w:after="0"/>
              <w:rPr>
                <w:sz w:val="1"/>
                <w:szCs w:val="1"/>
                <w:color w:val="auto"/>
              </w:rPr>
            </w:pPr>
          </w:p>
        </w:tc>
      </w:tr>
      <w:tr>
        <w:trPr>
          <w:trHeight w:val="147"/>
        </w:trPr>
        <w:tc>
          <w:tcPr>
            <w:tcW w:w="3600" w:type="dxa"/>
            <w:vAlign w:val="bottom"/>
          </w:tcPr>
          <w:p>
            <w:pPr>
              <w:spacing w:after="0" w:line="147" w:lineRule="exact"/>
              <w:rPr>
                <w:sz w:val="20"/>
                <w:szCs w:val="20"/>
                <w:color w:val="auto"/>
              </w:rPr>
            </w:pPr>
            <w:r>
              <w:rPr>
                <w:rFonts w:ascii="Arial" w:cs="Arial" w:eastAsia="Arial" w:hAnsi="Arial"/>
                <w:sz w:val="13"/>
                <w:szCs w:val="13"/>
                <w:color w:val="auto"/>
              </w:rPr>
              <w:t>Payables from repurchase agreements and securities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0" w:type="dxa"/>
            <w:vAlign w:val="bottom"/>
          </w:tcPr>
          <w:p>
            <w:pPr>
              <w:ind w:left="160"/>
              <w:spacing w:after="0" w:line="147" w:lineRule="exact"/>
              <w:rPr>
                <w:sz w:val="20"/>
                <w:szCs w:val="20"/>
                <w:color w:val="auto"/>
              </w:rPr>
            </w:pPr>
            <w:r>
              <w:rPr>
                <w:rFonts w:ascii="Arial" w:cs="Arial" w:eastAsia="Arial" w:hAnsi="Arial"/>
                <w:sz w:val="13"/>
                <w:szCs w:val="13"/>
                <w:color w:val="auto"/>
              </w:rPr>
              <w:t>lending</w:t>
            </w:r>
          </w:p>
        </w:tc>
        <w:tc>
          <w:tcPr>
            <w:tcW w:w="8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5,987,961</w:t>
            </w:r>
          </w:p>
        </w:tc>
        <w:tc>
          <w:tcPr>
            <w:tcW w:w="80" w:type="dxa"/>
            <w:vAlign w:val="bottom"/>
          </w:tcPr>
          <w:p>
            <w:pPr>
              <w:spacing w:after="0"/>
              <w:rPr>
                <w:sz w:val="12"/>
                <w:szCs w:val="12"/>
                <w:color w:val="auto"/>
              </w:rPr>
            </w:pPr>
          </w:p>
        </w:tc>
        <w:tc>
          <w:tcPr>
            <w:tcW w:w="860" w:type="dxa"/>
            <w:vAlign w:val="bottom"/>
          </w:tcPr>
          <w:p>
            <w:pPr>
              <w:jc w:val="right"/>
              <w:ind w:right="15"/>
              <w:spacing w:after="0" w:line="147" w:lineRule="exact"/>
              <w:rPr>
                <w:sz w:val="20"/>
                <w:szCs w:val="20"/>
                <w:color w:val="auto"/>
              </w:rPr>
            </w:pPr>
            <w:r>
              <w:rPr>
                <w:rFonts w:ascii="Arial" w:cs="Arial" w:eastAsia="Arial" w:hAnsi="Arial"/>
                <w:sz w:val="13"/>
                <w:szCs w:val="13"/>
                <w:color w:val="auto"/>
              </w:rPr>
              <w:t>6,344,769</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3,477,433</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3,238,356</w:t>
            </w:r>
          </w:p>
        </w:tc>
        <w:tc>
          <w:tcPr>
            <w:tcW w:w="80" w:type="dxa"/>
            <w:vAlign w:val="bottom"/>
          </w:tcPr>
          <w:p>
            <w:pPr>
              <w:spacing w:after="0"/>
              <w:rPr>
                <w:sz w:val="12"/>
                <w:szCs w:val="12"/>
                <w:color w:val="auto"/>
              </w:rPr>
            </w:pPr>
          </w:p>
        </w:tc>
        <w:tc>
          <w:tcPr>
            <w:tcW w:w="840" w:type="dxa"/>
            <w:vAlign w:val="bottom"/>
          </w:tcPr>
          <w:p>
            <w:pPr>
              <w:jc w:val="right"/>
              <w:ind w:right="15"/>
              <w:spacing w:after="0" w:line="147" w:lineRule="exact"/>
              <w:rPr>
                <w:sz w:val="20"/>
                <w:szCs w:val="20"/>
                <w:color w:val="auto"/>
              </w:rPr>
            </w:pPr>
            <w:r>
              <w:rPr>
                <w:rFonts w:ascii="Arial" w:cs="Arial" w:eastAsia="Arial" w:hAnsi="Arial"/>
                <w:sz w:val="13"/>
                <w:szCs w:val="13"/>
                <w:color w:val="auto"/>
              </w:rPr>
              <w:t>3,026,066</w:t>
            </w:r>
          </w:p>
        </w:tc>
        <w:tc>
          <w:tcPr>
            <w:tcW w:w="80" w:type="dxa"/>
            <w:vAlign w:val="bottom"/>
          </w:tcPr>
          <w:p>
            <w:pPr>
              <w:spacing w:after="0"/>
              <w:rPr>
                <w:sz w:val="12"/>
                <w:szCs w:val="12"/>
                <w:color w:val="auto"/>
              </w:rPr>
            </w:pP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372,523</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22,447,108</w:t>
            </w:r>
          </w:p>
        </w:tc>
        <w:tc>
          <w:tcPr>
            <w:tcW w:w="0" w:type="dxa"/>
            <w:vAlign w:val="bottom"/>
          </w:tcPr>
          <w:p>
            <w:pPr>
              <w:spacing w:after="0"/>
              <w:rPr>
                <w:sz w:val="1"/>
                <w:szCs w:val="1"/>
                <w:color w:val="auto"/>
              </w:rPr>
            </w:pPr>
          </w:p>
        </w:tc>
      </w:tr>
      <w:tr>
        <w:trPr>
          <w:trHeight w:val="147"/>
        </w:trPr>
        <w:tc>
          <w:tcPr>
            <w:tcW w:w="3600" w:type="dxa"/>
            <w:vAlign w:val="bottom"/>
          </w:tcPr>
          <w:p>
            <w:pPr>
              <w:spacing w:after="0" w:line="147" w:lineRule="exact"/>
              <w:rPr>
                <w:sz w:val="20"/>
                <w:szCs w:val="20"/>
                <w:color w:val="auto"/>
              </w:rPr>
            </w:pPr>
            <w:r>
              <w:rPr>
                <w:rFonts w:ascii="Arial" w:cs="Arial" w:eastAsia="Arial" w:hAnsi="Arial"/>
                <w:sz w:val="13"/>
                <w:szCs w:val="13"/>
                <w:color w:val="auto"/>
              </w:rPr>
              <w:t>Insurance and reinsurance contract liability</w:t>
            </w:r>
          </w:p>
        </w:tc>
        <w:tc>
          <w:tcPr>
            <w:tcW w:w="8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116,515</w:t>
            </w:r>
          </w:p>
        </w:tc>
        <w:tc>
          <w:tcPr>
            <w:tcW w:w="80" w:type="dxa"/>
            <w:vAlign w:val="bottom"/>
          </w:tcPr>
          <w:p>
            <w:pPr>
              <w:spacing w:after="0"/>
              <w:rPr>
                <w:sz w:val="12"/>
                <w:szCs w:val="12"/>
                <w:color w:val="auto"/>
              </w:rPr>
            </w:pPr>
          </w:p>
        </w:tc>
        <w:tc>
          <w:tcPr>
            <w:tcW w:w="86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178,525</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496,768</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1,862,006</w:t>
            </w:r>
          </w:p>
        </w:tc>
        <w:tc>
          <w:tcPr>
            <w:tcW w:w="80" w:type="dxa"/>
            <w:vAlign w:val="bottom"/>
          </w:tcPr>
          <w:p>
            <w:pPr>
              <w:spacing w:after="0"/>
              <w:rPr>
                <w:sz w:val="12"/>
                <w:szCs w:val="12"/>
                <w:color w:val="auto"/>
              </w:rPr>
            </w:pPr>
          </w:p>
        </w:tc>
        <w:tc>
          <w:tcPr>
            <w:tcW w:w="840" w:type="dxa"/>
            <w:vAlign w:val="bottom"/>
          </w:tcPr>
          <w:p>
            <w:pPr>
              <w:jc w:val="right"/>
              <w:ind w:right="15"/>
              <w:spacing w:after="0" w:line="147" w:lineRule="exact"/>
              <w:rPr>
                <w:sz w:val="20"/>
                <w:szCs w:val="20"/>
                <w:color w:val="auto"/>
              </w:rPr>
            </w:pPr>
            <w:r>
              <w:rPr>
                <w:rFonts w:ascii="Arial" w:cs="Arial" w:eastAsia="Arial" w:hAnsi="Arial"/>
                <w:sz w:val="13"/>
                <w:szCs w:val="13"/>
                <w:color w:val="auto"/>
              </w:rPr>
              <w:t>6,822,694</w:t>
            </w:r>
          </w:p>
        </w:tc>
        <w:tc>
          <w:tcPr>
            <w:tcW w:w="80" w:type="dxa"/>
            <w:vAlign w:val="bottom"/>
          </w:tcPr>
          <w:p>
            <w:pPr>
              <w:spacing w:after="0"/>
              <w:rPr>
                <w:sz w:val="12"/>
                <w:szCs w:val="12"/>
                <w:color w:val="auto"/>
              </w:rPr>
            </w:pP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2,841,625</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12,318,133</w:t>
            </w:r>
          </w:p>
        </w:tc>
        <w:tc>
          <w:tcPr>
            <w:tcW w:w="0" w:type="dxa"/>
            <w:vAlign w:val="bottom"/>
          </w:tcPr>
          <w:p>
            <w:pPr>
              <w:spacing w:after="0"/>
              <w:rPr>
                <w:sz w:val="1"/>
                <w:szCs w:val="1"/>
                <w:color w:val="auto"/>
              </w:rPr>
            </w:pPr>
          </w:p>
        </w:tc>
      </w:tr>
      <w:tr>
        <w:trPr>
          <w:trHeight w:val="147"/>
        </w:trPr>
        <w:tc>
          <w:tcPr>
            <w:tcW w:w="3600" w:type="dxa"/>
            <w:vAlign w:val="bottom"/>
          </w:tcPr>
          <w:p>
            <w:pPr>
              <w:spacing w:after="0" w:line="147" w:lineRule="exact"/>
              <w:rPr>
                <w:sz w:val="20"/>
                <w:szCs w:val="20"/>
                <w:color w:val="auto"/>
              </w:rPr>
            </w:pPr>
            <w:r>
              <w:rPr>
                <w:rFonts w:ascii="Arial" w:cs="Arial" w:eastAsia="Arial" w:hAnsi="Arial"/>
                <w:sz w:val="13"/>
                <w:szCs w:val="13"/>
                <w:color w:val="auto"/>
              </w:rPr>
              <w:t>Financial liabilities at fair value through profit or loss</w:t>
            </w: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641,915</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641,915</w:t>
            </w:r>
          </w:p>
        </w:tc>
        <w:tc>
          <w:tcPr>
            <w:tcW w:w="0" w:type="dxa"/>
            <w:vAlign w:val="bottom"/>
          </w:tcPr>
          <w:p>
            <w:pPr>
              <w:spacing w:after="0"/>
              <w:rPr>
                <w:sz w:val="1"/>
                <w:szCs w:val="1"/>
                <w:color w:val="auto"/>
              </w:rPr>
            </w:pPr>
          </w:p>
        </w:tc>
      </w:tr>
      <w:tr>
        <w:trPr>
          <w:trHeight w:val="147"/>
        </w:trPr>
        <w:tc>
          <w:tcPr>
            <w:tcW w:w="3600" w:type="dxa"/>
            <w:vAlign w:val="bottom"/>
          </w:tcPr>
          <w:p>
            <w:pPr>
              <w:spacing w:after="0" w:line="147" w:lineRule="exact"/>
              <w:rPr>
                <w:sz w:val="20"/>
                <w:szCs w:val="20"/>
                <w:color w:val="auto"/>
              </w:rPr>
            </w:pPr>
            <w:r>
              <w:rPr>
                <w:rFonts w:ascii="Arial" w:cs="Arial" w:eastAsia="Arial" w:hAnsi="Arial"/>
                <w:sz w:val="13"/>
                <w:szCs w:val="13"/>
                <w:color w:val="auto"/>
              </w:rPr>
              <w:t>Bonds and Notes issued</w:t>
            </w:r>
          </w:p>
        </w:tc>
        <w:tc>
          <w:tcPr>
            <w:tcW w:w="880" w:type="dxa"/>
            <w:vAlign w:val="bottom"/>
          </w:tcPr>
          <w:p>
            <w:pPr>
              <w:jc w:val="right"/>
              <w:ind w:right="15"/>
              <w:spacing w:after="0" w:line="147" w:lineRule="exact"/>
              <w:rPr>
                <w:sz w:val="20"/>
                <w:szCs w:val="20"/>
                <w:color w:val="auto"/>
              </w:rPr>
            </w:pPr>
            <w:r>
              <w:rPr>
                <w:rFonts w:ascii="Arial" w:cs="Arial" w:eastAsia="Arial" w:hAnsi="Arial"/>
                <w:sz w:val="13"/>
                <w:szCs w:val="13"/>
                <w:color w:val="auto"/>
              </w:rPr>
              <w:t>81,635</w:t>
            </w:r>
          </w:p>
        </w:tc>
        <w:tc>
          <w:tcPr>
            <w:tcW w:w="80" w:type="dxa"/>
            <w:vAlign w:val="bottom"/>
          </w:tcPr>
          <w:p>
            <w:pPr>
              <w:spacing w:after="0"/>
              <w:rPr>
                <w:sz w:val="12"/>
                <w:szCs w:val="12"/>
                <w:color w:val="auto"/>
              </w:rPr>
            </w:pPr>
          </w:p>
        </w:tc>
        <w:tc>
          <w:tcPr>
            <w:tcW w:w="860" w:type="dxa"/>
            <w:vAlign w:val="bottom"/>
          </w:tcPr>
          <w:p>
            <w:pPr>
              <w:jc w:val="right"/>
              <w:ind w:right="15"/>
              <w:spacing w:after="0" w:line="147" w:lineRule="exact"/>
              <w:rPr>
                <w:sz w:val="20"/>
                <w:szCs w:val="20"/>
                <w:color w:val="auto"/>
              </w:rPr>
            </w:pPr>
            <w:r>
              <w:rPr>
                <w:rFonts w:ascii="Arial" w:cs="Arial" w:eastAsia="Arial" w:hAnsi="Arial"/>
                <w:sz w:val="13"/>
                <w:szCs w:val="13"/>
                <w:color w:val="auto"/>
              </w:rPr>
              <w:t>94,831</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5,711,424</w:t>
            </w:r>
          </w:p>
        </w:tc>
        <w:tc>
          <w:tcPr>
            <w:tcW w:w="10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7,944,189</w:t>
            </w:r>
          </w:p>
        </w:tc>
        <w:tc>
          <w:tcPr>
            <w:tcW w:w="80" w:type="dxa"/>
            <w:vAlign w:val="bottom"/>
          </w:tcPr>
          <w:p>
            <w:pPr>
              <w:spacing w:after="0"/>
              <w:rPr>
                <w:sz w:val="12"/>
                <w:szCs w:val="12"/>
                <w:color w:val="auto"/>
              </w:rPr>
            </w:pPr>
          </w:p>
        </w:tc>
        <w:tc>
          <w:tcPr>
            <w:tcW w:w="840" w:type="dxa"/>
            <w:vAlign w:val="bottom"/>
          </w:tcPr>
          <w:p>
            <w:pPr>
              <w:jc w:val="right"/>
              <w:ind w:right="15"/>
              <w:spacing w:after="0" w:line="147" w:lineRule="exact"/>
              <w:rPr>
                <w:sz w:val="20"/>
                <w:szCs w:val="20"/>
                <w:color w:val="auto"/>
              </w:rPr>
            </w:pPr>
            <w:r>
              <w:rPr>
                <w:rFonts w:ascii="Arial" w:cs="Arial" w:eastAsia="Arial" w:hAnsi="Arial"/>
                <w:sz w:val="13"/>
                <w:szCs w:val="13"/>
                <w:color w:val="auto"/>
              </w:rPr>
              <w:t>603,511</w:t>
            </w:r>
          </w:p>
        </w:tc>
        <w:tc>
          <w:tcPr>
            <w:tcW w:w="80" w:type="dxa"/>
            <w:vAlign w:val="bottom"/>
          </w:tcPr>
          <w:p>
            <w:pPr>
              <w:spacing w:after="0"/>
              <w:rPr>
                <w:sz w:val="12"/>
                <w:szCs w:val="12"/>
                <w:color w:val="auto"/>
              </w:rPr>
            </w:pP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159,195</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14,594,785</w:t>
            </w:r>
          </w:p>
        </w:tc>
        <w:tc>
          <w:tcPr>
            <w:tcW w:w="0" w:type="dxa"/>
            <w:vAlign w:val="bottom"/>
          </w:tcPr>
          <w:p>
            <w:pPr>
              <w:spacing w:after="0"/>
              <w:rPr>
                <w:sz w:val="1"/>
                <w:szCs w:val="1"/>
                <w:color w:val="auto"/>
              </w:rPr>
            </w:pPr>
          </w:p>
        </w:tc>
      </w:tr>
      <w:tr>
        <w:trPr>
          <w:trHeight w:val="159"/>
        </w:trPr>
        <w:tc>
          <w:tcPr>
            <w:tcW w:w="3600" w:type="dxa"/>
            <w:vAlign w:val="bottom"/>
          </w:tcPr>
          <w:p>
            <w:pPr>
              <w:spacing w:after="0"/>
              <w:rPr>
                <w:sz w:val="20"/>
                <w:szCs w:val="20"/>
                <w:color w:val="auto"/>
              </w:rPr>
            </w:pPr>
            <w:r>
              <w:rPr>
                <w:rFonts w:ascii="Arial" w:cs="Arial" w:eastAsia="Arial" w:hAnsi="Arial"/>
                <w:sz w:val="13"/>
                <w:szCs w:val="13"/>
                <w:color w:val="auto"/>
              </w:rPr>
              <w:t>Other liabilities (*)</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497,682</w:t>
            </w: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2,046</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4,546,082</w:t>
            </w:r>
          </w:p>
        </w:tc>
        <w:tc>
          <w:tcPr>
            <w:tcW w:w="80" w:type="dxa"/>
            <w:vAlign w:val="bottom"/>
          </w:tcPr>
          <w:p>
            <w:pPr>
              <w:spacing w:after="0"/>
              <w:rPr>
                <w:sz w:val="13"/>
                <w:szCs w:val="13"/>
                <w:color w:val="auto"/>
              </w:rPr>
            </w:pP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5,045,810</w:t>
            </w:r>
          </w:p>
        </w:tc>
        <w:tc>
          <w:tcPr>
            <w:tcW w:w="0" w:type="dxa"/>
            <w:vAlign w:val="bottom"/>
          </w:tcPr>
          <w:p>
            <w:pPr>
              <w:spacing w:after="0"/>
              <w:rPr>
                <w:sz w:val="1"/>
                <w:szCs w:val="1"/>
                <w:color w:val="auto"/>
              </w:rPr>
            </w:pPr>
          </w:p>
        </w:tc>
      </w:tr>
      <w:tr>
        <w:trPr>
          <w:trHeight w:val="154"/>
        </w:trPr>
        <w:tc>
          <w:tcPr>
            <w:tcW w:w="3600" w:type="dxa"/>
            <w:vAlign w:val="bottom"/>
          </w:tcPr>
          <w:p>
            <w:pPr>
              <w:spacing w:after="0"/>
              <w:rPr>
                <w:sz w:val="20"/>
                <w:szCs w:val="20"/>
                <w:color w:val="auto"/>
              </w:rPr>
            </w:pPr>
            <w:r>
              <w:rPr>
                <w:rFonts w:ascii="Arial" w:cs="Arial" w:eastAsia="Arial" w:hAnsi="Arial"/>
                <w:sz w:val="13"/>
                <w:szCs w:val="13"/>
                <w:color w:val="auto"/>
              </w:rPr>
              <w:t>Equity</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33,107,065</w:t>
            </w:r>
          </w:p>
        </w:tc>
        <w:tc>
          <w:tcPr>
            <w:tcW w:w="80" w:type="dxa"/>
            <w:vAlign w:val="bottom"/>
          </w:tcPr>
          <w:p>
            <w:pPr>
              <w:spacing w:after="0"/>
              <w:rPr>
                <w:sz w:val="13"/>
                <w:szCs w:val="13"/>
                <w:color w:val="auto"/>
              </w:rPr>
            </w:pP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33,107,065</w:t>
            </w:r>
          </w:p>
        </w:tc>
        <w:tc>
          <w:tcPr>
            <w:tcW w:w="0" w:type="dxa"/>
            <w:vAlign w:val="bottom"/>
          </w:tcPr>
          <w:p>
            <w:pPr>
              <w:spacing w:after="0"/>
              <w:rPr>
                <w:sz w:val="1"/>
                <w:szCs w:val="1"/>
                <w:color w:val="auto"/>
              </w:rPr>
            </w:pPr>
          </w:p>
        </w:tc>
      </w:tr>
      <w:tr>
        <w:trPr>
          <w:trHeight w:val="151"/>
        </w:trPr>
        <w:tc>
          <w:tcPr>
            <w:tcW w:w="3600" w:type="dxa"/>
            <w:vAlign w:val="bottom"/>
          </w:tcPr>
          <w:p>
            <w:pPr>
              <w:spacing w:after="0"/>
              <w:rPr>
                <w:sz w:val="20"/>
                <w:szCs w:val="20"/>
                <w:color w:val="auto"/>
              </w:rPr>
            </w:pPr>
            <w:r>
              <w:rPr>
                <w:rFonts w:ascii="Arial" w:cs="Arial" w:eastAsia="Arial" w:hAnsi="Arial"/>
                <w:sz w:val="13"/>
                <w:szCs w:val="13"/>
                <w:b w:val="1"/>
                <w:bCs w:val="1"/>
                <w:color w:val="auto"/>
              </w:rPr>
              <w:t>Total liabilities and equity</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47,424,048</w:t>
            </w:r>
          </w:p>
        </w:tc>
        <w:tc>
          <w:tcPr>
            <w:tcW w:w="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23,412,071</w:t>
            </w:r>
          </w:p>
        </w:tc>
        <w:tc>
          <w:tcPr>
            <w:tcW w:w="1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32,449,718</w:t>
            </w:r>
          </w:p>
        </w:tc>
        <w:tc>
          <w:tcPr>
            <w:tcW w:w="1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70,655,639</w:t>
            </w:r>
          </w:p>
        </w:tc>
        <w:tc>
          <w:tcPr>
            <w:tcW w:w="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18,870,552</w:t>
            </w:r>
          </w:p>
        </w:tc>
        <w:tc>
          <w:tcPr>
            <w:tcW w:w="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43,047,782</w:t>
            </w:r>
          </w:p>
        </w:tc>
        <w:tc>
          <w:tcPr>
            <w:tcW w:w="8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235,859,810</w:t>
            </w:r>
          </w:p>
        </w:tc>
        <w:tc>
          <w:tcPr>
            <w:tcW w:w="0" w:type="dxa"/>
            <w:vAlign w:val="bottom"/>
          </w:tcPr>
          <w:p>
            <w:pPr>
              <w:spacing w:after="0"/>
              <w:rPr>
                <w:sz w:val="1"/>
                <w:szCs w:val="1"/>
                <w:color w:val="auto"/>
              </w:rPr>
            </w:pPr>
          </w:p>
        </w:tc>
      </w:tr>
      <w:tr>
        <w:trPr>
          <w:trHeight w:val="278"/>
        </w:trPr>
        <w:tc>
          <w:tcPr>
            <w:tcW w:w="3600" w:type="dxa"/>
            <w:vAlign w:val="bottom"/>
          </w:tcPr>
          <w:p>
            <w:pPr>
              <w:spacing w:after="0"/>
              <w:rPr>
                <w:sz w:val="20"/>
                <w:szCs w:val="20"/>
                <w:color w:val="auto"/>
              </w:rPr>
            </w:pPr>
            <w:r>
              <w:rPr>
                <w:rFonts w:ascii="Arial" w:cs="Arial" w:eastAsia="Arial" w:hAnsi="Arial"/>
                <w:sz w:val="13"/>
                <w:szCs w:val="13"/>
                <w:b w:val="1"/>
                <w:bCs w:val="1"/>
                <w:color w:val="auto"/>
              </w:rPr>
              <w:t>Off-balance-sheet accounts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20"/>
                <w:szCs w:val="20"/>
                <w:color w:val="auto"/>
              </w:rPr>
            </w:pPr>
            <w:r>
              <w:rPr>
                <w:rFonts w:ascii="Arial" w:cs="Arial" w:eastAsia="Arial" w:hAnsi="Arial"/>
                <w:sz w:val="13"/>
                <w:szCs w:val="13"/>
                <w:color w:val="auto"/>
              </w:rPr>
              <w:t>Derivative financial assets</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72,943</w:t>
            </w: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676,380</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749,323</w:t>
            </w:r>
          </w:p>
        </w:tc>
        <w:tc>
          <w:tcPr>
            <w:tcW w:w="0" w:type="dxa"/>
            <w:vAlign w:val="bottom"/>
          </w:tcPr>
          <w:p>
            <w:pPr>
              <w:spacing w:after="0"/>
              <w:rPr>
                <w:sz w:val="1"/>
                <w:szCs w:val="1"/>
                <w:color w:val="auto"/>
              </w:rPr>
            </w:pPr>
          </w:p>
        </w:tc>
      </w:tr>
      <w:tr>
        <w:trPr>
          <w:trHeight w:val="154"/>
        </w:trPr>
        <w:tc>
          <w:tcPr>
            <w:tcW w:w="3600" w:type="dxa"/>
            <w:vAlign w:val="bottom"/>
          </w:tcPr>
          <w:p>
            <w:pPr>
              <w:spacing w:after="0"/>
              <w:rPr>
                <w:sz w:val="20"/>
                <w:szCs w:val="20"/>
                <w:color w:val="auto"/>
              </w:rPr>
            </w:pPr>
            <w:r>
              <w:rPr>
                <w:rFonts w:ascii="Arial" w:cs="Arial" w:eastAsia="Arial" w:hAnsi="Arial"/>
                <w:sz w:val="13"/>
                <w:szCs w:val="13"/>
                <w:color w:val="auto"/>
              </w:rPr>
              <w:t>Derivative financial liabilities</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630,109</w:t>
            </w:r>
          </w:p>
        </w:tc>
        <w:tc>
          <w:tcPr>
            <w:tcW w:w="80" w:type="dxa"/>
            <w:vAlign w:val="bottom"/>
          </w:tcPr>
          <w:p>
            <w:pPr>
              <w:spacing w:after="0"/>
              <w:rPr>
                <w:sz w:val="13"/>
                <w:szCs w:val="13"/>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401,730</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54,849</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1,936,331</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3,023,019</w:t>
            </w:r>
          </w:p>
        </w:tc>
        <w:tc>
          <w:tcPr>
            <w:tcW w:w="0" w:type="dxa"/>
            <w:vAlign w:val="bottom"/>
          </w:tcPr>
          <w:p>
            <w:pPr>
              <w:spacing w:after="0"/>
              <w:rPr>
                <w:sz w:val="1"/>
                <w:szCs w:val="1"/>
                <w:color w:val="auto"/>
              </w:rPr>
            </w:pPr>
          </w:p>
        </w:tc>
      </w:tr>
      <w:tr>
        <w:trPr>
          <w:trHeight w:val="151"/>
        </w:trPr>
        <w:tc>
          <w:tcPr>
            <w:tcW w:w="3600" w:type="dxa"/>
            <w:vAlign w:val="bottom"/>
            <w:vMerge w:val="restart"/>
          </w:tcPr>
          <w:p>
            <w:pPr>
              <w:spacing w:after="0"/>
              <w:rPr>
                <w:sz w:val="20"/>
                <w:szCs w:val="20"/>
                <w:color w:val="auto"/>
              </w:rPr>
            </w:pPr>
            <w:r>
              <w:rPr>
                <w:rFonts w:ascii="Arial" w:cs="Arial" w:eastAsia="Arial" w:hAnsi="Arial"/>
                <w:sz w:val="13"/>
                <w:szCs w:val="13"/>
                <w:b w:val="1"/>
                <w:bCs w:val="1"/>
                <w:color w:val="auto"/>
              </w:rPr>
              <w:t>Marginal gap</w:t>
            </w:r>
          </w:p>
        </w:tc>
        <w:tc>
          <w:tcPr>
            <w:tcW w:w="880" w:type="dxa"/>
            <w:vAlign w:val="bottom"/>
          </w:tcPr>
          <w:p>
            <w:pPr>
              <w:jc w:val="right"/>
              <w:spacing w:after="0"/>
              <w:rPr>
                <w:sz w:val="20"/>
                <w:szCs w:val="20"/>
                <w:color w:val="auto"/>
              </w:rPr>
            </w:pPr>
            <w:r>
              <w:rPr>
                <w:rFonts w:ascii="Arial" w:cs="Arial" w:eastAsia="Arial" w:hAnsi="Arial"/>
                <w:sz w:val="13"/>
                <w:szCs w:val="13"/>
                <w:color w:val="auto"/>
              </w:rPr>
              <w:t>(557,166)</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(401,730)</w:t>
            </w:r>
          </w:p>
        </w:tc>
        <w:tc>
          <w:tcPr>
            <w:tcW w:w="100" w:type="dxa"/>
            <w:vAlign w:val="bottom"/>
          </w:tcPr>
          <w:p>
            <w:pPr>
              <w:spacing w:after="0"/>
              <w:rPr>
                <w:sz w:val="13"/>
                <w:szCs w:val="13"/>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621,531</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(1,936,331)</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(2,273,696)</w:t>
            </w:r>
          </w:p>
        </w:tc>
        <w:tc>
          <w:tcPr>
            <w:tcW w:w="0" w:type="dxa"/>
            <w:vAlign w:val="bottom"/>
          </w:tcPr>
          <w:p>
            <w:pPr>
              <w:spacing w:after="0"/>
              <w:rPr>
                <w:sz w:val="1"/>
                <w:szCs w:val="1"/>
                <w:color w:val="auto"/>
              </w:rPr>
            </w:pPr>
          </w:p>
        </w:tc>
      </w:tr>
      <w:tr>
        <w:trPr>
          <w:trHeight w:val="151"/>
        </w:trPr>
        <w:tc>
          <w:tcPr>
            <w:tcW w:w="3600" w:type="dxa"/>
            <w:vAlign w:val="bottom"/>
            <w:vMerge w:val="continue"/>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(12,082,857)</w:t>
            </w:r>
          </w:p>
        </w:tc>
        <w:tc>
          <w:tcPr>
            <w:tcW w:w="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(633,920)</w:t>
            </w:r>
          </w:p>
        </w:tc>
        <w:tc>
          <w:tcPr>
            <w:tcW w:w="1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19,603,939</w:t>
            </w:r>
          </w:p>
        </w:tc>
        <w:tc>
          <w:tcPr>
            <w:tcW w:w="1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(4,126,758)</w:t>
            </w:r>
          </w:p>
        </w:tc>
        <w:tc>
          <w:tcPr>
            <w:tcW w:w="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14,596,483</w:t>
            </w:r>
          </w:p>
        </w:tc>
        <w:tc>
          <w:tcPr>
            <w:tcW w:w="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(31,971,663)</w:t>
            </w:r>
          </w:p>
        </w:tc>
        <w:tc>
          <w:tcPr>
            <w:tcW w:w="8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(14,614,776)</w:t>
            </w:r>
          </w:p>
        </w:tc>
        <w:tc>
          <w:tcPr>
            <w:tcW w:w="0" w:type="dxa"/>
            <w:vAlign w:val="bottom"/>
          </w:tcPr>
          <w:p>
            <w:pPr>
              <w:spacing w:after="0"/>
              <w:rPr>
                <w:sz w:val="1"/>
                <w:szCs w:val="1"/>
                <w:color w:val="auto"/>
              </w:rPr>
            </w:pPr>
          </w:p>
        </w:tc>
      </w:tr>
      <w:tr>
        <w:trPr>
          <w:trHeight w:val="143"/>
        </w:trPr>
        <w:tc>
          <w:tcPr>
            <w:tcW w:w="3600" w:type="dxa"/>
            <w:vAlign w:val="bottom"/>
          </w:tcPr>
          <w:p>
            <w:pPr>
              <w:spacing w:after="0" w:line="139" w:lineRule="exact"/>
              <w:rPr>
                <w:sz w:val="20"/>
                <w:szCs w:val="20"/>
                <w:color w:val="auto"/>
              </w:rPr>
            </w:pPr>
            <w:r>
              <w:rPr>
                <w:rFonts w:ascii="Arial" w:cs="Arial" w:eastAsia="Arial" w:hAnsi="Arial"/>
                <w:sz w:val="13"/>
                <w:szCs w:val="13"/>
                <w:color w:val="auto"/>
              </w:rPr>
              <w:t>Accumulated gap</w:t>
            </w: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(12,082,857)</w:t>
            </w: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(12,716,777)</w:t>
            </w: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6,887,162</w:t>
            </w: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2,760,404</w:t>
            </w: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17,356,887</w:t>
            </w: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(14,614,776)</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Other assets and other liabilities only include financial accounts.</w:t>
      </w:r>
    </w:p>
    <w:p>
      <w:pPr>
        <w:spacing w:after="0" w:line="183"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27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41275</wp:posOffset>
            </wp:positionV>
            <wp:extent cx="714565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20"/>
          </w:cols>
          <w:pgMar w:left="900" w:top="124" w:right="87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w:t>
      </w:r>
    </w:p>
    <w:p>
      <w:pPr>
        <w:spacing w:after="0" w:line="9" w:lineRule="exact"/>
        <w:rPr>
          <w:sz w:val="20"/>
          <w:szCs w:val="20"/>
          <w:color w:val="auto"/>
        </w:rPr>
      </w:pPr>
    </w:p>
    <w:p>
      <w:pPr>
        <w:ind w:left="160" w:hanging="146"/>
        <w:spacing w:after="0" w:line="235" w:lineRule="auto"/>
        <w:rPr>
          <w:sz w:val="20"/>
          <w:szCs w:val="20"/>
          <w:color w:val="auto"/>
        </w:rPr>
      </w:pPr>
      <w:r>
        <w:rPr>
          <w:rFonts w:ascii="Arial" w:cs="Arial" w:eastAsia="Arial" w:hAnsi="Arial"/>
          <w:sz w:val="13"/>
          <w:szCs w:val="13"/>
          <w:color w:val="auto"/>
        </w:rPr>
        <w:t>Cash and cash collateral, reverse repurchase agreements and securities borrowing</w:t>
      </w:r>
    </w:p>
    <w:p>
      <w:pPr>
        <w:spacing w:after="0" w:line="236" w:lineRule="auto"/>
        <w:rPr>
          <w:sz w:val="20"/>
          <w:szCs w:val="20"/>
          <w:color w:val="auto"/>
        </w:rPr>
      </w:pPr>
      <w:r>
        <w:rPr>
          <w:rFonts w:ascii="Arial" w:cs="Arial" w:eastAsia="Arial" w:hAnsi="Arial"/>
          <w:sz w:val="13"/>
          <w:szCs w:val="13"/>
          <w:color w:val="auto"/>
        </w:rPr>
        <w:t>Investment</w:t>
      </w:r>
    </w:p>
    <w:p>
      <w:pPr>
        <w:spacing w:after="0" w:line="235" w:lineRule="auto"/>
        <w:rPr>
          <w:sz w:val="20"/>
          <w:szCs w:val="20"/>
          <w:color w:val="auto"/>
        </w:rPr>
      </w:pPr>
      <w:r>
        <w:rPr>
          <w:rFonts w:ascii="Arial" w:cs="Arial" w:eastAsia="Arial" w:hAnsi="Arial"/>
          <w:sz w:val="13"/>
          <w:szCs w:val="13"/>
          <w:color w:val="auto"/>
        </w:rPr>
        <w:t>Loans, net</w:t>
      </w:r>
    </w:p>
    <w:p>
      <w:pPr>
        <w:ind w:left="160"/>
        <w:spacing w:after="0" w:line="235" w:lineRule="auto"/>
        <w:rPr>
          <w:sz w:val="20"/>
          <w:szCs w:val="20"/>
          <w:color w:val="auto"/>
        </w:rPr>
      </w:pPr>
      <w:r>
        <w:rPr>
          <w:rFonts w:ascii="Arial" w:cs="Arial" w:eastAsia="Arial" w:hAnsi="Arial"/>
          <w:sz w:val="13"/>
          <w:szCs w:val="13"/>
          <w:color w:val="auto"/>
        </w:rPr>
        <w:t>through profit or loss</w:t>
      </w:r>
    </w:p>
    <w:p>
      <w:pPr>
        <w:spacing w:after="0" w:line="1" w:lineRule="exact"/>
        <w:rPr>
          <w:sz w:val="20"/>
          <w:szCs w:val="20"/>
          <w:color w:val="auto"/>
        </w:rPr>
      </w:pPr>
    </w:p>
    <w:p>
      <w:pPr>
        <w:ind w:right="840"/>
        <w:spacing w:after="0" w:line="246" w:lineRule="auto"/>
        <w:rPr>
          <w:sz w:val="20"/>
          <w:szCs w:val="20"/>
          <w:color w:val="auto"/>
        </w:rPr>
      </w:pPr>
      <w:r>
        <w:rPr>
          <w:rFonts w:ascii="Arial" w:cs="Arial" w:eastAsia="Arial" w:hAnsi="Arial"/>
          <w:sz w:val="13"/>
          <w:szCs w:val="13"/>
          <w:color w:val="auto"/>
        </w:rPr>
        <w:t>Reinsurance and insurance contract assets Other assets (*)</w:t>
      </w:r>
    </w:p>
    <w:p>
      <w:pPr>
        <w:spacing w:after="0"/>
        <w:rPr>
          <w:sz w:val="20"/>
          <w:szCs w:val="20"/>
          <w:color w:val="auto"/>
        </w:rPr>
      </w:pPr>
      <w:r>
        <w:rPr>
          <w:rFonts w:ascii="Arial" w:cs="Arial" w:eastAsia="Arial" w:hAnsi="Arial"/>
          <w:sz w:val="13"/>
          <w:szCs w:val="13"/>
          <w:b w:val="1"/>
          <w:bCs w:val="1"/>
          <w:color w:val="auto"/>
        </w:rPr>
        <w:t>Total assets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Liabilities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Deposits and obligations</w:t>
      </w:r>
    </w:p>
    <w:p>
      <w:pPr>
        <w:ind w:left="160" w:right="260" w:hanging="146"/>
        <w:spacing w:after="0" w:line="235" w:lineRule="auto"/>
        <w:rPr>
          <w:sz w:val="20"/>
          <w:szCs w:val="20"/>
          <w:color w:val="auto"/>
        </w:rPr>
      </w:pPr>
      <w:r>
        <w:rPr>
          <w:rFonts w:ascii="Arial" w:cs="Arial" w:eastAsia="Arial" w:hAnsi="Arial"/>
          <w:sz w:val="13"/>
          <w:szCs w:val="13"/>
          <w:color w:val="auto"/>
        </w:rPr>
        <w:t>Payables from repurchase agreements and securities lending</w:t>
      </w:r>
    </w:p>
    <w:p>
      <w:pPr>
        <w:spacing w:after="0" w:line="236" w:lineRule="auto"/>
        <w:rPr>
          <w:sz w:val="20"/>
          <w:szCs w:val="20"/>
          <w:color w:val="auto"/>
        </w:rPr>
      </w:pPr>
      <w:r>
        <w:rPr>
          <w:rFonts w:ascii="Arial" w:cs="Arial" w:eastAsia="Arial" w:hAnsi="Arial"/>
          <w:sz w:val="13"/>
          <w:szCs w:val="13"/>
          <w:color w:val="auto"/>
        </w:rPr>
        <w:t>Insurance and reinsurance contract liability</w:t>
      </w:r>
    </w:p>
    <w:p>
      <w:pPr>
        <w:spacing w:after="0" w:line="235" w:lineRule="auto"/>
        <w:rPr>
          <w:sz w:val="20"/>
          <w:szCs w:val="20"/>
          <w:color w:val="auto"/>
        </w:rPr>
      </w:pPr>
      <w:r>
        <w:rPr>
          <w:rFonts w:ascii="Arial" w:cs="Arial" w:eastAsia="Arial" w:hAnsi="Arial"/>
          <w:sz w:val="13"/>
          <w:szCs w:val="13"/>
          <w:color w:val="auto"/>
        </w:rPr>
        <w:t>Financial liabilities at fair value through profit or loss</w:t>
      </w:r>
    </w:p>
    <w:p>
      <w:pPr>
        <w:spacing w:after="0" w:line="235" w:lineRule="auto"/>
        <w:rPr>
          <w:sz w:val="20"/>
          <w:szCs w:val="20"/>
          <w:color w:val="auto"/>
        </w:rPr>
      </w:pPr>
      <w:r>
        <w:rPr>
          <w:rFonts w:ascii="Arial" w:cs="Arial" w:eastAsia="Arial" w:hAnsi="Arial"/>
          <w:sz w:val="13"/>
          <w:szCs w:val="13"/>
          <w:color w:val="auto"/>
        </w:rPr>
        <w:t>Bonds and Notes issued</w:t>
      </w:r>
    </w:p>
    <w:p>
      <w:pPr>
        <w:spacing w:after="0" w:line="236" w:lineRule="auto"/>
        <w:rPr>
          <w:sz w:val="20"/>
          <w:szCs w:val="20"/>
          <w:color w:val="auto"/>
        </w:rPr>
      </w:pPr>
      <w:r>
        <w:rPr>
          <w:rFonts w:ascii="Arial" w:cs="Arial" w:eastAsia="Arial" w:hAnsi="Arial"/>
          <w:sz w:val="13"/>
          <w:szCs w:val="13"/>
          <w:color w:val="auto"/>
        </w:rPr>
        <w:t>Other liabilities (*)</w:t>
      </w:r>
    </w:p>
    <w:p>
      <w:pPr>
        <w:spacing w:after="0"/>
        <w:rPr>
          <w:sz w:val="20"/>
          <w:szCs w:val="20"/>
          <w:color w:val="auto"/>
        </w:rPr>
      </w:pPr>
      <w:r>
        <w:rPr>
          <w:rFonts w:ascii="Arial" w:cs="Arial" w:eastAsia="Arial" w:hAnsi="Arial"/>
          <w:sz w:val="13"/>
          <w:szCs w:val="13"/>
          <w:color w:val="auto"/>
        </w:rPr>
        <w:t>Equity</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liabilities and equity</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Off-balance-sheet accounts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Derivative financial assets</w:t>
      </w:r>
    </w:p>
    <w:p>
      <w:pPr>
        <w:spacing w:after="0"/>
        <w:rPr>
          <w:sz w:val="20"/>
          <w:szCs w:val="20"/>
          <w:color w:val="auto"/>
        </w:rPr>
      </w:pPr>
      <w:r>
        <w:rPr>
          <w:rFonts w:ascii="Arial" w:cs="Arial" w:eastAsia="Arial" w:hAnsi="Arial"/>
          <w:sz w:val="13"/>
          <w:szCs w:val="13"/>
          <w:color w:val="auto"/>
        </w:rPr>
        <w:t>Derivative financial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Marginal gap</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Accumulated gap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920" w:type="dxa"/>
            <w:vAlign w:val="bottom"/>
            <w:tcBorders>
              <w:top w:val="single" w:sz="8" w:color="auto"/>
            </w:tcBorders>
            <w:gridSpan w:val="3"/>
          </w:tcPr>
          <w:p>
            <w:pPr>
              <w:spacing w:after="0" w:line="144" w:lineRule="exact"/>
              <w:rPr>
                <w:sz w:val="20"/>
                <w:szCs w:val="20"/>
                <w:color w:val="auto"/>
              </w:rPr>
            </w:pPr>
            <w:r>
              <w:rPr>
                <w:rFonts w:ascii="Arial" w:cs="Arial" w:eastAsia="Arial" w:hAnsi="Arial"/>
                <w:sz w:val="13"/>
                <w:szCs w:val="13"/>
                <w:b w:val="1"/>
                <w:bCs w:val="1"/>
                <w:color w:val="auto"/>
              </w:rPr>
              <w:t>Up to 1</w:t>
            </w:r>
          </w:p>
        </w:tc>
        <w:tc>
          <w:tcPr>
            <w:tcW w:w="920" w:type="dxa"/>
            <w:vAlign w:val="bottom"/>
            <w:tcBorders>
              <w:top w:val="single" w:sz="8" w:color="auto"/>
            </w:tcBorders>
            <w:gridSpan w:val="2"/>
          </w:tcPr>
          <w:p>
            <w:pPr>
              <w:spacing w:after="0" w:line="144" w:lineRule="exact"/>
              <w:rPr>
                <w:sz w:val="20"/>
                <w:szCs w:val="20"/>
                <w:color w:val="auto"/>
              </w:rPr>
            </w:pPr>
            <w:r>
              <w:rPr>
                <w:rFonts w:ascii="Arial" w:cs="Arial" w:eastAsia="Arial" w:hAnsi="Arial"/>
                <w:sz w:val="13"/>
                <w:szCs w:val="13"/>
                <w:b w:val="1"/>
                <w:bCs w:val="1"/>
                <w:color w:val="auto"/>
              </w:rPr>
              <w:t>1 to 3</w:t>
            </w:r>
          </w:p>
        </w:tc>
        <w:tc>
          <w:tcPr>
            <w:tcW w:w="820" w:type="dxa"/>
            <w:vAlign w:val="bottom"/>
            <w:tcBorders>
              <w:top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3 to 12</w:t>
            </w:r>
          </w:p>
        </w:tc>
        <w:tc>
          <w:tcPr>
            <w:tcW w:w="960" w:type="dxa"/>
            <w:vAlign w:val="bottom"/>
            <w:tcBorders>
              <w:top w:val="single" w:sz="8" w:color="auto"/>
            </w:tcBorders>
            <w:gridSpan w:val="2"/>
          </w:tcPr>
          <w:p>
            <w:pPr>
              <w:ind w:left="100"/>
              <w:spacing w:after="0" w:line="144" w:lineRule="exact"/>
              <w:rPr>
                <w:sz w:val="20"/>
                <w:szCs w:val="20"/>
                <w:color w:val="auto"/>
              </w:rPr>
            </w:pPr>
            <w:r>
              <w:rPr>
                <w:rFonts w:ascii="Arial" w:cs="Arial" w:eastAsia="Arial" w:hAnsi="Arial"/>
                <w:sz w:val="13"/>
                <w:szCs w:val="13"/>
                <w:b w:val="1"/>
                <w:bCs w:val="1"/>
                <w:color w:val="auto"/>
              </w:rPr>
              <w:t>1 to 5</w:t>
            </w:r>
          </w:p>
        </w:tc>
        <w:tc>
          <w:tcPr>
            <w:tcW w:w="1000" w:type="dxa"/>
            <w:vAlign w:val="bottom"/>
            <w:tcBorders>
              <w:top w:val="single" w:sz="8" w:color="auto"/>
            </w:tcBorders>
            <w:gridSpan w:val="3"/>
          </w:tcPr>
          <w:p>
            <w:pPr>
              <w:ind w:left="80"/>
              <w:spacing w:after="0" w:line="144" w:lineRule="exact"/>
              <w:rPr>
                <w:sz w:val="20"/>
                <w:szCs w:val="20"/>
                <w:color w:val="auto"/>
              </w:rPr>
            </w:pPr>
            <w:r>
              <w:rPr>
                <w:rFonts w:ascii="Arial" w:cs="Arial" w:eastAsia="Arial" w:hAnsi="Arial"/>
                <w:sz w:val="13"/>
                <w:szCs w:val="13"/>
                <w:b w:val="1"/>
                <w:bCs w:val="1"/>
                <w:color w:val="auto"/>
              </w:rPr>
              <w:t>More than</w:t>
            </w:r>
          </w:p>
        </w:tc>
        <w:tc>
          <w:tcPr>
            <w:tcW w:w="960" w:type="dxa"/>
            <w:vAlign w:val="bottom"/>
            <w:tcBorders>
              <w:top w:val="single" w:sz="8" w:color="auto"/>
            </w:tcBorders>
            <w:gridSpan w:val="2"/>
          </w:tcPr>
          <w:p>
            <w:pPr>
              <w:spacing w:after="0" w:line="144" w:lineRule="exact"/>
              <w:rPr>
                <w:sz w:val="20"/>
                <w:szCs w:val="20"/>
                <w:color w:val="auto"/>
              </w:rPr>
            </w:pPr>
            <w:r>
              <w:rPr>
                <w:rFonts w:ascii="Arial" w:cs="Arial" w:eastAsia="Arial" w:hAnsi="Arial"/>
                <w:sz w:val="13"/>
                <w:szCs w:val="13"/>
                <w:b w:val="1"/>
                <w:bCs w:val="1"/>
                <w:color w:val="auto"/>
              </w:rPr>
              <w:t>Non-interest</w:t>
            </w:r>
          </w:p>
        </w:tc>
        <w:tc>
          <w:tcPr>
            <w:tcW w:w="900" w:type="dxa"/>
            <w:vAlign w:val="bottom"/>
            <w:tcBorders>
              <w:top w:val="single" w:sz="8" w:color="auto"/>
            </w:tcBorders>
          </w:tcPr>
          <w:p>
            <w:pPr>
              <w:spacing w:after="0"/>
              <w:rPr>
                <w:sz w:val="12"/>
                <w:szCs w:val="12"/>
                <w:color w:val="auto"/>
              </w:rPr>
            </w:pPr>
          </w:p>
        </w:tc>
      </w:tr>
      <w:tr>
        <w:trPr>
          <w:trHeight w:val="154"/>
        </w:trPr>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month</w:t>
            </w: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months</w:t>
            </w:r>
          </w:p>
        </w:tc>
        <w:tc>
          <w:tcPr>
            <w:tcW w:w="820" w:type="dxa"/>
            <w:vAlign w:val="bottom"/>
          </w:tcPr>
          <w:p>
            <w:pPr>
              <w:spacing w:after="0"/>
              <w:rPr>
                <w:sz w:val="20"/>
                <w:szCs w:val="20"/>
                <w:color w:val="auto"/>
              </w:rPr>
            </w:pPr>
            <w:r>
              <w:rPr>
                <w:rFonts w:ascii="Arial" w:cs="Arial" w:eastAsia="Arial" w:hAnsi="Arial"/>
                <w:sz w:val="13"/>
                <w:szCs w:val="13"/>
                <w:b w:val="1"/>
                <w:bCs w:val="1"/>
                <w:color w:val="auto"/>
              </w:rPr>
              <w:t>months</w:t>
            </w: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years</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5 years</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bearing</w:t>
            </w:r>
          </w:p>
        </w:tc>
        <w:tc>
          <w:tcPr>
            <w:tcW w:w="900" w:type="dxa"/>
            <w:vAlign w:val="bottom"/>
          </w:tcPr>
          <w:p>
            <w:pPr>
              <w:spacing w:after="0"/>
              <w:rPr>
                <w:sz w:val="20"/>
                <w:szCs w:val="20"/>
                <w:color w:val="auto"/>
              </w:rPr>
            </w:pPr>
            <w:r>
              <w:rPr>
                <w:rFonts w:ascii="Arial" w:cs="Arial" w:eastAsia="Arial" w:hAnsi="Arial"/>
                <w:sz w:val="13"/>
                <w:szCs w:val="13"/>
                <w:b w:val="1"/>
                <w:bCs w:val="1"/>
                <w:color w:val="auto"/>
              </w:rPr>
              <w:t>Total</w:t>
            </w:r>
          </w:p>
        </w:tc>
      </w:tr>
      <w:tr>
        <w:trPr>
          <w:trHeight w:val="170"/>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r>
      <w:tr>
        <w:trPr>
          <w:trHeight w:val="401"/>
        </w:trPr>
        <w:tc>
          <w:tcPr>
            <w:tcW w:w="840" w:type="dxa"/>
            <w:vAlign w:val="bottom"/>
            <w:gridSpan w:val="2"/>
          </w:tcPr>
          <w:p>
            <w:pPr>
              <w:jc w:val="right"/>
              <w:ind w:right="15"/>
              <w:spacing w:after="0"/>
              <w:rPr>
                <w:sz w:val="20"/>
                <w:szCs w:val="20"/>
                <w:color w:val="auto"/>
              </w:rPr>
            </w:pPr>
            <w:r>
              <w:rPr>
                <w:rFonts w:ascii="Arial" w:cs="Arial" w:eastAsia="Arial" w:hAnsi="Arial"/>
                <w:sz w:val="13"/>
                <w:szCs w:val="13"/>
                <w:color w:val="auto"/>
              </w:rPr>
              <w:t>15,413,219</w:t>
            </w:r>
          </w:p>
        </w:tc>
        <w:tc>
          <w:tcPr>
            <w:tcW w:w="80" w:type="dxa"/>
            <w:vAlign w:val="bottom"/>
          </w:tcPr>
          <w:p>
            <w:pPr>
              <w:spacing w:after="0"/>
              <w:rPr>
                <w:sz w:val="24"/>
                <w:szCs w:val="2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1,339,844</w:t>
            </w:r>
          </w:p>
        </w:tc>
        <w:tc>
          <w:tcPr>
            <w:tcW w:w="8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2,635,747</w:t>
            </w:r>
          </w:p>
        </w:tc>
        <w:tc>
          <w:tcPr>
            <w:tcW w:w="960" w:type="dxa"/>
            <w:vAlign w:val="bottom"/>
            <w:gridSpan w:val="2"/>
          </w:tcPr>
          <w:p>
            <w:pPr>
              <w:jc w:val="right"/>
              <w:ind w:right="15"/>
              <w:spacing w:after="0"/>
              <w:rPr>
                <w:sz w:val="20"/>
                <w:szCs w:val="20"/>
                <w:color w:val="auto"/>
              </w:rPr>
            </w:pPr>
            <w:r>
              <w:rPr>
                <w:rFonts w:ascii="Arial" w:cs="Arial" w:eastAsia="Arial" w:hAnsi="Arial"/>
                <w:sz w:val="13"/>
                <w:szCs w:val="13"/>
                <w:color w:val="auto"/>
              </w:rPr>
              <w:t>8,875,620</w:t>
            </w:r>
          </w:p>
        </w:tc>
        <w:tc>
          <w:tcPr>
            <w:tcW w:w="920" w:type="dxa"/>
            <w:vAlign w:val="bottom"/>
            <w:gridSpan w:val="2"/>
          </w:tcPr>
          <w:p>
            <w:pPr>
              <w:jc w:val="right"/>
              <w:ind w:right="15"/>
              <w:spacing w:after="0"/>
              <w:rPr>
                <w:sz w:val="20"/>
                <w:szCs w:val="20"/>
                <w:color w:val="auto"/>
              </w:rPr>
            </w:pPr>
            <w:r>
              <w:rPr>
                <w:rFonts w:ascii="Arial" w:cs="Arial" w:eastAsia="Arial" w:hAnsi="Arial"/>
                <w:sz w:val="13"/>
                <w:szCs w:val="13"/>
                <w:color w:val="auto"/>
              </w:rPr>
              <w:t>184,437</w:t>
            </w:r>
          </w:p>
        </w:tc>
        <w:tc>
          <w:tcPr>
            <w:tcW w:w="80" w:type="dxa"/>
            <w:vAlign w:val="bottom"/>
          </w:tcPr>
          <w:p>
            <w:pPr>
              <w:spacing w:after="0"/>
              <w:rPr>
                <w:sz w:val="24"/>
                <w:szCs w:val="24"/>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6,836,829</w:t>
            </w:r>
          </w:p>
        </w:tc>
        <w:tc>
          <w:tcPr>
            <w:tcW w:w="8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35,285,696</w:t>
            </w:r>
          </w:p>
        </w:tc>
      </w:tr>
      <w:tr>
        <w:trPr>
          <w:trHeight w:val="147"/>
        </w:trPr>
        <w:tc>
          <w:tcPr>
            <w:tcW w:w="84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6,177,458</w:t>
            </w:r>
          </w:p>
        </w:tc>
        <w:tc>
          <w:tcPr>
            <w:tcW w:w="80" w:type="dxa"/>
            <w:vAlign w:val="bottom"/>
          </w:tcPr>
          <w:p>
            <w:pPr>
              <w:spacing w:after="0"/>
              <w:rPr>
                <w:sz w:val="12"/>
                <w:szCs w:val="12"/>
                <w:color w:val="auto"/>
              </w:rPr>
            </w:pPr>
          </w:p>
        </w:tc>
        <w:tc>
          <w:tcPr>
            <w:tcW w:w="840" w:type="dxa"/>
            <w:vAlign w:val="bottom"/>
          </w:tcPr>
          <w:p>
            <w:pPr>
              <w:jc w:val="right"/>
              <w:ind w:right="35"/>
              <w:spacing w:after="0" w:line="147" w:lineRule="exact"/>
              <w:rPr>
                <w:sz w:val="20"/>
                <w:szCs w:val="20"/>
                <w:color w:val="auto"/>
              </w:rPr>
            </w:pPr>
            <w:r>
              <w:rPr>
                <w:rFonts w:ascii="Arial" w:cs="Arial" w:eastAsia="Arial" w:hAnsi="Arial"/>
                <w:sz w:val="13"/>
                <w:szCs w:val="13"/>
                <w:color w:val="auto"/>
              </w:rPr>
              <w:t>2,548,155</w:t>
            </w:r>
          </w:p>
        </w:tc>
        <w:tc>
          <w:tcPr>
            <w:tcW w:w="8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3,088,999</w:t>
            </w:r>
          </w:p>
        </w:tc>
        <w:tc>
          <w:tcPr>
            <w:tcW w:w="96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10,793,965</w:t>
            </w:r>
          </w:p>
        </w:tc>
        <w:tc>
          <w:tcPr>
            <w:tcW w:w="92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18,286,282</w:t>
            </w:r>
          </w:p>
        </w:tc>
        <w:tc>
          <w:tcPr>
            <w:tcW w:w="80" w:type="dxa"/>
            <w:vAlign w:val="bottom"/>
          </w:tcPr>
          <w:p>
            <w:pPr>
              <w:spacing w:after="0"/>
              <w:rPr>
                <w:sz w:val="12"/>
                <w:szCs w:val="12"/>
                <w:color w:val="auto"/>
              </w:rPr>
            </w:pP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337,031</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41,231,890</w:t>
            </w:r>
          </w:p>
        </w:tc>
      </w:tr>
      <w:tr>
        <w:trPr>
          <w:trHeight w:val="147"/>
        </w:trPr>
        <w:tc>
          <w:tcPr>
            <w:tcW w:w="84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18,513,077</w:t>
            </w:r>
          </w:p>
        </w:tc>
        <w:tc>
          <w:tcPr>
            <w:tcW w:w="80" w:type="dxa"/>
            <w:vAlign w:val="bottom"/>
          </w:tcPr>
          <w:p>
            <w:pPr>
              <w:spacing w:after="0"/>
              <w:rPr>
                <w:sz w:val="12"/>
                <w:szCs w:val="12"/>
                <w:color w:val="auto"/>
              </w:rPr>
            </w:pPr>
          </w:p>
        </w:tc>
        <w:tc>
          <w:tcPr>
            <w:tcW w:w="840" w:type="dxa"/>
            <w:vAlign w:val="bottom"/>
          </w:tcPr>
          <w:p>
            <w:pPr>
              <w:jc w:val="right"/>
              <w:ind w:right="35"/>
              <w:spacing w:after="0" w:line="147" w:lineRule="exact"/>
              <w:rPr>
                <w:sz w:val="20"/>
                <w:szCs w:val="20"/>
                <w:color w:val="auto"/>
              </w:rPr>
            </w:pPr>
            <w:r>
              <w:rPr>
                <w:rFonts w:ascii="Arial" w:cs="Arial" w:eastAsia="Arial" w:hAnsi="Arial"/>
                <w:sz w:val="13"/>
                <w:szCs w:val="13"/>
                <w:color w:val="auto"/>
              </w:rPr>
              <w:t>20,548,048</w:t>
            </w:r>
          </w:p>
        </w:tc>
        <w:tc>
          <w:tcPr>
            <w:tcW w:w="8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38,917,974</w:t>
            </w:r>
          </w:p>
        </w:tc>
        <w:tc>
          <w:tcPr>
            <w:tcW w:w="96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46,932,699</w:t>
            </w:r>
          </w:p>
        </w:tc>
        <w:tc>
          <w:tcPr>
            <w:tcW w:w="92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15,367,868</w:t>
            </w:r>
          </w:p>
        </w:tc>
        <w:tc>
          <w:tcPr>
            <w:tcW w:w="80" w:type="dxa"/>
            <w:vAlign w:val="bottom"/>
          </w:tcPr>
          <w:p>
            <w:pPr>
              <w:spacing w:after="0"/>
              <w:rPr>
                <w:sz w:val="12"/>
                <w:szCs w:val="12"/>
                <w:color w:val="auto"/>
              </w:rPr>
            </w:pP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474,306</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140,753,972</w:t>
            </w:r>
          </w:p>
        </w:tc>
      </w:tr>
      <w:tr>
        <w:trPr>
          <w:trHeight w:val="147"/>
        </w:trPr>
        <w:tc>
          <w:tcPr>
            <w:tcW w:w="84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40" w:type="dxa"/>
            <w:vAlign w:val="bottom"/>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768,801</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768,801</w:t>
            </w:r>
          </w:p>
        </w:tc>
      </w:tr>
      <w:tr>
        <w:trPr>
          <w:trHeight w:val="159"/>
        </w:trPr>
        <w:tc>
          <w:tcPr>
            <w:tcW w:w="840" w:type="dxa"/>
            <w:vAlign w:val="bottom"/>
            <w:gridSpan w:val="2"/>
          </w:tcPr>
          <w:p>
            <w:pPr>
              <w:jc w:val="right"/>
              <w:ind w:right="15"/>
              <w:spacing w:after="0"/>
              <w:rPr>
                <w:sz w:val="20"/>
                <w:szCs w:val="20"/>
                <w:color w:val="auto"/>
              </w:rPr>
            </w:pPr>
            <w:r>
              <w:rPr>
                <w:rFonts w:ascii="Arial" w:cs="Arial" w:eastAsia="Arial" w:hAnsi="Arial"/>
                <w:sz w:val="13"/>
                <w:szCs w:val="13"/>
                <w:color w:val="auto"/>
              </w:rPr>
              <w:t>62,001</w:t>
            </w: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124,001</w:t>
            </w:r>
          </w:p>
        </w:tc>
        <w:tc>
          <w:tcPr>
            <w:tcW w:w="80" w:type="dxa"/>
            <w:vAlign w:val="bottom"/>
          </w:tcPr>
          <w:p>
            <w:pPr>
              <w:spacing w:after="0"/>
              <w:rPr>
                <w:sz w:val="13"/>
                <w:szCs w:val="13"/>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558,006</w:t>
            </w:r>
          </w:p>
        </w:tc>
        <w:tc>
          <w:tcPr>
            <w:tcW w:w="96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744,008</w:t>
            </w:r>
          </w:p>
        </w:tc>
      </w:tr>
      <w:tr>
        <w:trPr>
          <w:trHeight w:val="154"/>
        </w:trPr>
        <w:tc>
          <w:tcPr>
            <w:tcW w:w="20" w:type="dxa"/>
            <w:vAlign w:val="bottom"/>
          </w:tcPr>
          <w:p>
            <w:pPr>
              <w:spacing w:after="0"/>
              <w:rPr>
                <w:sz w:val="13"/>
                <w:szCs w:val="13"/>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66,225</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2,531,629</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2,597,854</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40,231,980</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24,560,048</w:t>
            </w: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45,200,726</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66,602,284</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33,838,587</w:t>
            </w:r>
          </w:p>
        </w:tc>
        <w:tc>
          <w:tcPr>
            <w:tcW w:w="80" w:type="dxa"/>
            <w:vAlign w:val="bottom"/>
          </w:tcPr>
          <w:p>
            <w:pPr>
              <w:spacing w:after="0"/>
              <w:rPr>
                <w:sz w:val="13"/>
                <w:szCs w:val="13"/>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10,948,596</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221,382,221</w:t>
            </w:r>
          </w:p>
        </w:tc>
      </w:tr>
      <w:tr>
        <w:trPr>
          <w:trHeight w:val="450"/>
        </w:trPr>
        <w:tc>
          <w:tcPr>
            <w:tcW w:w="840" w:type="dxa"/>
            <w:vAlign w:val="bottom"/>
            <w:gridSpan w:val="2"/>
          </w:tcPr>
          <w:p>
            <w:pPr>
              <w:jc w:val="right"/>
              <w:ind w:right="15"/>
              <w:spacing w:after="0"/>
              <w:rPr>
                <w:sz w:val="20"/>
                <w:szCs w:val="20"/>
                <w:color w:val="auto"/>
              </w:rPr>
            </w:pPr>
            <w:r>
              <w:rPr>
                <w:rFonts w:ascii="Arial" w:cs="Arial" w:eastAsia="Arial" w:hAnsi="Arial"/>
                <w:sz w:val="13"/>
                <w:szCs w:val="13"/>
                <w:color w:val="auto"/>
              </w:rPr>
              <w:t>36,293,889</w:t>
            </w:r>
          </w:p>
        </w:tc>
        <w:tc>
          <w:tcPr>
            <w:tcW w:w="80" w:type="dxa"/>
            <w:vAlign w:val="bottom"/>
          </w:tcPr>
          <w:p>
            <w:pPr>
              <w:spacing w:after="0"/>
              <w:rPr>
                <w:sz w:val="24"/>
                <w:szCs w:val="2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13,244,363</w:t>
            </w:r>
          </w:p>
        </w:tc>
        <w:tc>
          <w:tcPr>
            <w:tcW w:w="8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24,789,328</w:t>
            </w:r>
          </w:p>
        </w:tc>
        <w:tc>
          <w:tcPr>
            <w:tcW w:w="960" w:type="dxa"/>
            <w:vAlign w:val="bottom"/>
            <w:gridSpan w:val="2"/>
          </w:tcPr>
          <w:p>
            <w:pPr>
              <w:jc w:val="right"/>
              <w:ind w:right="15"/>
              <w:spacing w:after="0"/>
              <w:rPr>
                <w:sz w:val="20"/>
                <w:szCs w:val="20"/>
                <w:color w:val="auto"/>
              </w:rPr>
            </w:pPr>
            <w:r>
              <w:rPr>
                <w:rFonts w:ascii="Arial" w:cs="Arial" w:eastAsia="Arial" w:hAnsi="Arial"/>
                <w:sz w:val="13"/>
                <w:szCs w:val="13"/>
                <w:color w:val="auto"/>
              </w:rPr>
              <w:t>61,459,266</w:t>
            </w:r>
          </w:p>
        </w:tc>
        <w:tc>
          <w:tcPr>
            <w:tcW w:w="920" w:type="dxa"/>
            <w:vAlign w:val="bottom"/>
            <w:gridSpan w:val="2"/>
          </w:tcPr>
          <w:p>
            <w:pPr>
              <w:jc w:val="right"/>
              <w:ind w:right="15"/>
              <w:spacing w:after="0"/>
              <w:rPr>
                <w:sz w:val="20"/>
                <w:szCs w:val="20"/>
                <w:color w:val="auto"/>
              </w:rPr>
            </w:pPr>
            <w:r>
              <w:rPr>
                <w:rFonts w:ascii="Arial" w:cs="Arial" w:eastAsia="Arial" w:hAnsi="Arial"/>
                <w:sz w:val="13"/>
                <w:szCs w:val="13"/>
                <w:color w:val="auto"/>
              </w:rPr>
              <w:t>8,201,016</w:t>
            </w:r>
          </w:p>
        </w:tc>
        <w:tc>
          <w:tcPr>
            <w:tcW w:w="80" w:type="dxa"/>
            <w:vAlign w:val="bottom"/>
          </w:tcPr>
          <w:p>
            <w:pPr>
              <w:spacing w:after="0"/>
              <w:rPr>
                <w:sz w:val="24"/>
                <w:szCs w:val="24"/>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3,032,925</w:t>
            </w:r>
          </w:p>
        </w:tc>
        <w:tc>
          <w:tcPr>
            <w:tcW w:w="8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147,020,787</w:t>
            </w:r>
          </w:p>
        </w:tc>
      </w:tr>
      <w:tr>
        <w:trPr>
          <w:trHeight w:val="268"/>
        </w:trPr>
        <w:tc>
          <w:tcPr>
            <w:tcW w:w="840" w:type="dxa"/>
            <w:vAlign w:val="bottom"/>
            <w:gridSpan w:val="2"/>
          </w:tcPr>
          <w:p>
            <w:pPr>
              <w:jc w:val="right"/>
              <w:ind w:right="15"/>
              <w:spacing w:after="0"/>
              <w:rPr>
                <w:sz w:val="20"/>
                <w:szCs w:val="20"/>
                <w:color w:val="auto"/>
              </w:rPr>
            </w:pPr>
            <w:r>
              <w:rPr>
                <w:rFonts w:ascii="Arial" w:cs="Arial" w:eastAsia="Arial" w:hAnsi="Arial"/>
                <w:sz w:val="13"/>
                <w:szCs w:val="13"/>
                <w:color w:val="auto"/>
              </w:rPr>
              <w:t>2,919,374</w:t>
            </w:r>
          </w:p>
        </w:tc>
        <w:tc>
          <w:tcPr>
            <w:tcW w:w="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2,193,017</w:t>
            </w:r>
          </w:p>
        </w:tc>
        <w:tc>
          <w:tcPr>
            <w:tcW w:w="8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5,582,701</w:t>
            </w:r>
          </w:p>
        </w:tc>
        <w:tc>
          <w:tcPr>
            <w:tcW w:w="960" w:type="dxa"/>
            <w:vAlign w:val="bottom"/>
            <w:gridSpan w:val="2"/>
          </w:tcPr>
          <w:p>
            <w:pPr>
              <w:jc w:val="right"/>
              <w:ind w:right="15"/>
              <w:spacing w:after="0"/>
              <w:rPr>
                <w:sz w:val="20"/>
                <w:szCs w:val="20"/>
                <w:color w:val="auto"/>
              </w:rPr>
            </w:pPr>
            <w:r>
              <w:rPr>
                <w:rFonts w:ascii="Arial" w:cs="Arial" w:eastAsia="Arial" w:hAnsi="Arial"/>
                <w:sz w:val="13"/>
                <w:szCs w:val="13"/>
                <w:color w:val="auto"/>
              </w:rPr>
              <w:t>7,368,172</w:t>
            </w:r>
          </w:p>
        </w:tc>
        <w:tc>
          <w:tcPr>
            <w:tcW w:w="920" w:type="dxa"/>
            <w:vAlign w:val="bottom"/>
            <w:gridSpan w:val="2"/>
          </w:tcPr>
          <w:p>
            <w:pPr>
              <w:jc w:val="right"/>
              <w:ind w:right="15"/>
              <w:spacing w:after="0"/>
              <w:rPr>
                <w:sz w:val="20"/>
                <w:szCs w:val="20"/>
                <w:color w:val="auto"/>
              </w:rPr>
            </w:pPr>
            <w:r>
              <w:rPr>
                <w:rFonts w:ascii="Arial" w:cs="Arial" w:eastAsia="Arial" w:hAnsi="Arial"/>
                <w:sz w:val="13"/>
                <w:szCs w:val="13"/>
                <w:color w:val="auto"/>
              </w:rPr>
              <w:t>3,160,922</w:t>
            </w:r>
          </w:p>
        </w:tc>
        <w:tc>
          <w:tcPr>
            <w:tcW w:w="80" w:type="dxa"/>
            <w:vAlign w:val="bottom"/>
          </w:tcPr>
          <w:p>
            <w:pPr>
              <w:spacing w:after="0"/>
              <w:rPr>
                <w:sz w:val="23"/>
                <w:szCs w:val="23"/>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679,950</w:t>
            </w:r>
          </w:p>
        </w:tc>
        <w:tc>
          <w:tcPr>
            <w:tcW w:w="8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21,904,136</w:t>
            </w:r>
          </w:p>
        </w:tc>
      </w:tr>
      <w:tr>
        <w:trPr>
          <w:trHeight w:val="147"/>
        </w:trPr>
        <w:tc>
          <w:tcPr>
            <w:tcW w:w="84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198,602</w:t>
            </w:r>
          </w:p>
        </w:tc>
        <w:tc>
          <w:tcPr>
            <w:tcW w:w="80" w:type="dxa"/>
            <w:vAlign w:val="bottom"/>
          </w:tcPr>
          <w:p>
            <w:pPr>
              <w:spacing w:after="0"/>
              <w:rPr>
                <w:sz w:val="12"/>
                <w:szCs w:val="12"/>
                <w:color w:val="auto"/>
              </w:rPr>
            </w:pPr>
          </w:p>
        </w:tc>
        <w:tc>
          <w:tcPr>
            <w:tcW w:w="840" w:type="dxa"/>
            <w:vAlign w:val="bottom"/>
          </w:tcPr>
          <w:p>
            <w:pPr>
              <w:jc w:val="right"/>
              <w:ind w:right="35"/>
              <w:spacing w:after="0" w:line="147" w:lineRule="exact"/>
              <w:rPr>
                <w:sz w:val="20"/>
                <w:szCs w:val="20"/>
                <w:color w:val="auto"/>
              </w:rPr>
            </w:pPr>
            <w:r>
              <w:rPr>
                <w:rFonts w:ascii="Arial" w:cs="Arial" w:eastAsia="Arial" w:hAnsi="Arial"/>
                <w:sz w:val="13"/>
                <w:szCs w:val="13"/>
                <w:color w:val="auto"/>
              </w:rPr>
              <w:t>279,488</w:t>
            </w:r>
          </w:p>
        </w:tc>
        <w:tc>
          <w:tcPr>
            <w:tcW w:w="8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515,873</w:t>
            </w:r>
          </w:p>
        </w:tc>
        <w:tc>
          <w:tcPr>
            <w:tcW w:w="96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1,526,519</w:t>
            </w:r>
          </w:p>
        </w:tc>
        <w:tc>
          <w:tcPr>
            <w:tcW w:w="92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7,329,609</w:t>
            </w:r>
          </w:p>
        </w:tc>
        <w:tc>
          <w:tcPr>
            <w:tcW w:w="80" w:type="dxa"/>
            <w:vAlign w:val="bottom"/>
          </w:tcPr>
          <w:p>
            <w:pPr>
              <w:spacing w:after="0"/>
              <w:rPr>
                <w:sz w:val="12"/>
                <w:szCs w:val="12"/>
                <w:color w:val="auto"/>
              </w:rPr>
            </w:pP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1,303,917</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11,154,008</w:t>
            </w:r>
          </w:p>
        </w:tc>
      </w:tr>
      <w:tr>
        <w:trPr>
          <w:trHeight w:val="147"/>
        </w:trPr>
        <w:tc>
          <w:tcPr>
            <w:tcW w:w="20" w:type="dxa"/>
            <w:vAlign w:val="bottom"/>
          </w:tcPr>
          <w:p>
            <w:pPr>
              <w:spacing w:after="0"/>
              <w:rPr>
                <w:sz w:val="12"/>
                <w:szCs w:val="12"/>
                <w:color w:val="auto"/>
              </w:rPr>
            </w:pP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191,010</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191,010</w:t>
            </w:r>
          </w:p>
        </w:tc>
      </w:tr>
      <w:tr>
        <w:trPr>
          <w:trHeight w:val="147"/>
        </w:trPr>
        <w:tc>
          <w:tcPr>
            <w:tcW w:w="84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48,301</w:t>
            </w:r>
          </w:p>
        </w:tc>
        <w:tc>
          <w:tcPr>
            <w:tcW w:w="80" w:type="dxa"/>
            <w:vAlign w:val="bottom"/>
          </w:tcPr>
          <w:p>
            <w:pPr>
              <w:spacing w:after="0"/>
              <w:rPr>
                <w:sz w:val="12"/>
                <w:szCs w:val="12"/>
                <w:color w:val="auto"/>
              </w:rPr>
            </w:pPr>
          </w:p>
        </w:tc>
        <w:tc>
          <w:tcPr>
            <w:tcW w:w="840" w:type="dxa"/>
            <w:vAlign w:val="bottom"/>
          </w:tcPr>
          <w:p>
            <w:pPr>
              <w:jc w:val="right"/>
              <w:ind w:right="35"/>
              <w:spacing w:after="0" w:line="147" w:lineRule="exact"/>
              <w:rPr>
                <w:sz w:val="20"/>
                <w:szCs w:val="20"/>
                <w:color w:val="auto"/>
              </w:rPr>
            </w:pPr>
            <w:r>
              <w:rPr>
                <w:rFonts w:ascii="Arial" w:cs="Arial" w:eastAsia="Arial" w:hAnsi="Arial"/>
                <w:sz w:val="13"/>
                <w:szCs w:val="13"/>
                <w:color w:val="auto"/>
              </w:rPr>
              <w:t>73,546</w:t>
            </w:r>
          </w:p>
        </w:tc>
        <w:tc>
          <w:tcPr>
            <w:tcW w:w="8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3,186,038</w:t>
            </w:r>
          </w:p>
        </w:tc>
        <w:tc>
          <w:tcPr>
            <w:tcW w:w="96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13,330,687</w:t>
            </w:r>
          </w:p>
        </w:tc>
        <w:tc>
          <w:tcPr>
            <w:tcW w:w="92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357,352</w:t>
            </w:r>
          </w:p>
        </w:tc>
        <w:tc>
          <w:tcPr>
            <w:tcW w:w="80" w:type="dxa"/>
            <w:vAlign w:val="bottom"/>
          </w:tcPr>
          <w:p>
            <w:pPr>
              <w:spacing w:after="0"/>
              <w:rPr>
                <w:sz w:val="12"/>
                <w:szCs w:val="12"/>
                <w:color w:val="auto"/>
              </w:rPr>
            </w:pP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11,270</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17,007,194</w:t>
            </w:r>
          </w:p>
        </w:tc>
      </w:tr>
      <w:tr>
        <w:trPr>
          <w:trHeight w:val="147"/>
        </w:trPr>
        <w:tc>
          <w:tcPr>
            <w:tcW w:w="84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540,778</w:t>
            </w:r>
          </w:p>
        </w:tc>
        <w:tc>
          <w:tcPr>
            <w:tcW w:w="80" w:type="dxa"/>
            <w:vAlign w:val="bottom"/>
          </w:tcPr>
          <w:p>
            <w:pPr>
              <w:spacing w:after="0"/>
              <w:rPr>
                <w:sz w:val="12"/>
                <w:szCs w:val="12"/>
                <w:color w:val="auto"/>
              </w:rPr>
            </w:pPr>
          </w:p>
        </w:tc>
        <w:tc>
          <w:tcPr>
            <w:tcW w:w="840" w:type="dxa"/>
            <w:vAlign w:val="bottom"/>
          </w:tcPr>
          <w:p>
            <w:pPr>
              <w:jc w:val="right"/>
              <w:ind w:right="35"/>
              <w:spacing w:after="0" w:line="147" w:lineRule="exact"/>
              <w:rPr>
                <w:sz w:val="20"/>
                <w:szCs w:val="20"/>
                <w:color w:val="auto"/>
              </w:rPr>
            </w:pPr>
            <w:r>
              <w:rPr>
                <w:rFonts w:ascii="Arial" w:cs="Arial" w:eastAsia="Arial" w:hAnsi="Arial"/>
                <w:sz w:val="13"/>
                <w:szCs w:val="13"/>
                <w:color w:val="auto"/>
              </w:rPr>
              <w:t>72,584</w:t>
            </w:r>
          </w:p>
        </w:tc>
        <w:tc>
          <w:tcPr>
            <w:tcW w:w="80" w:type="dxa"/>
            <w:vAlign w:val="bottom"/>
          </w:tcPr>
          <w:p>
            <w:pPr>
              <w:spacing w:after="0"/>
              <w:rPr>
                <w:sz w:val="12"/>
                <w:szCs w:val="12"/>
                <w:color w:val="auto"/>
              </w:rPr>
            </w:pPr>
          </w:p>
        </w:tc>
        <w:tc>
          <w:tcPr>
            <w:tcW w:w="820" w:type="dxa"/>
            <w:vAlign w:val="bottom"/>
          </w:tcPr>
          <w:p>
            <w:pPr>
              <w:jc w:val="right"/>
              <w:ind w:right="15"/>
              <w:spacing w:after="0" w:line="147" w:lineRule="exact"/>
              <w:rPr>
                <w:sz w:val="20"/>
                <w:szCs w:val="20"/>
                <w:color w:val="auto"/>
              </w:rPr>
            </w:pPr>
            <w:r>
              <w:rPr>
                <w:rFonts w:ascii="Arial" w:cs="Arial" w:eastAsia="Arial" w:hAnsi="Arial"/>
                <w:sz w:val="13"/>
                <w:szCs w:val="13"/>
                <w:color w:val="auto"/>
              </w:rPr>
              <w:t>2,854</w:t>
            </w:r>
          </w:p>
        </w:tc>
        <w:tc>
          <w:tcPr>
            <w:tcW w:w="96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ind w:right="35"/>
              <w:spacing w:after="0" w:line="147" w:lineRule="exact"/>
              <w:rPr>
                <w:sz w:val="20"/>
                <w:szCs w:val="20"/>
                <w:color w:val="auto"/>
              </w:rPr>
            </w:pPr>
            <w:r>
              <w:rPr>
                <w:rFonts w:ascii="Arial" w:cs="Arial" w:eastAsia="Arial" w:hAnsi="Arial"/>
                <w:sz w:val="13"/>
                <w:szCs w:val="13"/>
                <w:color w:val="auto"/>
              </w:rPr>
              <w:t>4,072,451</w:t>
            </w:r>
          </w:p>
        </w:tc>
        <w:tc>
          <w:tcPr>
            <w:tcW w:w="80" w:type="dxa"/>
            <w:vAlign w:val="bottom"/>
          </w:tcPr>
          <w:p>
            <w:pPr>
              <w:spacing w:after="0"/>
              <w:rPr>
                <w:sz w:val="12"/>
                <w:szCs w:val="12"/>
                <w:color w:val="auto"/>
              </w:rPr>
            </w:pPr>
          </w:p>
        </w:tc>
        <w:tc>
          <w:tcPr>
            <w:tcW w:w="900" w:type="dxa"/>
            <w:vAlign w:val="bottom"/>
          </w:tcPr>
          <w:p>
            <w:pPr>
              <w:jc w:val="right"/>
              <w:ind w:right="15"/>
              <w:spacing w:after="0" w:line="147" w:lineRule="exact"/>
              <w:rPr>
                <w:sz w:val="20"/>
                <w:szCs w:val="20"/>
                <w:color w:val="auto"/>
              </w:rPr>
            </w:pPr>
            <w:r>
              <w:rPr>
                <w:rFonts w:ascii="Arial" w:cs="Arial" w:eastAsia="Arial" w:hAnsi="Arial"/>
                <w:sz w:val="13"/>
                <w:szCs w:val="13"/>
                <w:color w:val="auto"/>
              </w:rPr>
              <w:t>4,688,667</w:t>
            </w:r>
          </w:p>
        </w:tc>
      </w:tr>
      <w:tr>
        <w:trPr>
          <w:trHeight w:val="154"/>
        </w:trPr>
        <w:tc>
          <w:tcPr>
            <w:tcW w:w="84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29,595,213</w:t>
            </w:r>
          </w:p>
        </w:tc>
        <w:tc>
          <w:tcPr>
            <w:tcW w:w="80" w:type="dxa"/>
            <w:vAlign w:val="bottom"/>
          </w:tcPr>
          <w:p>
            <w:pPr>
              <w:spacing w:after="0"/>
              <w:rPr>
                <w:sz w:val="13"/>
                <w:szCs w:val="13"/>
                <w:color w:val="auto"/>
              </w:rPr>
            </w:pP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29,595,213</w:t>
            </w:r>
          </w:p>
        </w:tc>
      </w:tr>
      <w:tr>
        <w:trPr>
          <w:trHeight w:val="139"/>
        </w:trPr>
        <w:tc>
          <w:tcPr>
            <w:tcW w:w="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40,000,944</w:t>
            </w: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15,862,998</w:t>
            </w: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34,076,794</w:t>
            </w:r>
          </w:p>
        </w:tc>
        <w:tc>
          <w:tcPr>
            <w:tcW w:w="960" w:type="dxa"/>
            <w:vAlign w:val="bottom"/>
            <w:tcBorders>
              <w:top w:val="single" w:sz="8" w:color="auto"/>
              <w:bottom w:val="single" w:sz="8" w:color="auto"/>
            </w:tcBorders>
            <w:gridSpan w:val="2"/>
          </w:tcPr>
          <w:p>
            <w:pPr>
              <w:jc w:val="right"/>
              <w:ind w:right="15"/>
              <w:spacing w:after="0" w:line="139" w:lineRule="exact"/>
              <w:rPr>
                <w:sz w:val="20"/>
                <w:szCs w:val="20"/>
                <w:color w:val="auto"/>
              </w:rPr>
            </w:pPr>
            <w:r>
              <w:rPr>
                <w:rFonts w:ascii="Arial" w:cs="Arial" w:eastAsia="Arial" w:hAnsi="Arial"/>
                <w:sz w:val="13"/>
                <w:szCs w:val="13"/>
                <w:color w:val="auto"/>
              </w:rPr>
              <w:t>83,684,644</w:t>
            </w:r>
          </w:p>
        </w:tc>
        <w:tc>
          <w:tcPr>
            <w:tcW w:w="920" w:type="dxa"/>
            <w:vAlign w:val="bottom"/>
            <w:tcBorders>
              <w:top w:val="single" w:sz="8" w:color="auto"/>
              <w:bottom w:val="single" w:sz="8" w:color="auto"/>
            </w:tcBorders>
            <w:gridSpan w:val="2"/>
          </w:tcPr>
          <w:p>
            <w:pPr>
              <w:jc w:val="right"/>
              <w:ind w:right="15"/>
              <w:spacing w:after="0" w:line="139" w:lineRule="exact"/>
              <w:rPr>
                <w:sz w:val="20"/>
                <w:szCs w:val="20"/>
                <w:color w:val="auto"/>
              </w:rPr>
            </w:pPr>
            <w:r>
              <w:rPr>
                <w:rFonts w:ascii="Arial" w:cs="Arial" w:eastAsia="Arial" w:hAnsi="Arial"/>
                <w:sz w:val="13"/>
                <w:szCs w:val="13"/>
                <w:color w:val="auto"/>
              </w:rPr>
              <w:t>19,048,899</w:t>
            </w: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38,886,736</w:t>
            </w: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231,561,015</w:t>
            </w:r>
          </w:p>
        </w:tc>
      </w:tr>
      <w:tr>
        <w:trPr>
          <w:trHeight w:val="437"/>
        </w:trPr>
        <w:tc>
          <w:tcPr>
            <w:tcW w:w="840" w:type="dxa"/>
            <w:vAlign w:val="bottom"/>
            <w:gridSpan w:val="2"/>
          </w:tcPr>
          <w:p>
            <w:pPr>
              <w:jc w:val="right"/>
              <w:ind w:right="15"/>
              <w:spacing w:after="0"/>
              <w:rPr>
                <w:sz w:val="20"/>
                <w:szCs w:val="20"/>
                <w:color w:val="auto"/>
              </w:rPr>
            </w:pPr>
            <w:r>
              <w:rPr>
                <w:rFonts w:ascii="Arial" w:cs="Arial" w:eastAsia="Arial" w:hAnsi="Arial"/>
                <w:sz w:val="13"/>
                <w:szCs w:val="13"/>
                <w:color w:val="auto"/>
              </w:rPr>
              <w:t>171,485</w:t>
            </w:r>
          </w:p>
        </w:tc>
        <w:tc>
          <w:tcPr>
            <w:tcW w:w="80" w:type="dxa"/>
            <w:vAlign w:val="bottom"/>
          </w:tcPr>
          <w:p>
            <w:pPr>
              <w:spacing w:after="0"/>
              <w:rPr>
                <w:sz w:val="24"/>
                <w:szCs w:val="24"/>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830,415</w:t>
            </w:r>
          </w:p>
        </w:tc>
        <w:tc>
          <w:tcPr>
            <w:tcW w:w="8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450,835</w:t>
            </w:r>
          </w:p>
        </w:tc>
        <w:tc>
          <w:tcPr>
            <w:tcW w:w="960" w:type="dxa"/>
            <w:vAlign w:val="bottom"/>
            <w:gridSpan w:val="2"/>
          </w:tcPr>
          <w:p>
            <w:pPr>
              <w:jc w:val="right"/>
              <w:ind w:right="15"/>
              <w:spacing w:after="0"/>
              <w:rPr>
                <w:sz w:val="20"/>
                <w:szCs w:val="20"/>
                <w:color w:val="auto"/>
              </w:rPr>
            </w:pPr>
            <w:r>
              <w:rPr>
                <w:rFonts w:ascii="Arial" w:cs="Arial" w:eastAsia="Arial" w:hAnsi="Arial"/>
                <w:sz w:val="13"/>
                <w:szCs w:val="13"/>
                <w:color w:val="auto"/>
              </w:rPr>
              <w:t>931,208</w:t>
            </w:r>
          </w:p>
        </w:tc>
        <w:tc>
          <w:tcPr>
            <w:tcW w:w="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2,383,943</w:t>
            </w:r>
          </w:p>
        </w:tc>
      </w:tr>
      <w:tr>
        <w:trPr>
          <w:trHeight w:val="154"/>
        </w:trPr>
        <w:tc>
          <w:tcPr>
            <w:tcW w:w="20" w:type="dxa"/>
            <w:vAlign w:val="bottom"/>
          </w:tcPr>
          <w:p>
            <w:pPr>
              <w:spacing w:after="0"/>
              <w:rPr>
                <w:sz w:val="13"/>
                <w:szCs w:val="13"/>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149,938</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46,232</w:t>
            </w: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165,610</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1,844,839</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95,350</w:t>
            </w:r>
          </w:p>
        </w:tc>
        <w:tc>
          <w:tcPr>
            <w:tcW w:w="80" w:type="dxa"/>
            <w:vAlign w:val="bottom"/>
          </w:tcPr>
          <w:p>
            <w:pPr>
              <w:spacing w:after="0"/>
              <w:rPr>
                <w:sz w:val="13"/>
                <w:szCs w:val="13"/>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2,301,969</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21,547</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784,183</w:t>
            </w: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285,225</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(913,631)</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(95,350)</w:t>
            </w:r>
          </w:p>
        </w:tc>
        <w:tc>
          <w:tcPr>
            <w:tcW w:w="80" w:type="dxa"/>
            <w:vAlign w:val="bottom"/>
          </w:tcPr>
          <w:p>
            <w:pPr>
              <w:spacing w:after="0"/>
              <w:rPr>
                <w:sz w:val="13"/>
                <w:szCs w:val="13"/>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81,974</w:t>
            </w:r>
          </w:p>
        </w:tc>
      </w:tr>
      <w:tr>
        <w:trPr>
          <w:trHeight w:val="151"/>
        </w:trPr>
        <w:tc>
          <w:tcPr>
            <w:tcW w:w="840" w:type="dxa"/>
            <w:vAlign w:val="bottom"/>
            <w:gridSpan w:val="2"/>
          </w:tcPr>
          <w:p>
            <w:pPr>
              <w:jc w:val="right"/>
              <w:ind w:right="15"/>
              <w:spacing w:after="0"/>
              <w:rPr>
                <w:sz w:val="20"/>
                <w:szCs w:val="20"/>
                <w:color w:val="auto"/>
              </w:rPr>
            </w:pPr>
            <w:r>
              <w:rPr>
                <w:rFonts w:ascii="Arial" w:cs="Arial" w:eastAsia="Arial" w:hAnsi="Arial"/>
                <w:sz w:val="13"/>
                <w:szCs w:val="13"/>
                <w:color w:val="auto"/>
              </w:rPr>
              <w:t>252,583</w:t>
            </w:r>
          </w:p>
        </w:tc>
        <w:tc>
          <w:tcPr>
            <w:tcW w:w="80" w:type="dxa"/>
            <w:vAlign w:val="bottom"/>
          </w:tcPr>
          <w:p>
            <w:pPr>
              <w:spacing w:after="0"/>
              <w:rPr>
                <w:sz w:val="13"/>
                <w:szCs w:val="13"/>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9,481,233</w:t>
            </w:r>
          </w:p>
        </w:tc>
        <w:tc>
          <w:tcPr>
            <w:tcW w:w="80" w:type="dxa"/>
            <w:vAlign w:val="bottom"/>
          </w:tcPr>
          <w:p>
            <w:pPr>
              <w:spacing w:after="0"/>
              <w:rPr>
                <w:sz w:val="13"/>
                <w:szCs w:val="13"/>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11,409,157</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(17,995,991)</w:t>
            </w:r>
          </w:p>
        </w:tc>
        <w:tc>
          <w:tcPr>
            <w:tcW w:w="920" w:type="dxa"/>
            <w:vAlign w:val="bottom"/>
            <w:gridSpan w:val="2"/>
          </w:tcPr>
          <w:p>
            <w:pPr>
              <w:jc w:val="right"/>
              <w:ind w:right="15"/>
              <w:spacing w:after="0"/>
              <w:rPr>
                <w:sz w:val="20"/>
                <w:szCs w:val="20"/>
                <w:color w:val="auto"/>
              </w:rPr>
            </w:pPr>
            <w:r>
              <w:rPr>
                <w:rFonts w:ascii="Arial" w:cs="Arial" w:eastAsia="Arial" w:hAnsi="Arial"/>
                <w:sz w:val="13"/>
                <w:szCs w:val="13"/>
                <w:color w:val="auto"/>
              </w:rPr>
              <w:t>14,694,338</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(27,938,140)</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(10,096,820)</w:t>
            </w:r>
          </w:p>
        </w:tc>
      </w:tr>
      <w:tr>
        <w:trPr>
          <w:trHeight w:val="143"/>
        </w:trPr>
        <w:tc>
          <w:tcPr>
            <w:tcW w:w="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252,583</w:t>
            </w: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5"/>
              <w:spacing w:after="0" w:line="139" w:lineRule="exact"/>
              <w:rPr>
                <w:sz w:val="20"/>
                <w:szCs w:val="20"/>
                <w:color w:val="auto"/>
              </w:rPr>
            </w:pPr>
            <w:r>
              <w:rPr>
                <w:rFonts w:ascii="Arial" w:cs="Arial" w:eastAsia="Arial" w:hAnsi="Arial"/>
                <w:sz w:val="13"/>
                <w:szCs w:val="13"/>
                <w:color w:val="auto"/>
              </w:rPr>
              <w:t>9,733,816</w:t>
            </w:r>
          </w:p>
        </w:tc>
        <w:tc>
          <w:tcPr>
            <w:tcW w:w="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21,142,973</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3,146,982</w:t>
            </w: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17,841,320</w:t>
            </w:r>
          </w:p>
        </w:tc>
        <w:tc>
          <w:tcPr>
            <w:tcW w:w="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(10,096,820)</w:t>
            </w:r>
          </w:p>
        </w:tc>
        <w:tc>
          <w:tcPr>
            <w:tcW w:w="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color w:val="auto"/>
              </w:rPr>
              <w:t>–</w:t>
            </w:r>
          </w:p>
        </w:tc>
      </w:tr>
    </w:tbl>
    <w:p>
      <w:pPr>
        <w:spacing w:after="0" w:line="166" w:lineRule="exact"/>
        <w:rPr>
          <w:sz w:val="20"/>
          <w:szCs w:val="20"/>
          <w:color w:val="auto"/>
        </w:rPr>
      </w:pPr>
    </w:p>
    <w:p>
      <w:pPr>
        <w:sectPr>
          <w:pgSz w:w="11900" w:h="16838" w:orient="portrait"/>
          <w:cols w:equalWidth="0" w:num="2">
            <w:col w:w="3340" w:space="300"/>
            <w:col w:w="6480"/>
          </w:cols>
          <w:pgMar w:left="900" w:top="328" w:right="879" w:bottom="1440" w:gutter="0" w:footer="0" w:header="0"/>
        </w:sectPr>
      </w:pPr>
    </w:p>
    <w:p>
      <w:pPr>
        <w:spacing w:after="0"/>
        <w:rPr>
          <w:sz w:val="20"/>
          <w:szCs w:val="20"/>
          <w:color w:val="auto"/>
        </w:rPr>
      </w:pPr>
      <w:r>
        <w:rPr>
          <w:rFonts w:ascii="Arial" w:cs="Arial" w:eastAsia="Arial" w:hAnsi="Arial"/>
          <w:sz w:val="16"/>
          <w:szCs w:val="16"/>
          <w:color w:val="auto"/>
        </w:rPr>
        <w:t>(*) Other assets and other liabilities only include financial accounts.</w:t>
      </w:r>
    </w:p>
    <w:p>
      <w:pPr>
        <w:spacing w:after="0" w:line="183"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27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41275</wp:posOffset>
            </wp:positionV>
            <wp:extent cx="714565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120"/>
          </w:cols>
          <w:pgMar w:left="900" w:top="328" w:right="87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6"/>
          <w:szCs w:val="16"/>
          <w:color w:val="auto"/>
        </w:rPr>
        <w:t>Sensitivity to changes in interest rates -</w:t>
      </w:r>
    </w:p>
    <w:p>
      <w:pPr>
        <w:spacing w:after="0" w:line="18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sensitivity analysis of a reasonable possible change in interest rates on the banking book comprises an assessment of the sensitivity of the financial margins that seeks to measure the potential changes in the interest accruals over a period of time and the expected movement of the interest rate curves, as well as the sensibility of the net economic value, which is a long - term metric measured as the difference arising between the Net Economic Value of assets and liabilities before and after a variation in interest rates.</w:t>
      </w:r>
    </w:p>
    <w:p>
      <w:pPr>
        <w:spacing w:after="0" w:line="144" w:lineRule="exact"/>
        <w:rPr>
          <w:sz w:val="20"/>
          <w:szCs w:val="20"/>
          <w:color w:val="auto"/>
        </w:rPr>
      </w:pPr>
    </w:p>
    <w:p>
      <w:pPr>
        <w:jc w:val="both"/>
        <w:ind w:right="200"/>
        <w:spacing w:after="0" w:line="259" w:lineRule="auto"/>
        <w:rPr>
          <w:sz w:val="20"/>
          <w:szCs w:val="20"/>
          <w:color w:val="auto"/>
        </w:rPr>
      </w:pPr>
      <w:r>
        <w:rPr>
          <w:rFonts w:ascii="Arial" w:cs="Arial" w:eastAsia="Arial" w:hAnsi="Arial"/>
          <w:sz w:val="16"/>
          <w:szCs w:val="16"/>
          <w:color w:val="auto"/>
        </w:rPr>
        <w:t>The sensitivity of the financial margin is the effect of the assumed changes in interest rates on the net financial interest income before income tax and non-controlling interest for one year, based on non-trading financial assets and financial liabilities held as of December 31, 2023 and December 31, 2022, including the effect of derivative instruments.</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sensitivity of the Net Economic Value is calculated by reassessing the financial assets and liabilities sensitive to rates, except for the trading instruments, including the effect of any associated hedge, and derivative instruments designated as a cash flow hedge. Regarding rate risk management, no distinction is made by accounting category for the investments that are considered in these calculations.</w:t>
      </w:r>
    </w:p>
    <w:p>
      <w:pPr>
        <w:spacing w:after="0" w:line="137" w:lineRule="exact"/>
        <w:rPr>
          <w:sz w:val="20"/>
          <w:szCs w:val="20"/>
          <w:color w:val="auto"/>
        </w:rPr>
      </w:pPr>
    </w:p>
    <w:p>
      <w:pPr>
        <w:ind w:right="460"/>
        <w:spacing w:after="0" w:line="280" w:lineRule="auto"/>
        <w:rPr>
          <w:sz w:val="20"/>
          <w:szCs w:val="20"/>
          <w:color w:val="auto"/>
        </w:rPr>
      </w:pPr>
      <w:r>
        <w:rPr>
          <w:rFonts w:ascii="Arial" w:cs="Arial" w:eastAsia="Arial" w:hAnsi="Arial"/>
          <w:sz w:val="16"/>
          <w:szCs w:val="16"/>
          <w:color w:val="auto"/>
        </w:rPr>
        <w:t>The results of the sensitivity analysis regarding changes in interest rates as of December 31, 2023 and December 31, 2022 are presented below:</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Changes in</w:t>
            </w:r>
          </w:p>
        </w:tc>
        <w:tc>
          <w:tcPr>
            <w:tcW w:w="1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Sensitivity of net</w:t>
            </w: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Sensitivity of Net</w:t>
            </w:r>
          </w:p>
        </w:tc>
        <w:tc>
          <w:tcPr>
            <w:tcW w:w="1020" w:type="dxa"/>
            <w:vAlign w:val="bottom"/>
            <w:tcBorders>
              <w:top w:val="single" w:sz="8" w:color="auto"/>
            </w:tcBorders>
          </w:tcPr>
          <w:p>
            <w:pPr>
              <w:spacing w:after="0"/>
              <w:rPr>
                <w:sz w:val="13"/>
                <w:szCs w:val="13"/>
                <w:color w:val="auto"/>
              </w:rPr>
            </w:pPr>
          </w:p>
        </w:tc>
      </w:tr>
      <w:tr>
        <w:trPr>
          <w:trHeight w:val="200"/>
        </w:trPr>
        <w:tc>
          <w:tcPr>
            <w:tcW w:w="1740" w:type="dxa"/>
            <w:vAlign w:val="bottom"/>
            <w:gridSpan w:val="2"/>
          </w:tcPr>
          <w:p>
            <w:pPr>
              <w:spacing w:after="0"/>
              <w:rPr>
                <w:sz w:val="20"/>
                <w:szCs w:val="20"/>
                <w:color w:val="auto"/>
              </w:rPr>
            </w:pPr>
            <w:r>
              <w:rPr>
                <w:rFonts w:ascii="Arial" w:cs="Arial" w:eastAsia="Arial" w:hAnsi="Arial"/>
                <w:sz w:val="16"/>
                <w:szCs w:val="16"/>
                <w:b w:val="1"/>
                <w:bCs w:val="1"/>
                <w:color w:val="auto"/>
              </w:rPr>
              <w:t>Currency</w:t>
            </w:r>
          </w:p>
        </w:tc>
        <w:tc>
          <w:tcPr>
            <w:tcW w:w="1760" w:type="dxa"/>
            <w:vAlign w:val="bottom"/>
          </w:tcPr>
          <w:p>
            <w:pPr>
              <w:spacing w:after="0"/>
              <w:rPr>
                <w:sz w:val="20"/>
                <w:szCs w:val="20"/>
                <w:color w:val="auto"/>
              </w:rPr>
            </w:pPr>
            <w:r>
              <w:rPr>
                <w:rFonts w:ascii="Arial" w:cs="Arial" w:eastAsia="Arial" w:hAnsi="Arial"/>
                <w:sz w:val="16"/>
                <w:szCs w:val="16"/>
                <w:b w:val="1"/>
                <w:bCs w:val="1"/>
                <w:color w:val="auto"/>
              </w:rPr>
              <w:t>basis points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6"/>
                <w:szCs w:val="16"/>
                <w:b w:val="1"/>
                <w:bCs w:val="1"/>
                <w:color w:val="auto"/>
              </w:rPr>
              <w:t>profit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6"/>
                <w:szCs w:val="16"/>
                <w:b w:val="1"/>
                <w:bCs w:val="1"/>
                <w:color w:val="auto"/>
              </w:rPr>
              <w:t>Economic Value</w:t>
            </w:r>
          </w:p>
        </w:tc>
        <w:tc>
          <w:tcPr>
            <w:tcW w:w="1020" w:type="dxa"/>
            <w:vAlign w:val="bottom"/>
          </w:tcPr>
          <w:p>
            <w:pPr>
              <w:spacing w:after="0"/>
              <w:rPr>
                <w:sz w:val="17"/>
                <w:szCs w:val="17"/>
                <w:color w:val="auto"/>
              </w:rPr>
            </w:pPr>
          </w:p>
        </w:tc>
      </w:tr>
      <w:tr>
        <w:trPr>
          <w:trHeight w:val="216"/>
        </w:trPr>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20" w:type="dxa"/>
            <w:vAlign w:val="bottom"/>
            <w:tcBorders>
              <w:top w:val="single" w:sz="8" w:color="auto"/>
            </w:tcBorders>
          </w:tcPr>
          <w:p>
            <w:pPr>
              <w:spacing w:after="0"/>
              <w:rPr>
                <w:sz w:val="18"/>
                <w:szCs w:val="18"/>
                <w:color w:val="auto"/>
              </w:rPr>
            </w:pPr>
          </w:p>
        </w:tc>
      </w:tr>
      <w:tr>
        <w:trPr>
          <w:trHeight w:val="310"/>
        </w:trPr>
        <w:tc>
          <w:tcPr>
            <w:tcW w:w="1740" w:type="dxa"/>
            <w:vAlign w:val="bottom"/>
            <w:gridSpan w:val="2"/>
          </w:tcPr>
          <w:p>
            <w:pPr>
              <w:spacing w:after="0"/>
              <w:rPr>
                <w:sz w:val="20"/>
                <w:szCs w:val="20"/>
                <w:color w:val="auto"/>
              </w:rPr>
            </w:pPr>
            <w:r>
              <w:rPr>
                <w:rFonts w:ascii="Arial" w:cs="Arial" w:eastAsia="Arial" w:hAnsi="Arial"/>
                <w:sz w:val="16"/>
                <w:szCs w:val="16"/>
                <w:color w:val="auto"/>
              </w:rPr>
              <w:t>Soles</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15,052</w:t>
            </w:r>
          </w:p>
        </w:tc>
        <w:tc>
          <w:tcPr>
            <w:tcW w:w="10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511,851</w:t>
            </w: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Soles</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22,578</w:t>
            </w:r>
          </w:p>
        </w:tc>
        <w:tc>
          <w:tcPr>
            <w:tcW w:w="10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767,776</w:t>
            </w: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Soles</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30,104</w:t>
            </w:r>
          </w:p>
        </w:tc>
        <w:tc>
          <w:tcPr>
            <w:tcW w:w="10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1,023,702</w:t>
            </w: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Soles</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45,156</w:t>
            </w:r>
          </w:p>
        </w:tc>
        <w:tc>
          <w:tcPr>
            <w:tcW w:w="10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1,535,553</w:t>
            </w: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U.S. Dollar</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48,060</w:t>
            </w:r>
          </w:p>
        </w:tc>
        <w:tc>
          <w:tcPr>
            <w:tcW w:w="10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119,342</w:t>
            </w: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U.S. Dollar</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72,090</w:t>
            </w:r>
          </w:p>
        </w:tc>
        <w:tc>
          <w:tcPr>
            <w:tcW w:w="10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179,013</w:t>
            </w: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U.S. Dollar</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96,120</w:t>
            </w:r>
          </w:p>
        </w:tc>
        <w:tc>
          <w:tcPr>
            <w:tcW w:w="10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238,684</w:t>
            </w:r>
          </w:p>
        </w:tc>
      </w:tr>
      <w:tr>
        <w:trPr>
          <w:trHeight w:val="215"/>
        </w:trPr>
        <w:tc>
          <w:tcPr>
            <w:tcW w:w="1740" w:type="dxa"/>
            <w:vAlign w:val="bottom"/>
            <w:gridSpan w:val="2"/>
          </w:tcPr>
          <w:p>
            <w:pPr>
              <w:spacing w:after="0"/>
              <w:rPr>
                <w:sz w:val="20"/>
                <w:szCs w:val="20"/>
                <w:color w:val="auto"/>
              </w:rPr>
            </w:pPr>
            <w:r>
              <w:rPr>
                <w:rFonts w:ascii="Arial" w:cs="Arial" w:eastAsia="Arial" w:hAnsi="Arial"/>
                <w:sz w:val="16"/>
                <w:szCs w:val="16"/>
                <w:color w:val="auto"/>
              </w:rPr>
              <w:t>U.S. Dollar</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144,180</w:t>
            </w:r>
          </w:p>
        </w:tc>
        <w:tc>
          <w:tcPr>
            <w:tcW w:w="1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358,026</w:t>
            </w:r>
          </w:p>
        </w:tc>
      </w:tr>
    </w:tbl>
    <w:p>
      <w:pPr>
        <w:spacing w:after="0" w:line="310"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41275</wp:posOffset>
            </wp:positionV>
            <wp:extent cx="714565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60"/>
          </w:cols>
          <w:pgMar w:left="1200" w:top="306" w:right="339" w:bottom="1440" w:gutter="0" w:footer="0" w:header="0"/>
        </w:sectPr>
      </w:pPr>
    </w:p>
    <w:bookmarkStart w:id="168" w:name="page169"/>
    <w:bookmarkEnd w:id="168"/>
    <w:p>
      <w:pPr>
        <w:spacing w:after="0"/>
        <w:rPr>
          <w:sz w:val="20"/>
          <w:szCs w:val="20"/>
          <w:color w:val="auto"/>
        </w:rPr>
      </w:pPr>
      <w:r>
        <w:rPr>
          <w:rFonts w:ascii="Arial" w:cs="Arial" w:eastAsia="Arial" w:hAnsi="Arial"/>
          <w:sz w:val="16"/>
          <w:szCs w:val="16"/>
          <w:b w:val="1"/>
          <w:bCs w:val="1"/>
          <w:color w:val="auto"/>
        </w:rPr>
        <w:t>2022</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Changes in</w:t>
            </w:r>
          </w:p>
        </w:tc>
        <w:tc>
          <w:tcPr>
            <w:tcW w:w="1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Sensitivity of net</w:t>
            </w:r>
          </w:p>
        </w:tc>
        <w:tc>
          <w:tcPr>
            <w:tcW w:w="10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ind w:left="100"/>
              <w:spacing w:after="0" w:line="159" w:lineRule="exact"/>
              <w:rPr>
                <w:sz w:val="20"/>
                <w:szCs w:val="20"/>
                <w:color w:val="auto"/>
              </w:rPr>
            </w:pPr>
            <w:r>
              <w:rPr>
                <w:rFonts w:ascii="Arial" w:cs="Arial" w:eastAsia="Arial" w:hAnsi="Arial"/>
                <w:sz w:val="16"/>
                <w:szCs w:val="16"/>
                <w:b w:val="1"/>
                <w:bCs w:val="1"/>
                <w:color w:val="auto"/>
              </w:rPr>
              <w:t>Sensitivity of Net</w:t>
            </w:r>
          </w:p>
        </w:tc>
        <w:tc>
          <w:tcPr>
            <w:tcW w:w="1020" w:type="dxa"/>
            <w:vAlign w:val="bottom"/>
            <w:tcBorders>
              <w:top w:val="single" w:sz="8" w:color="auto"/>
            </w:tcBorders>
          </w:tcPr>
          <w:p>
            <w:pPr>
              <w:spacing w:after="0"/>
              <w:rPr>
                <w:sz w:val="13"/>
                <w:szCs w:val="13"/>
                <w:color w:val="auto"/>
              </w:rPr>
            </w:pPr>
          </w:p>
        </w:tc>
      </w:tr>
      <w:tr>
        <w:trPr>
          <w:trHeight w:val="200"/>
        </w:trPr>
        <w:tc>
          <w:tcPr>
            <w:tcW w:w="1740" w:type="dxa"/>
            <w:vAlign w:val="bottom"/>
            <w:gridSpan w:val="2"/>
          </w:tcPr>
          <w:p>
            <w:pPr>
              <w:spacing w:after="0"/>
              <w:rPr>
                <w:sz w:val="20"/>
                <w:szCs w:val="20"/>
                <w:color w:val="auto"/>
              </w:rPr>
            </w:pPr>
            <w:r>
              <w:rPr>
                <w:rFonts w:ascii="Arial" w:cs="Arial" w:eastAsia="Arial" w:hAnsi="Arial"/>
                <w:sz w:val="16"/>
                <w:szCs w:val="16"/>
                <w:b w:val="1"/>
                <w:bCs w:val="1"/>
                <w:color w:val="auto"/>
              </w:rPr>
              <w:t>Currency</w:t>
            </w:r>
          </w:p>
        </w:tc>
        <w:tc>
          <w:tcPr>
            <w:tcW w:w="1760" w:type="dxa"/>
            <w:vAlign w:val="bottom"/>
          </w:tcPr>
          <w:p>
            <w:pPr>
              <w:spacing w:after="0"/>
              <w:rPr>
                <w:sz w:val="20"/>
                <w:szCs w:val="20"/>
                <w:color w:val="auto"/>
              </w:rPr>
            </w:pPr>
            <w:r>
              <w:rPr>
                <w:rFonts w:ascii="Arial" w:cs="Arial" w:eastAsia="Arial" w:hAnsi="Arial"/>
                <w:sz w:val="16"/>
                <w:szCs w:val="16"/>
                <w:b w:val="1"/>
                <w:bCs w:val="1"/>
                <w:color w:val="auto"/>
              </w:rPr>
              <w:t>basis points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6"/>
                <w:szCs w:val="16"/>
                <w:b w:val="1"/>
                <w:bCs w:val="1"/>
                <w:color w:val="auto"/>
              </w:rPr>
              <w:t>profit</w:t>
            </w:r>
          </w:p>
        </w:tc>
        <w:tc>
          <w:tcPr>
            <w:tcW w:w="104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Economic Value</w:t>
            </w:r>
          </w:p>
        </w:tc>
        <w:tc>
          <w:tcPr>
            <w:tcW w:w="1020" w:type="dxa"/>
            <w:vAlign w:val="bottom"/>
          </w:tcPr>
          <w:p>
            <w:pPr>
              <w:spacing w:after="0"/>
              <w:rPr>
                <w:sz w:val="17"/>
                <w:szCs w:val="17"/>
                <w:color w:val="auto"/>
              </w:rPr>
            </w:pPr>
          </w:p>
        </w:tc>
      </w:tr>
      <w:tr>
        <w:trPr>
          <w:trHeight w:val="216"/>
        </w:trPr>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S/(000)</w:t>
            </w:r>
          </w:p>
        </w:tc>
        <w:tc>
          <w:tcPr>
            <w:tcW w:w="1020" w:type="dxa"/>
            <w:vAlign w:val="bottom"/>
            <w:tcBorders>
              <w:top w:val="single" w:sz="8" w:color="auto"/>
            </w:tcBorders>
          </w:tcPr>
          <w:p>
            <w:pPr>
              <w:spacing w:after="0"/>
              <w:rPr>
                <w:sz w:val="18"/>
                <w:szCs w:val="18"/>
                <w:color w:val="auto"/>
              </w:rPr>
            </w:pPr>
          </w:p>
        </w:tc>
      </w:tr>
      <w:tr>
        <w:trPr>
          <w:trHeight w:val="310"/>
        </w:trPr>
        <w:tc>
          <w:tcPr>
            <w:tcW w:w="1740" w:type="dxa"/>
            <w:vAlign w:val="bottom"/>
            <w:gridSpan w:val="2"/>
          </w:tcPr>
          <w:p>
            <w:pPr>
              <w:spacing w:after="0"/>
              <w:rPr>
                <w:sz w:val="20"/>
                <w:szCs w:val="20"/>
                <w:color w:val="auto"/>
              </w:rPr>
            </w:pPr>
            <w:r>
              <w:rPr>
                <w:rFonts w:ascii="Arial" w:cs="Arial" w:eastAsia="Arial" w:hAnsi="Arial"/>
                <w:sz w:val="16"/>
                <w:szCs w:val="16"/>
                <w:color w:val="auto"/>
              </w:rPr>
              <w:t>Soles</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39,920</w:t>
            </w:r>
          </w:p>
        </w:tc>
        <w:tc>
          <w:tcPr>
            <w:tcW w:w="16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345,530</w:t>
            </w: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Soles</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59,880</w:t>
            </w:r>
          </w:p>
        </w:tc>
        <w:tc>
          <w:tcPr>
            <w:tcW w:w="16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518,295</w:t>
            </w: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Soles</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79,840</w:t>
            </w:r>
          </w:p>
        </w:tc>
        <w:tc>
          <w:tcPr>
            <w:tcW w:w="16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691,060</w:t>
            </w: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Soles</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119,760</w:t>
            </w:r>
          </w:p>
        </w:tc>
        <w:tc>
          <w:tcPr>
            <w:tcW w:w="16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1,036,590</w:t>
            </w: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U.S. Dollar</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103,546</w:t>
            </w:r>
          </w:p>
        </w:tc>
        <w:tc>
          <w:tcPr>
            <w:tcW w:w="16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306,792</w:t>
            </w: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U.S. Dollar</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155,319</w:t>
            </w:r>
          </w:p>
        </w:tc>
        <w:tc>
          <w:tcPr>
            <w:tcW w:w="16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460,188</w:t>
            </w:r>
          </w:p>
        </w:tc>
      </w:tr>
      <w:tr>
        <w:trPr>
          <w:trHeight w:val="183"/>
        </w:trPr>
        <w:tc>
          <w:tcPr>
            <w:tcW w:w="1740" w:type="dxa"/>
            <w:vAlign w:val="bottom"/>
            <w:gridSpan w:val="2"/>
          </w:tcPr>
          <w:p>
            <w:pPr>
              <w:spacing w:after="0"/>
              <w:rPr>
                <w:sz w:val="20"/>
                <w:szCs w:val="20"/>
                <w:color w:val="auto"/>
              </w:rPr>
            </w:pPr>
            <w:r>
              <w:rPr>
                <w:rFonts w:ascii="Arial" w:cs="Arial" w:eastAsia="Arial" w:hAnsi="Arial"/>
                <w:sz w:val="16"/>
                <w:szCs w:val="16"/>
                <w:color w:val="auto"/>
              </w:rPr>
              <w:t>U.S. Dollar</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207,092</w:t>
            </w:r>
          </w:p>
        </w:tc>
        <w:tc>
          <w:tcPr>
            <w:tcW w:w="16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613,584</w:t>
            </w:r>
          </w:p>
        </w:tc>
      </w:tr>
      <w:tr>
        <w:trPr>
          <w:trHeight w:val="215"/>
        </w:trPr>
        <w:tc>
          <w:tcPr>
            <w:tcW w:w="1740" w:type="dxa"/>
            <w:vAlign w:val="bottom"/>
            <w:gridSpan w:val="2"/>
          </w:tcPr>
          <w:p>
            <w:pPr>
              <w:spacing w:after="0"/>
              <w:rPr>
                <w:sz w:val="20"/>
                <w:szCs w:val="20"/>
                <w:color w:val="auto"/>
              </w:rPr>
            </w:pPr>
            <w:r>
              <w:rPr>
                <w:rFonts w:ascii="Arial" w:cs="Arial" w:eastAsia="Arial" w:hAnsi="Arial"/>
                <w:sz w:val="16"/>
                <w:szCs w:val="16"/>
                <w:color w:val="auto"/>
              </w:rPr>
              <w:t>U.S. Dollar</w:t>
            </w:r>
          </w:p>
        </w:tc>
        <w:tc>
          <w:tcPr>
            <w:tcW w:w="17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310,638</w:t>
            </w:r>
          </w:p>
        </w:tc>
        <w:tc>
          <w:tcPr>
            <w:tcW w:w="16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920,375</w:t>
            </w:r>
          </w:p>
        </w:tc>
      </w:tr>
    </w:tbl>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interest rate sensitivities set out in the table above are only illustrative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w:t>
      </w:r>
    </w:p>
    <w:p>
      <w:pPr>
        <w:spacing w:after="0" w:line="33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Group seeks proactively to change the interest rate risk profile to minimize losses and optimize net revenues. The projections above also assume that the interest rate of all maturities moves by the same amount and, therefore, do not reflect the potential impact on net interest income of some rates changing while others remain unchanged.</w:t>
      </w:r>
    </w:p>
    <w:p>
      <w:pPr>
        <w:spacing w:after="0" w:line="13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As of December 31, 2023, and December 31, 2022, investments in equity securities and funds that are non-trading, recorded at fair value through other comprehensive income and at fair value through profit or loss, respectively, are not considered as comprising investment securities for interest rate sensitivity calculation purposes; however, a 10, 25 and 30 percent of changes in market prices is conducted to these price-sensitivity securities.</w:t>
      </w:r>
    </w:p>
    <w:p>
      <w:pPr>
        <w:spacing w:after="0" w:line="302"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41275</wp:posOffset>
            </wp:positionV>
            <wp:extent cx="714565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280"/>
          </w:cols>
          <w:pgMar w:left="1200" w:top="306" w:right="419" w:bottom="1440" w:gutter="0" w:footer="0" w:header="0"/>
        </w:sectPr>
      </w:pPr>
    </w:p>
    <w:bookmarkStart w:id="169" w:name="page170"/>
    <w:bookmarkEnd w:id="169"/>
    <w:p>
      <w:pPr>
        <w:ind w:left="880"/>
        <w:spacing w:after="0"/>
        <w:rPr>
          <w:sz w:val="20"/>
          <w:szCs w:val="20"/>
          <w:color w:val="auto"/>
        </w:rPr>
      </w:pPr>
      <w:r>
        <w:rPr>
          <w:rFonts w:ascii="Arial" w:cs="Arial" w:eastAsia="Arial" w:hAnsi="Arial"/>
          <w:sz w:val="16"/>
          <w:szCs w:val="16"/>
          <w:color w:val="auto"/>
        </w:rPr>
        <w:t>The market price sensitivity tests as of December 31, 2023, and December 31, 2022, are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360" w:type="dxa"/>
            <w:vAlign w:val="bottom"/>
            <w:gridSpan w:val="2"/>
          </w:tcPr>
          <w:p>
            <w:pPr>
              <w:ind w:left="880"/>
              <w:spacing w:after="0"/>
              <w:rPr>
                <w:sz w:val="20"/>
                <w:szCs w:val="20"/>
                <w:color w:val="auto"/>
              </w:rPr>
            </w:pPr>
            <w:r>
              <w:rPr>
                <w:rFonts w:ascii="Arial" w:cs="Arial" w:eastAsia="Arial" w:hAnsi="Arial"/>
                <w:sz w:val="16"/>
                <w:szCs w:val="16"/>
                <w:b w:val="1"/>
                <w:bCs w:val="1"/>
                <w:color w:val="auto"/>
              </w:rPr>
              <w:t>Equity securities</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71"/>
        </w:trPr>
        <w:tc>
          <w:tcPr>
            <w:tcW w:w="880" w:type="dxa"/>
            <w:vAlign w:val="bottom"/>
          </w:tcPr>
          <w:p>
            <w:pPr>
              <w:spacing w:after="0"/>
              <w:rPr>
                <w:sz w:val="14"/>
                <w:szCs w:val="14"/>
                <w:color w:val="auto"/>
              </w:rPr>
            </w:pPr>
          </w:p>
        </w:tc>
        <w:tc>
          <w:tcPr>
            <w:tcW w:w="348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b w:val="1"/>
                <w:bCs w:val="1"/>
                <w:color w:val="auto"/>
              </w:rPr>
              <w:t>Measured at fair value through</w:t>
            </w:r>
          </w:p>
        </w:tc>
        <w:tc>
          <w:tcPr>
            <w:tcW w:w="18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spacing w:after="0" w:line="171" w:lineRule="exact"/>
              <w:rPr>
                <w:sz w:val="20"/>
                <w:szCs w:val="20"/>
                <w:color w:val="auto"/>
              </w:rPr>
            </w:pPr>
            <w:r>
              <w:rPr>
                <w:rFonts w:ascii="Arial" w:cs="Arial" w:eastAsia="Arial" w:hAnsi="Arial"/>
                <w:sz w:val="16"/>
                <w:szCs w:val="16"/>
                <w:b w:val="1"/>
                <w:bCs w:val="1"/>
                <w:color w:val="auto"/>
              </w:rPr>
              <w:t>Change in</w:t>
            </w:r>
          </w:p>
        </w:tc>
        <w:tc>
          <w:tcPr>
            <w:tcW w:w="6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200"/>
        </w:trPr>
        <w:tc>
          <w:tcPr>
            <w:tcW w:w="4360" w:type="dxa"/>
            <w:vAlign w:val="bottom"/>
            <w:gridSpan w:val="2"/>
          </w:tcPr>
          <w:p>
            <w:pPr>
              <w:ind w:left="880"/>
              <w:spacing w:after="0"/>
              <w:rPr>
                <w:sz w:val="20"/>
                <w:szCs w:val="20"/>
                <w:color w:val="auto"/>
              </w:rPr>
            </w:pPr>
            <w:r>
              <w:rPr>
                <w:rFonts w:ascii="Arial" w:cs="Arial" w:eastAsia="Arial" w:hAnsi="Arial"/>
                <w:sz w:val="16"/>
                <w:szCs w:val="16"/>
                <w:b w:val="1"/>
                <w:bCs w:val="1"/>
                <w:color w:val="auto"/>
              </w:rPr>
              <w:t>other comprehensive income</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market prices</w:t>
            </w:r>
          </w:p>
        </w:tc>
        <w:tc>
          <w:tcPr>
            <w:tcW w:w="6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60" w:type="dxa"/>
            <w:vAlign w:val="bottom"/>
          </w:tcPr>
          <w:p>
            <w:pPr>
              <w:spacing w:after="0"/>
              <w:rPr>
                <w:sz w:val="18"/>
                <w:szCs w:val="18"/>
                <w:color w:val="auto"/>
              </w:rPr>
            </w:pPr>
          </w:p>
        </w:tc>
      </w:tr>
      <w:tr>
        <w:trPr>
          <w:trHeight w:val="310"/>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Equity securities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33,480</w:t>
            </w:r>
          </w:p>
        </w:tc>
        <w:tc>
          <w:tcPr>
            <w:tcW w:w="10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32,649</w:t>
            </w:r>
          </w:p>
        </w:tc>
        <w:tc>
          <w:tcPr>
            <w:tcW w:w="260" w:type="dxa"/>
            <w:vAlign w:val="bottom"/>
          </w:tcPr>
          <w:p>
            <w:pPr>
              <w:spacing w:after="0"/>
              <w:rPr>
                <w:sz w:val="24"/>
                <w:szCs w:val="24"/>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Equity securities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83,700</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81,621</w:t>
            </w:r>
          </w:p>
        </w:tc>
        <w:tc>
          <w:tcPr>
            <w:tcW w:w="260" w:type="dxa"/>
            <w:vAlign w:val="bottom"/>
          </w:tcPr>
          <w:p>
            <w:pPr>
              <w:spacing w:after="0"/>
              <w:rPr>
                <w:sz w:val="15"/>
                <w:szCs w:val="15"/>
                <w:color w:val="auto"/>
              </w:rPr>
            </w:pPr>
          </w:p>
        </w:tc>
      </w:tr>
      <w:tr>
        <w:trPr>
          <w:trHeight w:val="215"/>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Equity securities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100,440</w:t>
            </w:r>
          </w:p>
        </w:tc>
        <w:tc>
          <w:tcPr>
            <w:tcW w:w="10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97,946</w:t>
            </w:r>
          </w:p>
        </w:tc>
        <w:tc>
          <w:tcPr>
            <w:tcW w:w="260" w:type="dxa"/>
            <w:vAlign w:val="bottom"/>
          </w:tcPr>
          <w:p>
            <w:pPr>
              <w:spacing w:after="0"/>
              <w:rPr>
                <w:sz w:val="18"/>
                <w:szCs w:val="18"/>
                <w:color w:val="auto"/>
              </w:rPr>
            </w:pPr>
          </w:p>
        </w:tc>
      </w:tr>
      <w:tr>
        <w:trPr>
          <w:trHeight w:val="363"/>
        </w:trPr>
        <w:tc>
          <w:tcPr>
            <w:tcW w:w="4360" w:type="dxa"/>
            <w:vAlign w:val="bottom"/>
            <w:gridSpan w:val="2"/>
          </w:tcPr>
          <w:p>
            <w:pPr>
              <w:ind w:left="880"/>
              <w:spacing w:after="0"/>
              <w:rPr>
                <w:sz w:val="20"/>
                <w:szCs w:val="20"/>
                <w:color w:val="auto"/>
              </w:rPr>
            </w:pPr>
            <w:r>
              <w:rPr>
                <w:rFonts w:ascii="Arial" w:cs="Arial" w:eastAsia="Arial" w:hAnsi="Arial"/>
                <w:sz w:val="16"/>
                <w:szCs w:val="16"/>
                <w:b w:val="1"/>
                <w:bCs w:val="1"/>
                <w:color w:val="auto"/>
              </w:rPr>
              <w:t>Funds</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59"/>
        </w:trPr>
        <w:tc>
          <w:tcPr>
            <w:tcW w:w="880" w:type="dxa"/>
            <w:vAlign w:val="bottom"/>
          </w:tcPr>
          <w:p>
            <w:pPr>
              <w:spacing w:after="0"/>
              <w:rPr>
                <w:sz w:val="13"/>
                <w:szCs w:val="13"/>
                <w:color w:val="auto"/>
              </w:rPr>
            </w:pPr>
          </w:p>
        </w:tc>
        <w:tc>
          <w:tcPr>
            <w:tcW w:w="348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Measured at fair value</w:t>
            </w:r>
          </w:p>
        </w:tc>
        <w:tc>
          <w:tcPr>
            <w:tcW w:w="1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Change in</w:t>
            </w: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2"/>
        </w:trPr>
        <w:tc>
          <w:tcPr>
            <w:tcW w:w="4360" w:type="dxa"/>
            <w:vAlign w:val="bottom"/>
            <w:gridSpan w:val="2"/>
          </w:tcPr>
          <w:p>
            <w:pPr>
              <w:ind w:left="880"/>
              <w:spacing w:after="0"/>
              <w:rPr>
                <w:sz w:val="20"/>
                <w:szCs w:val="20"/>
                <w:color w:val="auto"/>
              </w:rPr>
            </w:pPr>
            <w:r>
              <w:rPr>
                <w:rFonts w:ascii="Arial" w:cs="Arial" w:eastAsia="Arial" w:hAnsi="Arial"/>
                <w:sz w:val="16"/>
                <w:szCs w:val="16"/>
                <w:b w:val="1"/>
                <w:bCs w:val="1"/>
                <w:color w:val="auto"/>
              </w:rPr>
              <w:t>through profit or loss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market prices</w:t>
            </w:r>
          </w:p>
        </w:tc>
        <w:tc>
          <w:tcPr>
            <w:tcW w:w="6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60" w:type="dxa"/>
            <w:vAlign w:val="bottom"/>
          </w:tcPr>
          <w:p>
            <w:pPr>
              <w:spacing w:after="0"/>
              <w:rPr>
                <w:sz w:val="18"/>
                <w:szCs w:val="18"/>
                <w:color w:val="auto"/>
              </w:rPr>
            </w:pPr>
          </w:p>
        </w:tc>
      </w:tr>
      <w:tr>
        <w:trPr>
          <w:trHeight w:val="310"/>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Mutual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108,747</w:t>
            </w:r>
          </w:p>
        </w:tc>
        <w:tc>
          <w:tcPr>
            <w:tcW w:w="10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157,932</w:t>
            </w:r>
          </w:p>
        </w:tc>
        <w:tc>
          <w:tcPr>
            <w:tcW w:w="260" w:type="dxa"/>
            <w:vAlign w:val="bottom"/>
          </w:tcPr>
          <w:p>
            <w:pPr>
              <w:spacing w:after="0"/>
              <w:rPr>
                <w:sz w:val="24"/>
                <w:szCs w:val="24"/>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Mutual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271,867</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394,831</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Mutual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326,241</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473,797</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Restricted mutual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33,416</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35,132</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Restricted mutual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83,541</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87,829</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Restricted mutual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100,249</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105,395</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Participation in RAL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14,541</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16,778</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Participation in RAL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36,354</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41,945</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Participation in RAL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43,624</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50,334</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Investment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118,071</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86,053</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Investment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295,178</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215,133</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Investment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354,214</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258,160</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Hedge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Hedge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Hedge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Exchange Trade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2,958</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2,504</w:t>
            </w:r>
          </w:p>
        </w:tc>
        <w:tc>
          <w:tcPr>
            <w:tcW w:w="260" w:type="dxa"/>
            <w:vAlign w:val="bottom"/>
          </w:tcPr>
          <w:p>
            <w:pPr>
              <w:spacing w:after="0"/>
              <w:rPr>
                <w:sz w:val="15"/>
                <w:szCs w:val="15"/>
                <w:color w:val="auto"/>
              </w:rPr>
            </w:pPr>
          </w:p>
        </w:tc>
      </w:tr>
      <w:tr>
        <w:trPr>
          <w:trHeight w:val="183"/>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Exchange Trade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7,396</w:t>
            </w: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6,261</w:t>
            </w:r>
          </w:p>
        </w:tc>
        <w:tc>
          <w:tcPr>
            <w:tcW w:w="260" w:type="dxa"/>
            <w:vAlign w:val="bottom"/>
          </w:tcPr>
          <w:p>
            <w:pPr>
              <w:spacing w:after="0"/>
              <w:rPr>
                <w:sz w:val="15"/>
                <w:szCs w:val="15"/>
                <w:color w:val="auto"/>
              </w:rPr>
            </w:pPr>
          </w:p>
        </w:tc>
      </w:tr>
      <w:tr>
        <w:trPr>
          <w:trHeight w:val="215"/>
        </w:trPr>
        <w:tc>
          <w:tcPr>
            <w:tcW w:w="4360" w:type="dxa"/>
            <w:vAlign w:val="bottom"/>
            <w:gridSpan w:val="2"/>
          </w:tcPr>
          <w:p>
            <w:pPr>
              <w:ind w:left="880"/>
              <w:spacing w:after="0"/>
              <w:rPr>
                <w:sz w:val="20"/>
                <w:szCs w:val="20"/>
                <w:color w:val="auto"/>
              </w:rPr>
            </w:pPr>
            <w:r>
              <w:rPr>
                <w:rFonts w:ascii="Arial" w:cs="Arial" w:eastAsia="Arial" w:hAnsi="Arial"/>
                <w:sz w:val="16"/>
                <w:szCs w:val="16"/>
                <w:color w:val="auto"/>
              </w:rPr>
              <w:t>Exchange Trade Funds</w:t>
            </w:r>
          </w:p>
        </w:tc>
        <w:tc>
          <w:tcPr>
            <w:tcW w:w="3420" w:type="dxa"/>
            <w:vAlign w:val="bottom"/>
            <w:gridSpan w:val="3"/>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8,875</w:t>
            </w:r>
          </w:p>
        </w:tc>
        <w:tc>
          <w:tcPr>
            <w:tcW w:w="10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7,513</w:t>
            </w:r>
          </w:p>
        </w:tc>
        <w:tc>
          <w:tcPr>
            <w:tcW w:w="260" w:type="dxa"/>
            <w:vAlign w:val="bottom"/>
          </w:tcPr>
          <w:p>
            <w:pPr>
              <w:spacing w:after="0"/>
              <w:rPr>
                <w:sz w:val="18"/>
                <w:szCs w:val="18"/>
                <w:color w:val="auto"/>
              </w:rPr>
            </w:pPr>
          </w:p>
        </w:tc>
      </w:tr>
      <w:tr>
        <w:trPr>
          <w:trHeight w:val="525"/>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80" w:type="dxa"/>
            <w:vAlign w:val="bottom"/>
          </w:tcPr>
          <w:p>
            <w:pPr>
              <w:jc w:val="right"/>
              <w:ind w:right="41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8"/>
        </w:trPr>
        <w:tc>
          <w:tcPr>
            <w:tcW w:w="88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170" w:name="page171"/>
    <w:bookmarkEnd w:id="170"/>
    <w:p>
      <w:pPr>
        <w:ind w:left="303" w:hanging="303"/>
        <w:spacing w:after="0"/>
        <w:tabs>
          <w:tab w:leader="none" w:pos="303" w:val="left"/>
        </w:tabs>
        <w:numPr>
          <w:ilvl w:val="0"/>
          <w:numId w:val="195"/>
        </w:numPr>
        <w:rPr>
          <w:rFonts w:ascii="Arial" w:cs="Arial" w:eastAsia="Arial" w:hAnsi="Arial"/>
          <w:sz w:val="16"/>
          <w:szCs w:val="16"/>
          <w:color w:val="auto"/>
        </w:rPr>
      </w:pPr>
      <w:r>
        <w:rPr>
          <w:rFonts w:ascii="Arial" w:cs="Arial" w:eastAsia="Arial" w:hAnsi="Arial"/>
          <w:sz w:val="16"/>
          <w:szCs w:val="16"/>
          <w:color w:val="auto"/>
        </w:rPr>
        <w:t>Foreign currency exchange risk –</w:t>
      </w:r>
    </w:p>
    <w:p>
      <w:pPr>
        <w:spacing w:after="0" w:line="182" w:lineRule="exact"/>
        <w:rPr>
          <w:rFonts w:ascii="Arial" w:cs="Arial" w:eastAsia="Arial" w:hAnsi="Arial"/>
          <w:sz w:val="16"/>
          <w:szCs w:val="16"/>
          <w:color w:val="auto"/>
        </w:rPr>
      </w:pPr>
    </w:p>
    <w:p>
      <w:pPr>
        <w:ind w:left="303" w:right="100"/>
        <w:spacing w:after="0" w:line="280" w:lineRule="auto"/>
        <w:rPr>
          <w:rFonts w:ascii="Arial" w:cs="Arial" w:eastAsia="Arial" w:hAnsi="Arial"/>
          <w:sz w:val="16"/>
          <w:szCs w:val="16"/>
          <w:color w:val="auto"/>
        </w:rPr>
      </w:pPr>
      <w:r>
        <w:rPr>
          <w:rFonts w:ascii="Arial" w:cs="Arial" w:eastAsia="Arial" w:hAnsi="Arial"/>
          <w:sz w:val="16"/>
          <w:szCs w:val="16"/>
          <w:color w:val="auto"/>
        </w:rPr>
        <w:t>The Group is exposed to fluctuations in foreign currency exchange rates, which impact net open monetary positions and equity positions in a different currency than the group’s functional currency.</w:t>
      </w:r>
    </w:p>
    <w:p>
      <w:pPr>
        <w:spacing w:after="0" w:line="120" w:lineRule="exact"/>
        <w:rPr>
          <w:rFonts w:ascii="Arial" w:cs="Arial" w:eastAsia="Arial" w:hAnsi="Arial"/>
          <w:sz w:val="16"/>
          <w:szCs w:val="16"/>
          <w:color w:val="auto"/>
        </w:rPr>
      </w:pPr>
    </w:p>
    <w:p>
      <w:pPr>
        <w:ind w:left="303" w:right="40"/>
        <w:spacing w:after="0" w:line="249" w:lineRule="auto"/>
        <w:rPr>
          <w:rFonts w:ascii="Arial" w:cs="Arial" w:eastAsia="Arial" w:hAnsi="Arial"/>
          <w:sz w:val="16"/>
          <w:szCs w:val="16"/>
          <w:color w:val="auto"/>
        </w:rPr>
      </w:pPr>
      <w:r>
        <w:rPr>
          <w:rFonts w:ascii="Arial" w:cs="Arial" w:eastAsia="Arial" w:hAnsi="Arial"/>
          <w:sz w:val="16"/>
          <w:szCs w:val="16"/>
          <w:color w:val="auto"/>
        </w:rPr>
        <w:t>The group’s monetary position is made up of the net open position of monetary assets, monetary liabilities and off-balance sheet items expressed in foreign currency for which the entity itself assumes the risk; as well as the equity position generated by the investment in the group’s subsidiaries whose functional currency is different from soles. In the first case, any appreciation/depreciation of the foreign currency would affect the consolidated income statement, on the contrary, in the case of the equity position, any appreciation/depreciation of the foreign currency will be recognized in other comprehensive income.</w:t>
      </w:r>
    </w:p>
    <w:p>
      <w:pPr>
        <w:spacing w:after="0" w:line="145" w:lineRule="exact"/>
        <w:rPr>
          <w:rFonts w:ascii="Arial" w:cs="Arial" w:eastAsia="Arial" w:hAnsi="Arial"/>
          <w:sz w:val="16"/>
          <w:szCs w:val="16"/>
          <w:color w:val="auto"/>
        </w:rPr>
      </w:pPr>
    </w:p>
    <w:p>
      <w:pPr>
        <w:ind w:left="303"/>
        <w:spacing w:after="0" w:line="249" w:lineRule="auto"/>
        <w:rPr>
          <w:rFonts w:ascii="Arial" w:cs="Arial" w:eastAsia="Arial" w:hAnsi="Arial"/>
          <w:sz w:val="16"/>
          <w:szCs w:val="16"/>
          <w:color w:val="auto"/>
        </w:rPr>
      </w:pPr>
      <w:r>
        <w:rPr>
          <w:rFonts w:ascii="Arial" w:cs="Arial" w:eastAsia="Arial" w:hAnsi="Arial"/>
          <w:sz w:val="16"/>
          <w:szCs w:val="16"/>
          <w:color w:val="auto"/>
        </w:rPr>
        <w:t>The Group manages foreign currency exchange risk, which affects the income statement, by monitoring and controlling currency positions exposed to movements in exchange rates. The market risk units of each subsidiary establish limits for said positions, which are approved by their own committees, and monitor and follow up the limits considering their foreign exchange trading positions, their most structural foreign exchange positions, as well as their sensitivities. Additionally, there is a monetary position limit at the Credicorp level, which is monitored and reported to the Group’s Risk Committee.</w:t>
      </w:r>
    </w:p>
    <w:p>
      <w:pPr>
        <w:spacing w:after="0" w:line="145" w:lineRule="exact"/>
        <w:rPr>
          <w:rFonts w:ascii="Arial" w:cs="Arial" w:eastAsia="Arial" w:hAnsi="Arial"/>
          <w:sz w:val="16"/>
          <w:szCs w:val="16"/>
          <w:color w:val="auto"/>
        </w:rPr>
      </w:pPr>
    </w:p>
    <w:p>
      <w:pPr>
        <w:ind w:left="303" w:right="300"/>
        <w:spacing w:after="0" w:line="280" w:lineRule="auto"/>
        <w:rPr>
          <w:rFonts w:ascii="Arial" w:cs="Arial" w:eastAsia="Arial" w:hAnsi="Arial"/>
          <w:sz w:val="16"/>
          <w:szCs w:val="16"/>
          <w:color w:val="auto"/>
        </w:rPr>
      </w:pPr>
      <w:r>
        <w:rPr>
          <w:rFonts w:ascii="Arial" w:cs="Arial" w:eastAsia="Arial" w:hAnsi="Arial"/>
          <w:sz w:val="16"/>
          <w:szCs w:val="16"/>
          <w:color w:val="auto"/>
        </w:rPr>
        <w:t>On the other hand, the Group manages foreign currency exchange risk whose fluctuation is recognized in other comprehensive income, monitoring, and controlling equity positions and their sensitivities, which are reported to the Group’s Risk Committee.</w:t>
      </w:r>
    </w:p>
    <w:p>
      <w:pPr>
        <w:spacing w:after="0" w:line="120" w:lineRule="exact"/>
        <w:rPr>
          <w:rFonts w:ascii="Arial" w:cs="Arial" w:eastAsia="Arial" w:hAnsi="Arial"/>
          <w:sz w:val="16"/>
          <w:szCs w:val="16"/>
          <w:color w:val="auto"/>
        </w:rPr>
      </w:pPr>
    </w:p>
    <w:p>
      <w:pPr>
        <w:ind w:left="303"/>
        <w:spacing w:after="0"/>
        <w:rPr>
          <w:rFonts w:ascii="Arial" w:cs="Arial" w:eastAsia="Arial" w:hAnsi="Arial"/>
          <w:sz w:val="16"/>
          <w:szCs w:val="16"/>
          <w:color w:val="auto"/>
        </w:rPr>
      </w:pPr>
      <w:r>
        <w:rPr>
          <w:rFonts w:ascii="Arial" w:cs="Arial" w:eastAsia="Arial" w:hAnsi="Arial"/>
          <w:sz w:val="16"/>
          <w:szCs w:val="16"/>
          <w:color w:val="auto"/>
        </w:rPr>
        <w:t>Net foreign exchange gains/losses recognized in the consolidated statement of income are disclosed in the following items:</w:t>
      </w:r>
    </w:p>
    <w:p>
      <w:pPr>
        <w:spacing w:after="0" w:line="183" w:lineRule="exact"/>
        <w:rPr>
          <w:sz w:val="20"/>
          <w:szCs w:val="20"/>
          <w:color w:val="auto"/>
        </w:rPr>
      </w:pPr>
    </w:p>
    <w:p>
      <w:pPr>
        <w:ind w:left="303" w:hanging="303"/>
        <w:spacing w:after="0"/>
        <w:tabs>
          <w:tab w:leader="none" w:pos="30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Net gain on foreign exchange transactions,</w:t>
      </w:r>
    </w:p>
    <w:p>
      <w:pPr>
        <w:spacing w:after="0" w:line="182" w:lineRule="exact"/>
        <w:rPr>
          <w:rFonts w:ascii="Arial" w:cs="Arial" w:eastAsia="Arial" w:hAnsi="Arial"/>
          <w:sz w:val="16"/>
          <w:szCs w:val="16"/>
          <w:color w:val="auto"/>
        </w:rPr>
      </w:pPr>
    </w:p>
    <w:p>
      <w:pPr>
        <w:ind w:left="303" w:hanging="303"/>
        <w:spacing w:after="0"/>
        <w:tabs>
          <w:tab w:leader="none" w:pos="30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Net result on derivatives held for trading,</w:t>
      </w:r>
    </w:p>
    <w:p>
      <w:pPr>
        <w:spacing w:after="0" w:line="182" w:lineRule="exact"/>
        <w:rPr>
          <w:rFonts w:ascii="Arial" w:cs="Arial" w:eastAsia="Arial" w:hAnsi="Arial"/>
          <w:sz w:val="16"/>
          <w:szCs w:val="16"/>
          <w:color w:val="auto"/>
        </w:rPr>
      </w:pPr>
    </w:p>
    <w:p>
      <w:pPr>
        <w:ind w:left="303" w:hanging="303"/>
        <w:spacing w:after="0"/>
        <w:tabs>
          <w:tab w:leader="none" w:pos="30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Net gain from exchange difference</w:t>
      </w:r>
    </w:p>
    <w:p>
      <w:pPr>
        <w:spacing w:after="0" w:line="182" w:lineRule="exact"/>
        <w:rPr>
          <w:rFonts w:ascii="Arial" w:cs="Arial" w:eastAsia="Arial" w:hAnsi="Arial"/>
          <w:sz w:val="16"/>
          <w:szCs w:val="16"/>
          <w:color w:val="auto"/>
        </w:rPr>
      </w:pPr>
    </w:p>
    <w:p>
      <w:pPr>
        <w:ind w:left="303" w:right="140"/>
        <w:spacing w:after="0" w:line="290" w:lineRule="auto"/>
        <w:rPr>
          <w:rFonts w:ascii="Arial" w:cs="Arial" w:eastAsia="Arial" w:hAnsi="Arial"/>
          <w:sz w:val="16"/>
          <w:szCs w:val="16"/>
          <w:color w:val="auto"/>
        </w:rPr>
      </w:pPr>
      <w:r>
        <w:rPr>
          <w:rFonts w:ascii="Arial" w:cs="Arial" w:eastAsia="Arial" w:hAnsi="Arial"/>
          <w:sz w:val="16"/>
          <w:szCs w:val="16"/>
          <w:color w:val="auto"/>
        </w:rPr>
        <w:t>As of December 31, 2023, the foreign currency in which the group has the greatest exposure is the U.S. Dollar. The free-market exchange rate for purchase and sale transactions of each U.S. Dollar as of December 31, 2023 was S</w:t>
      </w:r>
      <w:r>
        <w:rPr>
          <w:rFonts w:ascii="Arial" w:cs="Arial" w:eastAsia="Arial" w:hAnsi="Arial"/>
          <w:sz w:val="16"/>
          <w:szCs w:val="16"/>
          <w:b w:val="1"/>
          <w:bCs w:val="1"/>
          <w:color w:val="auto"/>
        </w:rPr>
        <w:t>/</w:t>
      </w:r>
      <w:r>
        <w:rPr>
          <w:rFonts w:ascii="Arial" w:cs="Arial" w:eastAsia="Arial" w:hAnsi="Arial"/>
          <w:sz w:val="16"/>
          <w:szCs w:val="16"/>
          <w:color w:val="auto"/>
        </w:rPr>
        <w:t>3.709 (S/3.814 as of December 31, 2022).</w:t>
      </w:r>
    </w:p>
    <w:p>
      <w:pPr>
        <w:spacing w:after="0" w:line="264" w:lineRule="exact"/>
        <w:rPr>
          <w:sz w:val="20"/>
          <w:szCs w:val="20"/>
          <w:color w:val="auto"/>
        </w:rPr>
      </w:pPr>
    </w:p>
    <w:p>
      <w:pPr>
        <w:ind w:left="4583"/>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63"/>
          </w:cols>
          <w:pgMar w:left="1197" w:top="306" w:right="339" w:bottom="1440" w:gutter="0" w:footer="0" w:header="0"/>
        </w:sectPr>
      </w:pPr>
    </w:p>
    <w:bookmarkStart w:id="171" w:name="page172"/>
    <w:bookmarkEnd w:id="171"/>
    <w:p>
      <w:pPr>
        <w:ind w:left="3"/>
        <w:spacing w:after="0"/>
        <w:rPr>
          <w:sz w:val="20"/>
          <w:szCs w:val="20"/>
          <w:color w:val="auto"/>
        </w:rPr>
      </w:pPr>
      <w:r>
        <w:rPr>
          <w:rFonts w:ascii="Arial" w:cs="Arial" w:eastAsia="Arial" w:hAnsi="Arial"/>
          <w:sz w:val="16"/>
          <w:szCs w:val="16"/>
          <w:color w:val="auto"/>
        </w:rPr>
        <w:t>Transactions in foreign currency are made at free market exchange rates of the countries where Credicorp’s Subsidiaries are established. As of</w:t>
      </w:r>
    </w:p>
    <w:p>
      <w:pPr>
        <w:spacing w:after="0" w:line="15" w:lineRule="exact"/>
        <w:rPr>
          <w:sz w:val="20"/>
          <w:szCs w:val="20"/>
          <w:color w:val="auto"/>
        </w:rPr>
      </w:pPr>
    </w:p>
    <w:p>
      <w:pPr>
        <w:ind w:left="3"/>
        <w:spacing w:after="0"/>
        <w:rPr>
          <w:sz w:val="20"/>
          <w:szCs w:val="20"/>
          <w:color w:val="auto"/>
        </w:rPr>
      </w:pPr>
      <w:r>
        <w:rPr>
          <w:rFonts w:ascii="Arial" w:cs="Arial" w:eastAsia="Arial" w:hAnsi="Arial"/>
          <w:sz w:val="16"/>
          <w:szCs w:val="16"/>
          <w:color w:val="auto"/>
        </w:rPr>
        <w:t>December 31,2023 and 2022, the net open monetary position with effect on results and the equity position of the Group was as follows:</w:t>
      </w:r>
    </w:p>
    <w:p>
      <w:pPr>
        <w:spacing w:after="0" w:line="188" w:lineRule="exact"/>
        <w:rPr>
          <w:sz w:val="20"/>
          <w:szCs w:val="20"/>
          <w:color w:val="auto"/>
        </w:rPr>
      </w:pPr>
    </w:p>
    <w:tbl>
      <w:tblPr>
        <w:tblLayout w:type="fixed"/>
        <w:tblInd w:w="3" w:type="dxa"/>
        <w:tblCellMar>
          <w:top w:w="0" w:type="dxa"/>
          <w:left w:w="0" w:type="dxa"/>
          <w:bottom w:w="0" w:type="dxa"/>
          <w:right w:w="0" w:type="dxa"/>
        </w:tblCellMar>
      </w:tblPr>
      <w:tr>
        <w:trPr>
          <w:trHeight w:val="154"/>
        </w:trPr>
        <w:tc>
          <w:tcPr>
            <w:tcW w:w="224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spacing w:after="0" w:line="144" w:lineRule="exact"/>
              <w:rPr>
                <w:sz w:val="20"/>
                <w:szCs w:val="20"/>
                <w:color w:val="auto"/>
              </w:rPr>
            </w:pPr>
            <w:r>
              <w:rPr>
                <w:rFonts w:ascii="Arial" w:cs="Arial" w:eastAsia="Arial" w:hAnsi="Arial"/>
                <w:sz w:val="13"/>
                <w:szCs w:val="13"/>
                <w:b w:val="1"/>
                <w:bCs w:val="1"/>
                <w:color w:val="auto"/>
              </w:rPr>
              <w:t>Other</w:t>
            </w: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ind w:left="100"/>
              <w:spacing w:after="0" w:line="144" w:lineRule="exact"/>
              <w:rPr>
                <w:sz w:val="20"/>
                <w:szCs w:val="20"/>
                <w:color w:val="auto"/>
              </w:rPr>
            </w:pPr>
            <w:r>
              <w:rPr>
                <w:rFonts w:ascii="Arial" w:cs="Arial" w:eastAsia="Arial" w:hAnsi="Arial"/>
                <w:sz w:val="13"/>
                <w:szCs w:val="13"/>
                <w:b w:val="1"/>
                <w:bCs w:val="1"/>
                <w:color w:val="auto"/>
              </w:rPr>
              <w:t>Other</w:t>
            </w: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240" w:type="dxa"/>
            <w:vAlign w:val="bottom"/>
          </w:tcPr>
          <w:p>
            <w:pPr>
              <w:spacing w:after="0"/>
              <w:rPr>
                <w:sz w:val="13"/>
                <w:szCs w:val="13"/>
                <w:color w:val="auto"/>
              </w:rPr>
            </w:pPr>
          </w:p>
        </w:tc>
        <w:tc>
          <w:tcPr>
            <w:tcW w:w="1440" w:type="dxa"/>
            <w:vAlign w:val="bottom"/>
            <w:gridSpan w:val="3"/>
          </w:tcPr>
          <w:p>
            <w:pPr>
              <w:ind w:left="100"/>
              <w:spacing w:after="0"/>
              <w:rPr>
                <w:sz w:val="20"/>
                <w:szCs w:val="20"/>
                <w:color w:val="auto"/>
              </w:rPr>
            </w:pPr>
            <w:r>
              <w:rPr>
                <w:rFonts w:ascii="Arial" w:cs="Arial" w:eastAsia="Arial" w:hAnsi="Arial"/>
                <w:sz w:val="13"/>
                <w:szCs w:val="13"/>
                <w:b w:val="1"/>
                <w:bCs w:val="1"/>
                <w:color w:val="auto"/>
              </w:rPr>
              <w:t>U.S. Dollar</w:t>
            </w: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currencies</w:t>
            </w: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1200" w:type="dxa"/>
            <w:vAlign w:val="bottom"/>
          </w:tcPr>
          <w:p>
            <w:pPr>
              <w:jc w:val="right"/>
              <w:ind w:right="475"/>
              <w:spacing w:after="0"/>
              <w:rPr>
                <w:sz w:val="20"/>
                <w:szCs w:val="20"/>
                <w:color w:val="auto"/>
              </w:rPr>
            </w:pPr>
            <w:r>
              <w:rPr>
                <w:rFonts w:ascii="Arial" w:cs="Arial" w:eastAsia="Arial" w:hAnsi="Arial"/>
                <w:sz w:val="13"/>
                <w:szCs w:val="13"/>
                <w:b w:val="1"/>
                <w:bCs w:val="1"/>
                <w:color w:val="auto"/>
                <w:w w:val="97"/>
              </w:rPr>
              <w:t>U.S. Dollar</w:t>
            </w:r>
          </w:p>
        </w:tc>
        <w:tc>
          <w:tcPr>
            <w:tcW w:w="1400" w:type="dxa"/>
            <w:vAlign w:val="bottom"/>
            <w:gridSpan w:val="3"/>
          </w:tcPr>
          <w:p>
            <w:pPr>
              <w:ind w:left="100"/>
              <w:spacing w:after="0"/>
              <w:rPr>
                <w:sz w:val="20"/>
                <w:szCs w:val="20"/>
                <w:color w:val="auto"/>
              </w:rPr>
            </w:pPr>
            <w:r>
              <w:rPr>
                <w:rFonts w:ascii="Arial" w:cs="Arial" w:eastAsia="Arial" w:hAnsi="Arial"/>
                <w:sz w:val="13"/>
                <w:szCs w:val="13"/>
                <w:b w:val="1"/>
                <w:bCs w:val="1"/>
                <w:color w:val="auto"/>
              </w:rPr>
              <w:t>currencies</w:t>
            </w:r>
          </w:p>
        </w:tc>
        <w:tc>
          <w:tcPr>
            <w:tcW w:w="120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4"/>
                <w:szCs w:val="14"/>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S/(000)</w:t>
            </w: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0"/>
                <w:szCs w:val="20"/>
                <w:color w:val="auto"/>
              </w:rPr>
            </w:pPr>
            <w:r>
              <w:rPr>
                <w:rFonts w:ascii="Arial" w:cs="Arial" w:eastAsia="Arial" w:hAnsi="Arial"/>
                <w:sz w:val="13"/>
                <w:szCs w:val="13"/>
                <w:color w:val="auto"/>
              </w:rPr>
              <w:t>Total monetary assets</w:t>
            </w:r>
          </w:p>
        </w:tc>
        <w:tc>
          <w:tcPr>
            <w:tcW w:w="1340" w:type="dxa"/>
            <w:vAlign w:val="bottom"/>
            <w:gridSpan w:val="2"/>
          </w:tcPr>
          <w:p>
            <w:pPr>
              <w:jc w:val="right"/>
              <w:ind w:right="55"/>
              <w:spacing w:after="0"/>
              <w:rPr>
                <w:sz w:val="20"/>
                <w:szCs w:val="20"/>
                <w:color w:val="auto"/>
              </w:rPr>
            </w:pPr>
            <w:r>
              <w:rPr>
                <w:rFonts w:ascii="Arial" w:cs="Arial" w:eastAsia="Arial" w:hAnsi="Arial"/>
                <w:sz w:val="13"/>
                <w:szCs w:val="13"/>
                <w:color w:val="auto"/>
              </w:rPr>
              <w:t>77,387,709</w:t>
            </w:r>
          </w:p>
        </w:tc>
        <w:tc>
          <w:tcPr>
            <w:tcW w:w="10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495,553</w:t>
            </w:r>
          </w:p>
        </w:tc>
        <w:tc>
          <w:tcPr>
            <w:tcW w:w="12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3"/>
                <w:szCs w:val="13"/>
                <w:color w:val="auto"/>
              </w:rPr>
              <w:t>77,883,262</w:t>
            </w:r>
          </w:p>
        </w:tc>
        <w:tc>
          <w:tcPr>
            <w:tcW w:w="10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3"/>
                <w:szCs w:val="13"/>
                <w:color w:val="auto"/>
              </w:rPr>
              <w:t>77,853,626</w:t>
            </w:r>
          </w:p>
        </w:tc>
        <w:tc>
          <w:tcPr>
            <w:tcW w:w="1300" w:type="dxa"/>
            <w:vAlign w:val="bottom"/>
            <w:gridSpan w:val="2"/>
          </w:tcPr>
          <w:p>
            <w:pPr>
              <w:jc w:val="right"/>
              <w:ind w:right="35"/>
              <w:spacing w:after="0"/>
              <w:rPr>
                <w:sz w:val="20"/>
                <w:szCs w:val="20"/>
                <w:color w:val="auto"/>
              </w:rPr>
            </w:pPr>
            <w:r>
              <w:rPr>
                <w:rFonts w:ascii="Arial" w:cs="Arial" w:eastAsia="Arial" w:hAnsi="Arial"/>
                <w:sz w:val="13"/>
                <w:szCs w:val="13"/>
                <w:color w:val="auto"/>
              </w:rPr>
              <w:t>364,108</w:t>
            </w:r>
          </w:p>
        </w:tc>
        <w:tc>
          <w:tcPr>
            <w:tcW w:w="10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3"/>
                <w:szCs w:val="13"/>
                <w:color w:val="auto"/>
              </w:rPr>
              <w:t>78,217,734</w:t>
            </w: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3"/>
                <w:szCs w:val="13"/>
                <w:color w:val="auto"/>
              </w:rPr>
              <w:t>Total monetary liabilities</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(79,779,686)</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(102,500)</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(79,882,186)</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(79,016,765)</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(217,568)</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(79,234,333)</w:t>
            </w:r>
          </w:p>
        </w:tc>
        <w:tc>
          <w:tcPr>
            <w:tcW w:w="0" w:type="dxa"/>
            <w:vAlign w:val="bottom"/>
          </w:tcPr>
          <w:p>
            <w:pPr>
              <w:spacing w:after="0"/>
              <w:rPr>
                <w:sz w:val="1"/>
                <w:szCs w:val="1"/>
                <w:color w:val="auto"/>
              </w:rPr>
            </w:pPr>
          </w:p>
        </w:tc>
      </w:tr>
      <w:tr>
        <w:trPr>
          <w:trHeight w:val="164"/>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(2,391,977)</w:t>
            </w:r>
          </w:p>
        </w:tc>
        <w:tc>
          <w:tcPr>
            <w:tcW w:w="100" w:type="dxa"/>
            <w:vAlign w:val="bottom"/>
          </w:tcPr>
          <w:p>
            <w:pPr>
              <w:spacing w:after="0"/>
              <w:rPr>
                <w:sz w:val="14"/>
                <w:szCs w:val="14"/>
                <w:color w:val="auto"/>
              </w:rPr>
            </w:pP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393,053</w:t>
            </w:r>
          </w:p>
        </w:tc>
        <w:tc>
          <w:tcPr>
            <w:tcW w:w="12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(1,998,924)</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(1,163,139)</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146,540</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(1,016,599)</w:t>
            </w:r>
          </w:p>
        </w:tc>
        <w:tc>
          <w:tcPr>
            <w:tcW w:w="0" w:type="dxa"/>
            <w:vAlign w:val="bottom"/>
          </w:tcPr>
          <w:p>
            <w:pPr>
              <w:spacing w:after="0"/>
              <w:rPr>
                <w:sz w:val="1"/>
                <w:szCs w:val="1"/>
                <w:color w:val="auto"/>
              </w:rPr>
            </w:pPr>
          </w:p>
        </w:tc>
      </w:tr>
      <w:tr>
        <w:trPr>
          <w:trHeight w:val="286"/>
        </w:trPr>
        <w:tc>
          <w:tcPr>
            <w:tcW w:w="2240" w:type="dxa"/>
            <w:vAlign w:val="bottom"/>
          </w:tcPr>
          <w:p>
            <w:pPr>
              <w:spacing w:after="0"/>
              <w:rPr>
                <w:sz w:val="20"/>
                <w:szCs w:val="20"/>
                <w:color w:val="auto"/>
              </w:rPr>
            </w:pPr>
            <w:r>
              <w:rPr>
                <w:rFonts w:ascii="Arial" w:cs="Arial" w:eastAsia="Arial" w:hAnsi="Arial"/>
                <w:sz w:val="13"/>
                <w:szCs w:val="13"/>
                <w:color w:val="auto"/>
              </w:rPr>
              <w:t>Total position in currency derivatives</w:t>
            </w:r>
          </w:p>
        </w:tc>
        <w:tc>
          <w:tcPr>
            <w:tcW w:w="1340" w:type="dxa"/>
            <w:vAlign w:val="bottom"/>
            <w:gridSpan w:val="2"/>
          </w:tcPr>
          <w:p>
            <w:pPr>
              <w:jc w:val="right"/>
              <w:ind w:right="55"/>
              <w:spacing w:after="0"/>
              <w:rPr>
                <w:sz w:val="20"/>
                <w:szCs w:val="20"/>
                <w:color w:val="auto"/>
              </w:rPr>
            </w:pPr>
            <w:r>
              <w:rPr>
                <w:rFonts w:ascii="Arial" w:cs="Arial" w:eastAsia="Arial" w:hAnsi="Arial"/>
                <w:sz w:val="13"/>
                <w:szCs w:val="13"/>
                <w:color w:val="auto"/>
              </w:rPr>
              <w:t>2,622,188</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(369,458)</w:t>
            </w:r>
          </w:p>
        </w:tc>
        <w:tc>
          <w:tcPr>
            <w:tcW w:w="120" w:type="dxa"/>
            <w:vAlign w:val="bottom"/>
          </w:tcPr>
          <w:p>
            <w:pPr>
              <w:spacing w:after="0"/>
              <w:rPr>
                <w:sz w:val="24"/>
                <w:szCs w:val="24"/>
                <w:color w:val="auto"/>
              </w:rPr>
            </w:pPr>
          </w:p>
        </w:tc>
        <w:tc>
          <w:tcPr>
            <w:tcW w:w="1180" w:type="dxa"/>
            <w:vAlign w:val="bottom"/>
          </w:tcPr>
          <w:p>
            <w:pPr>
              <w:jc w:val="right"/>
              <w:ind w:right="15"/>
              <w:spacing w:after="0"/>
              <w:rPr>
                <w:sz w:val="20"/>
                <w:szCs w:val="20"/>
                <w:color w:val="auto"/>
              </w:rPr>
            </w:pPr>
            <w:r>
              <w:rPr>
                <w:rFonts w:ascii="Arial" w:cs="Arial" w:eastAsia="Arial" w:hAnsi="Arial"/>
                <w:sz w:val="13"/>
                <w:szCs w:val="13"/>
                <w:color w:val="auto"/>
              </w:rPr>
              <w:t>2,252,730</w:t>
            </w:r>
          </w:p>
        </w:tc>
        <w:tc>
          <w:tcPr>
            <w:tcW w:w="10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3"/>
                <w:szCs w:val="13"/>
                <w:color w:val="auto"/>
              </w:rPr>
              <w:t>353,166</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(127,382)</w:t>
            </w:r>
          </w:p>
        </w:tc>
        <w:tc>
          <w:tcPr>
            <w:tcW w:w="10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3"/>
                <w:szCs w:val="13"/>
                <w:color w:val="auto"/>
              </w:rPr>
              <w:t>225,784</w:t>
            </w:r>
          </w:p>
        </w:tc>
        <w:tc>
          <w:tcPr>
            <w:tcW w:w="0" w:type="dxa"/>
            <w:vAlign w:val="bottom"/>
          </w:tcPr>
          <w:p>
            <w:pPr>
              <w:spacing w:after="0"/>
              <w:rPr>
                <w:sz w:val="1"/>
                <w:szCs w:val="1"/>
                <w:color w:val="auto"/>
              </w:rPr>
            </w:pPr>
          </w:p>
        </w:tc>
      </w:tr>
      <w:tr>
        <w:trPr>
          <w:trHeight w:val="293"/>
        </w:trPr>
        <w:tc>
          <w:tcPr>
            <w:tcW w:w="2240" w:type="dxa"/>
            <w:vAlign w:val="bottom"/>
          </w:tcPr>
          <w:p>
            <w:pPr>
              <w:spacing w:after="0"/>
              <w:rPr>
                <w:sz w:val="20"/>
                <w:szCs w:val="20"/>
                <w:color w:val="auto"/>
              </w:rPr>
            </w:pPr>
            <w:r>
              <w:rPr>
                <w:rFonts w:ascii="Arial" w:cs="Arial" w:eastAsia="Arial" w:hAnsi="Arial"/>
                <w:sz w:val="13"/>
                <w:szCs w:val="13"/>
                <w:color w:val="auto"/>
              </w:rPr>
              <w:t>Hedging a foreign investment (*)</w:t>
            </w: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5"/>
              <w:spacing w:after="0"/>
              <w:rPr>
                <w:sz w:val="20"/>
                <w:szCs w:val="20"/>
                <w:color w:val="auto"/>
              </w:rPr>
            </w:pPr>
            <w:r>
              <w:rPr>
                <w:rFonts w:ascii="Arial" w:cs="Arial" w:eastAsia="Arial" w:hAnsi="Arial"/>
                <w:sz w:val="13"/>
                <w:szCs w:val="13"/>
                <w:color w:val="auto"/>
              </w:rPr>
              <w:t>872,750</w:t>
            </w:r>
          </w:p>
        </w:tc>
        <w:tc>
          <w:tcPr>
            <w:tcW w:w="1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5"/>
              <w:spacing w:after="0"/>
              <w:rPr>
                <w:sz w:val="20"/>
                <w:szCs w:val="20"/>
                <w:color w:val="auto"/>
              </w:rPr>
            </w:pPr>
            <w:r>
              <w:rPr>
                <w:rFonts w:ascii="Arial" w:cs="Arial" w:eastAsia="Arial" w:hAnsi="Arial"/>
                <w:sz w:val="13"/>
                <w:szCs w:val="13"/>
                <w:color w:val="auto"/>
              </w:rPr>
              <w:t>872,750</w:t>
            </w:r>
          </w:p>
        </w:tc>
        <w:tc>
          <w:tcPr>
            <w:tcW w:w="0" w:type="dxa"/>
            <w:vAlign w:val="bottom"/>
          </w:tcPr>
          <w:p>
            <w:pPr>
              <w:spacing w:after="0"/>
              <w:rPr>
                <w:sz w:val="1"/>
                <w:szCs w:val="1"/>
                <w:color w:val="auto"/>
              </w:rPr>
            </w:pPr>
          </w:p>
        </w:tc>
      </w:tr>
      <w:tr>
        <w:trPr>
          <w:trHeight w:val="141"/>
        </w:trPr>
        <w:tc>
          <w:tcPr>
            <w:tcW w:w="2240" w:type="dxa"/>
            <w:vAlign w:val="bottom"/>
            <w:vMerge w:val="restart"/>
          </w:tcPr>
          <w:p>
            <w:pPr>
              <w:spacing w:after="0"/>
              <w:rPr>
                <w:sz w:val="20"/>
                <w:szCs w:val="20"/>
                <w:color w:val="auto"/>
              </w:rPr>
            </w:pPr>
            <w:r>
              <w:rPr>
                <w:rFonts w:ascii="Arial" w:cs="Arial" w:eastAsia="Arial" w:hAnsi="Arial"/>
                <w:sz w:val="13"/>
                <w:szCs w:val="13"/>
                <w:b w:val="1"/>
                <w:bCs w:val="1"/>
                <w:color w:val="auto"/>
              </w:rPr>
              <w:t>Total monetary position with effect</w:t>
            </w:r>
          </w:p>
        </w:tc>
        <w:tc>
          <w:tcPr>
            <w:tcW w:w="10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240" w:type="dxa"/>
            <w:vAlign w:val="bottom"/>
          </w:tcPr>
          <w:p>
            <w:pPr>
              <w:ind w:left="140"/>
              <w:spacing w:after="0"/>
              <w:rPr>
                <w:sz w:val="20"/>
                <w:szCs w:val="20"/>
                <w:color w:val="auto"/>
              </w:rPr>
            </w:pPr>
            <w:r>
              <w:rPr>
                <w:rFonts w:ascii="Arial" w:cs="Arial" w:eastAsia="Arial" w:hAnsi="Arial"/>
                <w:sz w:val="13"/>
                <w:szCs w:val="13"/>
                <w:b w:val="1"/>
                <w:bCs w:val="1"/>
                <w:color w:val="auto"/>
              </w:rPr>
              <w:t>on income</w:t>
            </w:r>
          </w:p>
        </w:tc>
        <w:tc>
          <w:tcPr>
            <w:tcW w:w="1340" w:type="dxa"/>
            <w:vAlign w:val="bottom"/>
            <w:gridSpan w:val="2"/>
          </w:tcPr>
          <w:p>
            <w:pPr>
              <w:jc w:val="right"/>
              <w:ind w:right="55"/>
              <w:spacing w:after="0"/>
              <w:rPr>
                <w:sz w:val="20"/>
                <w:szCs w:val="20"/>
                <w:color w:val="auto"/>
              </w:rPr>
            </w:pPr>
            <w:r>
              <w:rPr>
                <w:rFonts w:ascii="Arial" w:cs="Arial" w:eastAsia="Arial" w:hAnsi="Arial"/>
                <w:sz w:val="13"/>
                <w:szCs w:val="13"/>
                <w:color w:val="auto"/>
              </w:rPr>
              <w:t>230,211</w:t>
            </w:r>
          </w:p>
        </w:tc>
        <w:tc>
          <w:tcPr>
            <w:tcW w:w="100" w:type="dxa"/>
            <w:vAlign w:val="bottom"/>
          </w:tcPr>
          <w:p>
            <w:pPr>
              <w:spacing w:after="0"/>
              <w:rPr>
                <w:sz w:val="15"/>
                <w:szCs w:val="15"/>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23,595</w:t>
            </w:r>
          </w:p>
        </w:tc>
        <w:tc>
          <w:tcPr>
            <w:tcW w:w="120" w:type="dxa"/>
            <w:vAlign w:val="bottom"/>
          </w:tcPr>
          <w:p>
            <w:pPr>
              <w:spacing w:after="0"/>
              <w:rPr>
                <w:sz w:val="15"/>
                <w:szCs w:val="15"/>
                <w:color w:val="auto"/>
              </w:rPr>
            </w:pPr>
          </w:p>
        </w:tc>
        <w:tc>
          <w:tcPr>
            <w:tcW w:w="1180" w:type="dxa"/>
            <w:vAlign w:val="bottom"/>
          </w:tcPr>
          <w:p>
            <w:pPr>
              <w:jc w:val="right"/>
              <w:ind w:right="15"/>
              <w:spacing w:after="0"/>
              <w:rPr>
                <w:sz w:val="20"/>
                <w:szCs w:val="20"/>
                <w:color w:val="auto"/>
              </w:rPr>
            </w:pPr>
            <w:r>
              <w:rPr>
                <w:rFonts w:ascii="Arial" w:cs="Arial" w:eastAsia="Arial" w:hAnsi="Arial"/>
                <w:sz w:val="13"/>
                <w:szCs w:val="13"/>
                <w:color w:val="auto"/>
              </w:rPr>
              <w:t>253,806</w:t>
            </w:r>
          </w:p>
        </w:tc>
        <w:tc>
          <w:tcPr>
            <w:tcW w:w="100" w:type="dxa"/>
            <w:vAlign w:val="bottom"/>
          </w:tcPr>
          <w:p>
            <w:pPr>
              <w:spacing w:after="0"/>
              <w:rPr>
                <w:sz w:val="15"/>
                <w:szCs w:val="15"/>
                <w:color w:val="auto"/>
              </w:rPr>
            </w:pPr>
          </w:p>
        </w:tc>
        <w:tc>
          <w:tcPr>
            <w:tcW w:w="1200" w:type="dxa"/>
            <w:vAlign w:val="bottom"/>
          </w:tcPr>
          <w:p>
            <w:pPr>
              <w:jc w:val="right"/>
              <w:ind w:right="35"/>
              <w:spacing w:after="0"/>
              <w:rPr>
                <w:sz w:val="20"/>
                <w:szCs w:val="20"/>
                <w:color w:val="auto"/>
              </w:rPr>
            </w:pPr>
            <w:r>
              <w:rPr>
                <w:rFonts w:ascii="Arial" w:cs="Arial" w:eastAsia="Arial" w:hAnsi="Arial"/>
                <w:sz w:val="13"/>
                <w:szCs w:val="13"/>
                <w:color w:val="auto"/>
              </w:rPr>
              <w:t>62,777</w:t>
            </w:r>
          </w:p>
        </w:tc>
        <w:tc>
          <w:tcPr>
            <w:tcW w:w="1300" w:type="dxa"/>
            <w:vAlign w:val="bottom"/>
            <w:gridSpan w:val="2"/>
          </w:tcPr>
          <w:p>
            <w:pPr>
              <w:jc w:val="right"/>
              <w:ind w:right="35"/>
              <w:spacing w:after="0"/>
              <w:rPr>
                <w:sz w:val="20"/>
                <w:szCs w:val="20"/>
                <w:color w:val="auto"/>
              </w:rPr>
            </w:pPr>
            <w:r>
              <w:rPr>
                <w:rFonts w:ascii="Arial" w:cs="Arial" w:eastAsia="Arial" w:hAnsi="Arial"/>
                <w:sz w:val="13"/>
                <w:szCs w:val="13"/>
                <w:color w:val="auto"/>
              </w:rPr>
              <w:t>19,158</w:t>
            </w:r>
          </w:p>
        </w:tc>
        <w:tc>
          <w:tcPr>
            <w:tcW w:w="100" w:type="dxa"/>
            <w:vAlign w:val="bottom"/>
          </w:tcPr>
          <w:p>
            <w:pPr>
              <w:spacing w:after="0"/>
              <w:rPr>
                <w:sz w:val="15"/>
                <w:szCs w:val="15"/>
                <w:color w:val="auto"/>
              </w:rPr>
            </w:pPr>
          </w:p>
        </w:tc>
        <w:tc>
          <w:tcPr>
            <w:tcW w:w="1200" w:type="dxa"/>
            <w:vAlign w:val="bottom"/>
          </w:tcPr>
          <w:p>
            <w:pPr>
              <w:jc w:val="right"/>
              <w:ind w:right="35"/>
              <w:spacing w:after="0"/>
              <w:rPr>
                <w:sz w:val="20"/>
                <w:szCs w:val="20"/>
                <w:color w:val="auto"/>
              </w:rPr>
            </w:pPr>
            <w:r>
              <w:rPr>
                <w:rFonts w:ascii="Arial" w:cs="Arial" w:eastAsia="Arial" w:hAnsi="Arial"/>
                <w:sz w:val="13"/>
                <w:szCs w:val="13"/>
                <w:color w:val="auto"/>
              </w:rPr>
              <w:t>81,935</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Arial" w:cs="Arial" w:eastAsia="Arial" w:hAnsi="Arial"/>
                <w:sz w:val="13"/>
                <w:szCs w:val="13"/>
                <w:b w:val="1"/>
                <w:bCs w:val="1"/>
                <w:color w:val="auto"/>
              </w:rPr>
              <w:t>Total monetary position with effect</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240" w:type="dxa"/>
            <w:vAlign w:val="bottom"/>
          </w:tcPr>
          <w:p>
            <w:pPr>
              <w:ind w:left="140"/>
              <w:spacing w:after="0"/>
              <w:rPr>
                <w:sz w:val="20"/>
                <w:szCs w:val="20"/>
                <w:color w:val="auto"/>
              </w:rPr>
            </w:pPr>
            <w:r>
              <w:rPr>
                <w:rFonts w:ascii="Arial" w:cs="Arial" w:eastAsia="Arial" w:hAnsi="Arial"/>
                <w:sz w:val="13"/>
                <w:szCs w:val="13"/>
                <w:b w:val="1"/>
                <w:bCs w:val="1"/>
                <w:color w:val="auto"/>
              </w:rPr>
              <w:t>on equity</w:t>
            </w:r>
          </w:p>
        </w:tc>
        <w:tc>
          <w:tcPr>
            <w:tcW w:w="1340" w:type="dxa"/>
            <w:vAlign w:val="bottom"/>
            <w:gridSpan w:val="2"/>
          </w:tcPr>
          <w:p>
            <w:pPr>
              <w:jc w:val="right"/>
              <w:ind w:right="55"/>
              <w:spacing w:after="0"/>
              <w:rPr>
                <w:sz w:val="20"/>
                <w:szCs w:val="20"/>
                <w:color w:val="auto"/>
              </w:rPr>
            </w:pPr>
            <w:r>
              <w:rPr>
                <w:rFonts w:ascii="Arial" w:cs="Arial" w:eastAsia="Arial" w:hAnsi="Arial"/>
                <w:sz w:val="13"/>
                <w:szCs w:val="13"/>
                <w:color w:val="auto"/>
              </w:rPr>
              <w:t>904,434</w:t>
            </w:r>
          </w:p>
        </w:tc>
        <w:tc>
          <w:tcPr>
            <w:tcW w:w="100" w:type="dxa"/>
            <w:vAlign w:val="bottom"/>
          </w:tcPr>
          <w:p>
            <w:pPr>
              <w:spacing w:after="0"/>
              <w:rPr>
                <w:sz w:val="15"/>
                <w:szCs w:val="15"/>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color w:val="auto"/>
              </w:rPr>
              <w:t>2,204,984</w:t>
            </w:r>
          </w:p>
        </w:tc>
        <w:tc>
          <w:tcPr>
            <w:tcW w:w="120" w:type="dxa"/>
            <w:vAlign w:val="bottom"/>
          </w:tcPr>
          <w:p>
            <w:pPr>
              <w:spacing w:after="0"/>
              <w:rPr>
                <w:sz w:val="15"/>
                <w:szCs w:val="15"/>
                <w:color w:val="auto"/>
              </w:rPr>
            </w:pPr>
          </w:p>
        </w:tc>
        <w:tc>
          <w:tcPr>
            <w:tcW w:w="1180" w:type="dxa"/>
            <w:vAlign w:val="bottom"/>
          </w:tcPr>
          <w:p>
            <w:pPr>
              <w:jc w:val="right"/>
              <w:ind w:right="15"/>
              <w:spacing w:after="0"/>
              <w:rPr>
                <w:sz w:val="20"/>
                <w:szCs w:val="20"/>
                <w:color w:val="auto"/>
              </w:rPr>
            </w:pPr>
            <w:r>
              <w:rPr>
                <w:rFonts w:ascii="Arial" w:cs="Arial" w:eastAsia="Arial" w:hAnsi="Arial"/>
                <w:sz w:val="13"/>
                <w:szCs w:val="13"/>
                <w:color w:val="auto"/>
              </w:rPr>
              <w:t>3,109,418</w:t>
            </w:r>
          </w:p>
        </w:tc>
        <w:tc>
          <w:tcPr>
            <w:tcW w:w="100" w:type="dxa"/>
            <w:vAlign w:val="bottom"/>
          </w:tcPr>
          <w:p>
            <w:pPr>
              <w:spacing w:after="0"/>
              <w:rPr>
                <w:sz w:val="15"/>
                <w:szCs w:val="15"/>
                <w:color w:val="auto"/>
              </w:rPr>
            </w:pPr>
          </w:p>
        </w:tc>
        <w:tc>
          <w:tcPr>
            <w:tcW w:w="1200" w:type="dxa"/>
            <w:vAlign w:val="bottom"/>
          </w:tcPr>
          <w:p>
            <w:pPr>
              <w:jc w:val="right"/>
              <w:ind w:right="35"/>
              <w:spacing w:after="0"/>
              <w:rPr>
                <w:sz w:val="20"/>
                <w:szCs w:val="20"/>
                <w:color w:val="auto"/>
              </w:rPr>
            </w:pPr>
            <w:r>
              <w:rPr>
                <w:rFonts w:ascii="Arial" w:cs="Arial" w:eastAsia="Arial" w:hAnsi="Arial"/>
                <w:sz w:val="13"/>
                <w:szCs w:val="13"/>
                <w:color w:val="auto"/>
              </w:rPr>
              <w:t>785,030</w:t>
            </w:r>
          </w:p>
        </w:tc>
        <w:tc>
          <w:tcPr>
            <w:tcW w:w="1300" w:type="dxa"/>
            <w:vAlign w:val="bottom"/>
            <w:gridSpan w:val="2"/>
          </w:tcPr>
          <w:p>
            <w:pPr>
              <w:jc w:val="right"/>
              <w:ind w:right="35"/>
              <w:spacing w:after="0"/>
              <w:rPr>
                <w:sz w:val="20"/>
                <w:szCs w:val="20"/>
                <w:color w:val="auto"/>
              </w:rPr>
            </w:pPr>
            <w:r>
              <w:rPr>
                <w:rFonts w:ascii="Arial" w:cs="Arial" w:eastAsia="Arial" w:hAnsi="Arial"/>
                <w:sz w:val="13"/>
                <w:szCs w:val="13"/>
                <w:color w:val="auto"/>
              </w:rPr>
              <w:t>1,872,697</w:t>
            </w:r>
          </w:p>
        </w:tc>
        <w:tc>
          <w:tcPr>
            <w:tcW w:w="100" w:type="dxa"/>
            <w:vAlign w:val="bottom"/>
          </w:tcPr>
          <w:p>
            <w:pPr>
              <w:spacing w:after="0"/>
              <w:rPr>
                <w:sz w:val="15"/>
                <w:szCs w:val="15"/>
                <w:color w:val="auto"/>
              </w:rPr>
            </w:pPr>
          </w:p>
        </w:tc>
        <w:tc>
          <w:tcPr>
            <w:tcW w:w="1200" w:type="dxa"/>
            <w:vAlign w:val="bottom"/>
          </w:tcPr>
          <w:p>
            <w:pPr>
              <w:jc w:val="right"/>
              <w:ind w:right="35"/>
              <w:spacing w:after="0"/>
              <w:rPr>
                <w:sz w:val="20"/>
                <w:szCs w:val="20"/>
                <w:color w:val="auto"/>
              </w:rPr>
            </w:pPr>
            <w:r>
              <w:rPr>
                <w:rFonts w:ascii="Arial" w:cs="Arial" w:eastAsia="Arial" w:hAnsi="Arial"/>
                <w:sz w:val="13"/>
                <w:szCs w:val="13"/>
                <w:color w:val="auto"/>
              </w:rPr>
              <w:t>2,657,727</w:t>
            </w:r>
          </w:p>
        </w:tc>
        <w:tc>
          <w:tcPr>
            <w:tcW w:w="0" w:type="dxa"/>
            <w:vAlign w:val="bottom"/>
          </w:tcPr>
          <w:p>
            <w:pPr>
              <w:spacing w:after="0"/>
              <w:rPr>
                <w:sz w:val="1"/>
                <w:szCs w:val="1"/>
                <w:color w:val="auto"/>
              </w:rPr>
            </w:pPr>
          </w:p>
        </w:tc>
      </w:tr>
      <w:tr>
        <w:trPr>
          <w:trHeight w:val="135"/>
        </w:trPr>
        <w:tc>
          <w:tcPr>
            <w:tcW w:w="2240" w:type="dxa"/>
            <w:vAlign w:val="bottom"/>
            <w:vMerge w:val="restart"/>
          </w:tcPr>
          <w:p>
            <w:pPr>
              <w:spacing w:after="0"/>
              <w:rPr>
                <w:sz w:val="20"/>
                <w:szCs w:val="20"/>
                <w:color w:val="auto"/>
              </w:rPr>
            </w:pPr>
            <w:r>
              <w:rPr>
                <w:rFonts w:ascii="Arial" w:cs="Arial" w:eastAsia="Arial" w:hAnsi="Arial"/>
                <w:sz w:val="13"/>
                <w:szCs w:val="13"/>
                <w:b w:val="1"/>
                <w:bCs w:val="1"/>
                <w:color w:val="auto"/>
              </w:rPr>
              <w:t>Net monetary position</w:t>
            </w:r>
          </w:p>
        </w:tc>
        <w:tc>
          <w:tcPr>
            <w:tcW w:w="1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1,134,645</w:t>
            </w:r>
          </w:p>
        </w:tc>
        <w:tc>
          <w:tcPr>
            <w:tcW w:w="1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2,228,579</w:t>
            </w:r>
          </w:p>
        </w:tc>
        <w:tc>
          <w:tcPr>
            <w:tcW w:w="12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15"/>
              <w:spacing w:after="0" w:line="139" w:lineRule="exact"/>
              <w:rPr>
                <w:sz w:val="20"/>
                <w:szCs w:val="20"/>
                <w:color w:val="auto"/>
              </w:rPr>
            </w:pPr>
            <w:r>
              <w:rPr>
                <w:rFonts w:ascii="Arial" w:cs="Arial" w:eastAsia="Arial" w:hAnsi="Arial"/>
                <w:sz w:val="13"/>
                <w:szCs w:val="13"/>
                <w:b w:val="1"/>
                <w:bCs w:val="1"/>
                <w:color w:val="auto"/>
              </w:rPr>
              <w:t>3,363,224</w:t>
            </w:r>
          </w:p>
        </w:tc>
        <w:tc>
          <w:tcPr>
            <w:tcW w:w="1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847,807</w:t>
            </w:r>
          </w:p>
        </w:tc>
        <w:tc>
          <w:tcPr>
            <w:tcW w:w="1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1,891,855</w:t>
            </w:r>
          </w:p>
        </w:tc>
        <w:tc>
          <w:tcPr>
            <w:tcW w:w="1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2,739,662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 w:right="60"/>
        <w:spacing w:after="0" w:line="252" w:lineRule="auto"/>
        <w:rPr>
          <w:sz w:val="20"/>
          <w:szCs w:val="20"/>
          <w:color w:val="auto"/>
        </w:rPr>
      </w:pPr>
      <w:r>
        <w:rPr>
          <w:rFonts w:ascii="Arial" w:cs="Arial" w:eastAsia="Arial" w:hAnsi="Arial"/>
          <w:sz w:val="16"/>
          <w:szCs w:val="16"/>
          <w:color w:val="auto"/>
        </w:rPr>
        <w:t>As of December 31, 2023, the monetary position with effect on equity in other currencies is mainly made up of the equity of subsidiaries in Bolivian pesos for S/860.3 million, in Colombian pesos for S/961.9 million and, in Chilean pesos for S/380.9 million, among other minors. As of December 31, 2022, the monetary position with effect on equity in other currencies was mainly made up of the equity of subsidiaries in Bolivian pesos for S/954.7 million, in Colombian pesos for S/566.7 million and, in Chilean pesos for S/348.0 million, among other minors.</w:t>
      </w:r>
    </w:p>
    <w:p>
      <w:pPr>
        <w:spacing w:after="0" w:line="144" w:lineRule="exact"/>
        <w:rPr>
          <w:sz w:val="20"/>
          <w:szCs w:val="20"/>
          <w:color w:val="auto"/>
        </w:rPr>
      </w:pPr>
    </w:p>
    <w:p>
      <w:pPr>
        <w:jc w:val="both"/>
        <w:ind w:left="3" w:hanging="3"/>
        <w:spacing w:after="0" w:line="259" w:lineRule="auto"/>
        <w:tabs>
          <w:tab w:leader="none" w:pos="2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As of December 31, 2023 the accounting hedge of net investment abroad was revoked, where part of our liability position in dollars related to the balance of the caption “bonds and notes issued”, see Note 15(a)(iii), was designated as cover our permanent investment in Atlantic Security Holding.</w:t>
      </w:r>
    </w:p>
    <w:p>
      <w:pPr>
        <w:spacing w:after="0" w:line="296" w:lineRule="exact"/>
        <w:rPr>
          <w:sz w:val="20"/>
          <w:szCs w:val="20"/>
          <w:color w:val="auto"/>
        </w:rPr>
      </w:pPr>
    </w:p>
    <w:p>
      <w:pPr>
        <w:ind w:left="4583"/>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43"/>
          </w:cols>
          <w:pgMar w:left="1197" w:top="306" w:right="359" w:bottom="1440" w:gutter="0" w:footer="0" w:header="0"/>
        </w:sectPr>
      </w:pPr>
    </w:p>
    <w:bookmarkStart w:id="172" w:name="page173"/>
    <w:bookmarkEnd w:id="172"/>
    <w:p>
      <w:pPr>
        <w:ind w:left="580" w:right="200"/>
        <w:spacing w:after="0" w:line="280" w:lineRule="auto"/>
        <w:rPr>
          <w:sz w:val="20"/>
          <w:szCs w:val="20"/>
          <w:color w:val="auto"/>
        </w:rPr>
      </w:pPr>
      <w:r>
        <w:rPr>
          <w:rFonts w:ascii="Arial" w:cs="Arial" w:eastAsia="Arial" w:hAnsi="Arial"/>
          <w:sz w:val="16"/>
          <w:szCs w:val="16"/>
          <w:color w:val="auto"/>
        </w:rPr>
        <w:t>The following tables show the sensitivity analysis of the main currencies to which the Group is exposed, and which affect the consolidated income statement and other comprehensive income as of December 31, 2023, and December 31, 2022.</w:t>
      </w:r>
    </w:p>
    <w:p>
      <w:pPr>
        <w:spacing w:after="0" w:line="120" w:lineRule="exact"/>
        <w:rPr>
          <w:sz w:val="20"/>
          <w:szCs w:val="20"/>
          <w:color w:val="auto"/>
        </w:rPr>
      </w:pPr>
    </w:p>
    <w:p>
      <w:pPr>
        <w:ind w:left="580" w:right="140"/>
        <w:spacing w:after="0" w:line="259" w:lineRule="auto"/>
        <w:rPr>
          <w:sz w:val="20"/>
          <w:szCs w:val="20"/>
          <w:color w:val="auto"/>
        </w:rPr>
      </w:pPr>
      <w:r>
        <w:rPr>
          <w:rFonts w:ascii="Arial" w:cs="Arial" w:eastAsia="Arial" w:hAnsi="Arial"/>
          <w:sz w:val="16"/>
          <w:szCs w:val="16"/>
          <w:color w:val="auto"/>
        </w:rPr>
        <w:t>The analysis determines the effect of a reasonably possible variation of the exchange rate against the sol for each of the currencies independently, considering all other variables constant. A negative amount shows a potential net reduction in the consolidated income statement and other comprehensive income, while a positive amount reflects a potential increase.</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is a sensitivity analysis of the foreign exchange position with an effect on the consolidated statement of income: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Change in</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30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currency</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0"/>
        </w:trPr>
        <w:tc>
          <w:tcPr>
            <w:tcW w:w="6300" w:type="dxa"/>
            <w:vAlign w:val="bottom"/>
          </w:tcPr>
          <w:p>
            <w:pPr>
              <w:spacing w:after="0"/>
              <w:rPr>
                <w:sz w:val="20"/>
                <w:szCs w:val="20"/>
                <w:color w:val="auto"/>
              </w:rPr>
            </w:pPr>
            <w:r>
              <w:rPr>
                <w:rFonts w:ascii="Arial" w:cs="Arial" w:eastAsia="Arial" w:hAnsi="Arial"/>
                <w:sz w:val="16"/>
                <w:szCs w:val="16"/>
                <w:b w:val="1"/>
                <w:bCs w:val="1"/>
                <w:color w:val="auto"/>
              </w:rPr>
              <w:t>Currency rate sensibility</w:t>
            </w:r>
          </w:p>
        </w:tc>
        <w:tc>
          <w:tcPr>
            <w:tcW w:w="1240" w:type="dxa"/>
            <w:vAlign w:val="bottom"/>
          </w:tcPr>
          <w:p>
            <w:pPr>
              <w:spacing w:after="0"/>
              <w:rPr>
                <w:sz w:val="20"/>
                <w:szCs w:val="20"/>
                <w:color w:val="auto"/>
              </w:rPr>
            </w:pPr>
            <w:r>
              <w:rPr>
                <w:rFonts w:ascii="Arial" w:cs="Arial" w:eastAsia="Arial" w:hAnsi="Arial"/>
                <w:sz w:val="16"/>
                <w:szCs w:val="16"/>
                <w:b w:val="1"/>
                <w:bCs w:val="1"/>
                <w:color w:val="auto"/>
              </w:rPr>
              <w:t>rates</w:t>
            </w: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2022</w:t>
            </w:r>
          </w:p>
        </w:tc>
      </w:tr>
      <w:tr>
        <w:trPr>
          <w:trHeight w:val="216"/>
        </w:trPr>
        <w:tc>
          <w:tcPr>
            <w:tcW w:w="630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w:t>
            </w: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r>
      <w:tr>
        <w:trPr>
          <w:trHeight w:val="310"/>
        </w:trPr>
        <w:tc>
          <w:tcPr>
            <w:tcW w:w="6300" w:type="dxa"/>
            <w:vAlign w:val="bottom"/>
          </w:tcPr>
          <w:p>
            <w:pPr>
              <w:spacing w:after="0"/>
              <w:rPr>
                <w:sz w:val="20"/>
                <w:szCs w:val="20"/>
                <w:color w:val="auto"/>
              </w:rPr>
            </w:pPr>
            <w:r>
              <w:rPr>
                <w:rFonts w:ascii="Arial" w:cs="Arial" w:eastAsia="Arial" w:hAnsi="Arial"/>
                <w:sz w:val="16"/>
                <w:szCs w:val="16"/>
                <w:color w:val="auto"/>
              </w:rPr>
              <w:t>Depreciation -</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6300" w:type="dxa"/>
            <w:vAlign w:val="bottom"/>
          </w:tcPr>
          <w:p>
            <w:pPr>
              <w:spacing w:after="0"/>
              <w:rPr>
                <w:sz w:val="20"/>
                <w:szCs w:val="20"/>
                <w:color w:val="auto"/>
              </w:rPr>
            </w:pPr>
            <w:r>
              <w:rPr>
                <w:rFonts w:ascii="Arial" w:cs="Arial" w:eastAsia="Arial" w:hAnsi="Arial"/>
                <w:sz w:val="16"/>
                <w:szCs w:val="16"/>
                <w:color w:val="auto"/>
              </w:rPr>
              <w:t>Soles in relation to U.S. Dollar</w:t>
            </w:r>
          </w:p>
        </w:tc>
        <w:tc>
          <w:tcPr>
            <w:tcW w:w="1240" w:type="dxa"/>
            <w:vAlign w:val="bottom"/>
          </w:tcPr>
          <w:p>
            <w:pPr>
              <w:jc w:val="center"/>
              <w:spacing w:after="0"/>
              <w:rPr>
                <w:sz w:val="20"/>
                <w:szCs w:val="20"/>
                <w:color w:val="auto"/>
              </w:rPr>
            </w:pPr>
            <w:r>
              <w:rPr>
                <w:rFonts w:ascii="Arial" w:cs="Arial" w:eastAsia="Arial" w:hAnsi="Arial"/>
                <w:sz w:val="16"/>
                <w:szCs w:val="16"/>
                <w:color w:val="auto"/>
              </w:rPr>
              <w:t>5</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10,962</w:t>
            </w:r>
          </w:p>
        </w:tc>
        <w:tc>
          <w:tcPr>
            <w:tcW w:w="100" w:type="dxa"/>
            <w:vAlign w:val="bottom"/>
          </w:tcPr>
          <w:p>
            <w:pPr>
              <w:spacing w:after="0"/>
              <w:rPr>
                <w:sz w:val="15"/>
                <w:szCs w:val="15"/>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2,989</w:t>
            </w:r>
          </w:p>
        </w:tc>
      </w:tr>
      <w:tr>
        <w:trPr>
          <w:trHeight w:val="215"/>
        </w:trPr>
        <w:tc>
          <w:tcPr>
            <w:tcW w:w="6300" w:type="dxa"/>
            <w:vAlign w:val="bottom"/>
          </w:tcPr>
          <w:p>
            <w:pPr>
              <w:spacing w:after="0"/>
              <w:rPr>
                <w:sz w:val="20"/>
                <w:szCs w:val="20"/>
                <w:color w:val="auto"/>
              </w:rPr>
            </w:pPr>
            <w:r>
              <w:rPr>
                <w:rFonts w:ascii="Arial" w:cs="Arial" w:eastAsia="Arial" w:hAnsi="Arial"/>
                <w:sz w:val="16"/>
                <w:szCs w:val="16"/>
                <w:color w:val="auto"/>
              </w:rPr>
              <w:t>Soles in relation to U.S. Dollar</w:t>
            </w:r>
          </w:p>
        </w:tc>
        <w:tc>
          <w:tcPr>
            <w:tcW w:w="1240" w:type="dxa"/>
            <w:vAlign w:val="bottom"/>
          </w:tcPr>
          <w:p>
            <w:pPr>
              <w:jc w:val="center"/>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20,928</w:t>
            </w:r>
          </w:p>
        </w:tc>
        <w:tc>
          <w:tcPr>
            <w:tcW w:w="10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5,707</w:t>
            </w:r>
          </w:p>
        </w:tc>
      </w:tr>
      <w:tr>
        <w:trPr>
          <w:trHeight w:val="334"/>
        </w:trPr>
        <w:tc>
          <w:tcPr>
            <w:tcW w:w="6300" w:type="dxa"/>
            <w:vAlign w:val="bottom"/>
          </w:tcPr>
          <w:p>
            <w:pPr>
              <w:spacing w:after="0"/>
              <w:rPr>
                <w:sz w:val="20"/>
                <w:szCs w:val="20"/>
                <w:color w:val="auto"/>
              </w:rPr>
            </w:pPr>
            <w:r>
              <w:rPr>
                <w:rFonts w:ascii="Arial" w:cs="Arial" w:eastAsia="Arial" w:hAnsi="Arial"/>
                <w:sz w:val="16"/>
                <w:szCs w:val="16"/>
                <w:color w:val="auto"/>
              </w:rPr>
              <w:t>Appreciation -</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6300" w:type="dxa"/>
            <w:vAlign w:val="bottom"/>
          </w:tcPr>
          <w:p>
            <w:pPr>
              <w:spacing w:after="0"/>
              <w:rPr>
                <w:sz w:val="20"/>
                <w:szCs w:val="20"/>
                <w:color w:val="auto"/>
              </w:rPr>
            </w:pPr>
            <w:r>
              <w:rPr>
                <w:rFonts w:ascii="Arial" w:cs="Arial" w:eastAsia="Arial" w:hAnsi="Arial"/>
                <w:sz w:val="16"/>
                <w:szCs w:val="16"/>
                <w:color w:val="auto"/>
              </w:rPr>
              <w:t>Soles in relation to U.S. Dollar</w:t>
            </w:r>
          </w:p>
        </w:tc>
        <w:tc>
          <w:tcPr>
            <w:tcW w:w="1240" w:type="dxa"/>
            <w:vAlign w:val="bottom"/>
          </w:tcPr>
          <w:p>
            <w:pPr>
              <w:jc w:val="center"/>
              <w:spacing w:after="0"/>
              <w:rPr>
                <w:sz w:val="20"/>
                <w:szCs w:val="20"/>
                <w:color w:val="auto"/>
              </w:rPr>
            </w:pPr>
            <w:r>
              <w:rPr>
                <w:rFonts w:ascii="Arial" w:cs="Arial" w:eastAsia="Arial" w:hAnsi="Arial"/>
                <w:sz w:val="16"/>
                <w:szCs w:val="16"/>
                <w:color w:val="auto"/>
              </w:rPr>
              <w:t>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(12,116)</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(3,304)</w:t>
            </w:r>
          </w:p>
        </w:tc>
      </w:tr>
      <w:tr>
        <w:trPr>
          <w:trHeight w:val="215"/>
        </w:trPr>
        <w:tc>
          <w:tcPr>
            <w:tcW w:w="6300" w:type="dxa"/>
            <w:vAlign w:val="bottom"/>
          </w:tcPr>
          <w:p>
            <w:pPr>
              <w:spacing w:after="0"/>
              <w:rPr>
                <w:sz w:val="20"/>
                <w:szCs w:val="20"/>
                <w:color w:val="auto"/>
              </w:rPr>
            </w:pPr>
            <w:r>
              <w:rPr>
                <w:rFonts w:ascii="Arial" w:cs="Arial" w:eastAsia="Arial" w:hAnsi="Arial"/>
                <w:sz w:val="16"/>
                <w:szCs w:val="16"/>
                <w:color w:val="auto"/>
              </w:rPr>
              <w:t>Soles in relation to U.S. Dollar</w:t>
            </w:r>
          </w:p>
        </w:tc>
        <w:tc>
          <w:tcPr>
            <w:tcW w:w="1240" w:type="dxa"/>
            <w:vAlign w:val="bottom"/>
          </w:tcPr>
          <w:p>
            <w:pPr>
              <w:jc w:val="center"/>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(25,579)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(6,975)</w:t>
            </w:r>
          </w:p>
        </w:tc>
      </w:tr>
    </w:tbl>
    <w:p>
      <w:pPr>
        <w:spacing w:after="0" w:line="151" w:lineRule="exact"/>
        <w:rPr>
          <w:sz w:val="20"/>
          <w:szCs w:val="20"/>
          <w:color w:val="auto"/>
        </w:rPr>
      </w:pPr>
    </w:p>
    <w:p>
      <w:pPr>
        <w:ind w:left="580" w:right="320"/>
        <w:spacing w:after="0" w:line="280" w:lineRule="auto"/>
        <w:rPr>
          <w:sz w:val="20"/>
          <w:szCs w:val="20"/>
          <w:color w:val="auto"/>
        </w:rPr>
      </w:pPr>
      <w:r>
        <w:rPr>
          <w:rFonts w:ascii="Arial" w:cs="Arial" w:eastAsia="Arial" w:hAnsi="Arial"/>
          <w:sz w:val="16"/>
          <w:szCs w:val="16"/>
          <w:color w:val="auto"/>
        </w:rPr>
        <w:t>The following is the sensitivity analysis of the foreign exchange position with effect in other comprehensive income, being the main currencies of exposure: U.S. Dollar, Boliviano, Colombian Peso and Chilean Peso. This analysis is shown as of December 31, 2023 and 2022: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Change in</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41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currency</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0"/>
        </w:trPr>
        <w:tc>
          <w:tcPr>
            <w:tcW w:w="4120" w:type="dxa"/>
            <w:vAlign w:val="bottom"/>
          </w:tcPr>
          <w:p>
            <w:pPr>
              <w:ind w:left="580"/>
              <w:spacing w:after="0"/>
              <w:rPr>
                <w:sz w:val="20"/>
                <w:szCs w:val="20"/>
                <w:color w:val="auto"/>
              </w:rPr>
            </w:pPr>
            <w:r>
              <w:rPr>
                <w:rFonts w:ascii="Arial" w:cs="Arial" w:eastAsia="Arial" w:hAnsi="Arial"/>
                <w:sz w:val="16"/>
                <w:szCs w:val="16"/>
                <w:b w:val="1"/>
                <w:bCs w:val="1"/>
                <w:color w:val="auto"/>
              </w:rPr>
              <w:t>Currency rate sensibility</w:t>
            </w:r>
          </w:p>
        </w:tc>
        <w:tc>
          <w:tcPr>
            <w:tcW w:w="276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rates</w:t>
            </w: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7"/>
                <w:szCs w:val="17"/>
                <w:color w:val="auto"/>
              </w:rPr>
            </w:pPr>
          </w:p>
        </w:tc>
      </w:tr>
      <w:tr>
        <w:trPr>
          <w:trHeight w:val="216"/>
        </w:trPr>
        <w:tc>
          <w:tcPr>
            <w:tcW w:w="4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w:t>
            </w: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560" w:type="dxa"/>
            <w:vAlign w:val="bottom"/>
          </w:tcPr>
          <w:p>
            <w:pPr>
              <w:spacing w:after="0"/>
              <w:rPr>
                <w:sz w:val="18"/>
                <w:szCs w:val="18"/>
                <w:color w:val="auto"/>
              </w:rPr>
            </w:pPr>
          </w:p>
        </w:tc>
      </w:tr>
      <w:tr>
        <w:trPr>
          <w:trHeight w:val="310"/>
        </w:trPr>
        <w:tc>
          <w:tcPr>
            <w:tcW w:w="4120" w:type="dxa"/>
            <w:vAlign w:val="bottom"/>
          </w:tcPr>
          <w:p>
            <w:pPr>
              <w:ind w:left="580"/>
              <w:spacing w:after="0"/>
              <w:rPr>
                <w:sz w:val="20"/>
                <w:szCs w:val="20"/>
                <w:color w:val="auto"/>
              </w:rPr>
            </w:pPr>
            <w:r>
              <w:rPr>
                <w:rFonts w:ascii="Arial" w:cs="Arial" w:eastAsia="Arial" w:hAnsi="Arial"/>
                <w:sz w:val="16"/>
                <w:szCs w:val="16"/>
                <w:color w:val="auto"/>
              </w:rPr>
              <w:t>Depreciation -</w:t>
            </w:r>
          </w:p>
        </w:tc>
        <w:tc>
          <w:tcPr>
            <w:tcW w:w="2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4120" w:type="dxa"/>
            <w:vAlign w:val="bottom"/>
          </w:tcPr>
          <w:p>
            <w:pPr>
              <w:ind w:left="580"/>
              <w:spacing w:after="0"/>
              <w:rPr>
                <w:sz w:val="20"/>
                <w:szCs w:val="20"/>
                <w:color w:val="auto"/>
              </w:rPr>
            </w:pPr>
            <w:r>
              <w:rPr>
                <w:rFonts w:ascii="Arial" w:cs="Arial" w:eastAsia="Arial" w:hAnsi="Arial"/>
                <w:sz w:val="16"/>
                <w:szCs w:val="16"/>
                <w:color w:val="auto"/>
              </w:rPr>
              <w:t>Soles in relation to U.S. Dollar</w:t>
            </w:r>
          </w:p>
        </w:tc>
        <w:tc>
          <w:tcPr>
            <w:tcW w:w="4000" w:type="dxa"/>
            <w:vAlign w:val="bottom"/>
            <w:gridSpan w:val="2"/>
          </w:tcPr>
          <w:p>
            <w:pPr>
              <w:jc w:val="center"/>
              <w:ind w:left="2659"/>
              <w:spacing w:after="0"/>
              <w:rPr>
                <w:sz w:val="20"/>
                <w:szCs w:val="20"/>
                <w:color w:val="auto"/>
              </w:rPr>
            </w:pPr>
            <w:r>
              <w:rPr>
                <w:rFonts w:ascii="Arial" w:cs="Arial" w:eastAsia="Arial" w:hAnsi="Arial"/>
                <w:sz w:val="16"/>
                <w:szCs w:val="16"/>
                <w:color w:val="auto"/>
              </w:rPr>
              <w:t>5</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43,377</w:t>
            </w:r>
          </w:p>
        </w:tc>
        <w:tc>
          <w:tcPr>
            <w:tcW w:w="100" w:type="dxa"/>
            <w:vAlign w:val="bottom"/>
          </w:tcPr>
          <w:p>
            <w:pPr>
              <w:spacing w:after="0"/>
              <w:rPr>
                <w:sz w:val="15"/>
                <w:szCs w:val="15"/>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37,382</w:t>
            </w:r>
          </w:p>
        </w:tc>
        <w:tc>
          <w:tcPr>
            <w:tcW w:w="560" w:type="dxa"/>
            <w:vAlign w:val="bottom"/>
          </w:tcPr>
          <w:p>
            <w:pPr>
              <w:spacing w:after="0"/>
              <w:rPr>
                <w:sz w:val="15"/>
                <w:szCs w:val="15"/>
                <w:color w:val="auto"/>
              </w:rPr>
            </w:pPr>
          </w:p>
        </w:tc>
      </w:tr>
      <w:tr>
        <w:trPr>
          <w:trHeight w:val="215"/>
        </w:trPr>
        <w:tc>
          <w:tcPr>
            <w:tcW w:w="4120" w:type="dxa"/>
            <w:vAlign w:val="bottom"/>
          </w:tcPr>
          <w:p>
            <w:pPr>
              <w:ind w:left="580"/>
              <w:spacing w:after="0"/>
              <w:rPr>
                <w:sz w:val="20"/>
                <w:szCs w:val="20"/>
                <w:color w:val="auto"/>
              </w:rPr>
            </w:pPr>
            <w:r>
              <w:rPr>
                <w:rFonts w:ascii="Arial" w:cs="Arial" w:eastAsia="Arial" w:hAnsi="Arial"/>
                <w:sz w:val="16"/>
                <w:szCs w:val="16"/>
                <w:color w:val="auto"/>
              </w:rPr>
              <w:t>Soles in relation to U.S. Dollar</w:t>
            </w:r>
          </w:p>
        </w:tc>
        <w:tc>
          <w:tcPr>
            <w:tcW w:w="4000" w:type="dxa"/>
            <w:vAlign w:val="bottom"/>
            <w:gridSpan w:val="2"/>
          </w:tcPr>
          <w:p>
            <w:pPr>
              <w:jc w:val="center"/>
              <w:ind w:left="2659"/>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82,812</w:t>
            </w:r>
          </w:p>
        </w:tc>
        <w:tc>
          <w:tcPr>
            <w:tcW w:w="10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71,366</w:t>
            </w:r>
          </w:p>
        </w:tc>
        <w:tc>
          <w:tcPr>
            <w:tcW w:w="560" w:type="dxa"/>
            <w:vAlign w:val="bottom"/>
          </w:tcPr>
          <w:p>
            <w:pPr>
              <w:spacing w:after="0"/>
              <w:rPr>
                <w:sz w:val="18"/>
                <w:szCs w:val="18"/>
                <w:color w:val="auto"/>
              </w:rPr>
            </w:pPr>
          </w:p>
        </w:tc>
      </w:tr>
      <w:tr>
        <w:trPr>
          <w:trHeight w:val="334"/>
        </w:trPr>
        <w:tc>
          <w:tcPr>
            <w:tcW w:w="4120" w:type="dxa"/>
            <w:vAlign w:val="bottom"/>
          </w:tcPr>
          <w:p>
            <w:pPr>
              <w:ind w:left="580"/>
              <w:spacing w:after="0"/>
              <w:rPr>
                <w:sz w:val="20"/>
                <w:szCs w:val="20"/>
                <w:color w:val="auto"/>
              </w:rPr>
            </w:pPr>
            <w:r>
              <w:rPr>
                <w:rFonts w:ascii="Arial" w:cs="Arial" w:eastAsia="Arial" w:hAnsi="Arial"/>
                <w:sz w:val="16"/>
                <w:szCs w:val="16"/>
                <w:color w:val="auto"/>
              </w:rPr>
              <w:t>Appreciation -</w:t>
            </w:r>
          </w:p>
        </w:tc>
        <w:tc>
          <w:tcPr>
            <w:tcW w:w="2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4120" w:type="dxa"/>
            <w:vAlign w:val="bottom"/>
          </w:tcPr>
          <w:p>
            <w:pPr>
              <w:ind w:left="580"/>
              <w:spacing w:after="0"/>
              <w:rPr>
                <w:sz w:val="20"/>
                <w:szCs w:val="20"/>
                <w:color w:val="auto"/>
              </w:rPr>
            </w:pPr>
            <w:r>
              <w:rPr>
                <w:rFonts w:ascii="Arial" w:cs="Arial" w:eastAsia="Arial" w:hAnsi="Arial"/>
                <w:sz w:val="16"/>
                <w:szCs w:val="16"/>
                <w:color w:val="auto"/>
              </w:rPr>
              <w:t>Soles in relation to U.S. Dollar</w:t>
            </w:r>
          </w:p>
        </w:tc>
        <w:tc>
          <w:tcPr>
            <w:tcW w:w="4000" w:type="dxa"/>
            <w:vAlign w:val="bottom"/>
            <w:gridSpan w:val="2"/>
          </w:tcPr>
          <w:p>
            <w:pPr>
              <w:jc w:val="center"/>
              <w:ind w:left="2659"/>
              <w:spacing w:after="0"/>
              <w:rPr>
                <w:sz w:val="20"/>
                <w:szCs w:val="20"/>
                <w:color w:val="auto"/>
              </w:rPr>
            </w:pPr>
            <w:r>
              <w:rPr>
                <w:rFonts w:ascii="Arial" w:cs="Arial" w:eastAsia="Arial" w:hAnsi="Arial"/>
                <w:sz w:val="16"/>
                <w:szCs w:val="16"/>
                <w:color w:val="auto"/>
              </w:rPr>
              <w:t>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(47,944)</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(41,317)</w:t>
            </w:r>
          </w:p>
        </w:tc>
        <w:tc>
          <w:tcPr>
            <w:tcW w:w="560" w:type="dxa"/>
            <w:vAlign w:val="bottom"/>
          </w:tcPr>
          <w:p>
            <w:pPr>
              <w:spacing w:after="0"/>
              <w:rPr>
                <w:sz w:val="15"/>
                <w:szCs w:val="15"/>
                <w:color w:val="auto"/>
              </w:rPr>
            </w:pPr>
          </w:p>
        </w:tc>
      </w:tr>
      <w:tr>
        <w:trPr>
          <w:trHeight w:val="215"/>
        </w:trPr>
        <w:tc>
          <w:tcPr>
            <w:tcW w:w="4120" w:type="dxa"/>
            <w:vAlign w:val="bottom"/>
          </w:tcPr>
          <w:p>
            <w:pPr>
              <w:ind w:left="580"/>
              <w:spacing w:after="0"/>
              <w:rPr>
                <w:sz w:val="20"/>
                <w:szCs w:val="20"/>
                <w:color w:val="auto"/>
              </w:rPr>
            </w:pPr>
            <w:r>
              <w:rPr>
                <w:rFonts w:ascii="Arial" w:cs="Arial" w:eastAsia="Arial" w:hAnsi="Arial"/>
                <w:sz w:val="16"/>
                <w:szCs w:val="16"/>
                <w:color w:val="auto"/>
              </w:rPr>
              <w:t>Soles in relation to U.S. Dollar</w:t>
            </w:r>
          </w:p>
        </w:tc>
        <w:tc>
          <w:tcPr>
            <w:tcW w:w="4000" w:type="dxa"/>
            <w:vAlign w:val="bottom"/>
            <w:gridSpan w:val="2"/>
          </w:tcPr>
          <w:p>
            <w:pPr>
              <w:jc w:val="center"/>
              <w:ind w:left="2659"/>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(101,214)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(87,226)</w:t>
            </w:r>
          </w:p>
        </w:tc>
        <w:tc>
          <w:tcPr>
            <w:tcW w:w="560" w:type="dxa"/>
            <w:vAlign w:val="bottom"/>
          </w:tcPr>
          <w:p>
            <w:pPr>
              <w:spacing w:after="0"/>
              <w:rPr>
                <w:sz w:val="18"/>
                <w:szCs w:val="18"/>
                <w:color w:val="auto"/>
              </w:rPr>
            </w:pPr>
          </w:p>
        </w:tc>
      </w:tr>
      <w:tr>
        <w:trPr>
          <w:trHeight w:val="525"/>
        </w:trPr>
        <w:tc>
          <w:tcPr>
            <w:tcW w:w="4120" w:type="dxa"/>
            <w:vAlign w:val="bottom"/>
          </w:tcPr>
          <w:p>
            <w:pPr>
              <w:spacing w:after="0"/>
              <w:rPr>
                <w:sz w:val="24"/>
                <w:szCs w:val="24"/>
                <w:color w:val="auto"/>
              </w:rPr>
            </w:pPr>
          </w:p>
        </w:tc>
        <w:tc>
          <w:tcPr>
            <w:tcW w:w="2760" w:type="dxa"/>
            <w:vAlign w:val="bottom"/>
          </w:tcPr>
          <w:p>
            <w:pPr>
              <w:jc w:val="right"/>
              <w:ind w:right="1059"/>
              <w:spacing w:after="0"/>
              <w:rPr>
                <w:sz w:val="20"/>
                <w:szCs w:val="20"/>
                <w:color w:val="auto"/>
              </w:rPr>
            </w:pPr>
            <w:r>
              <w:rPr>
                <w:rFonts w:ascii="Arial" w:cs="Arial" w:eastAsia="Arial" w:hAnsi="Arial"/>
                <w:sz w:val="16"/>
                <w:szCs w:val="16"/>
                <w:color w:val="auto"/>
              </w:rPr>
              <w:t>170</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8"/>
        </w:trPr>
        <w:tc>
          <w:tcPr>
            <w:tcW w:w="412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6" w:right="31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Change in</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43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currency</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0"/>
        </w:trPr>
        <w:tc>
          <w:tcPr>
            <w:tcW w:w="4360" w:type="dxa"/>
            <w:vAlign w:val="bottom"/>
          </w:tcPr>
          <w:p>
            <w:pPr>
              <w:ind w:left="580"/>
              <w:spacing w:after="0"/>
              <w:rPr>
                <w:sz w:val="20"/>
                <w:szCs w:val="20"/>
                <w:color w:val="auto"/>
              </w:rPr>
            </w:pPr>
            <w:r>
              <w:rPr>
                <w:rFonts w:ascii="Arial" w:cs="Arial" w:eastAsia="Arial" w:hAnsi="Arial"/>
                <w:sz w:val="16"/>
                <w:szCs w:val="16"/>
                <w:b w:val="1"/>
                <w:bCs w:val="1"/>
                <w:color w:val="auto"/>
              </w:rPr>
              <w:t>Currency rate sensibility</w:t>
            </w:r>
          </w:p>
        </w:tc>
        <w:tc>
          <w:tcPr>
            <w:tcW w:w="252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rates</w:t>
            </w: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7"/>
                <w:szCs w:val="17"/>
                <w:color w:val="auto"/>
              </w:rPr>
            </w:pPr>
          </w:p>
        </w:tc>
      </w:tr>
      <w:tr>
        <w:trPr>
          <w:trHeight w:val="216"/>
        </w:trPr>
        <w:tc>
          <w:tcPr>
            <w:tcW w:w="4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w:t>
            </w: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560" w:type="dxa"/>
            <w:vAlign w:val="bottom"/>
          </w:tcPr>
          <w:p>
            <w:pPr>
              <w:spacing w:after="0"/>
              <w:rPr>
                <w:sz w:val="18"/>
                <w:szCs w:val="18"/>
                <w:color w:val="auto"/>
              </w:rPr>
            </w:pPr>
          </w:p>
        </w:tc>
      </w:tr>
      <w:tr>
        <w:trPr>
          <w:trHeight w:val="310"/>
        </w:trPr>
        <w:tc>
          <w:tcPr>
            <w:tcW w:w="4360" w:type="dxa"/>
            <w:vAlign w:val="bottom"/>
          </w:tcPr>
          <w:p>
            <w:pPr>
              <w:ind w:left="580"/>
              <w:spacing w:after="0"/>
              <w:rPr>
                <w:sz w:val="20"/>
                <w:szCs w:val="20"/>
                <w:color w:val="auto"/>
              </w:rPr>
            </w:pPr>
            <w:r>
              <w:rPr>
                <w:rFonts w:ascii="Arial" w:cs="Arial" w:eastAsia="Arial" w:hAnsi="Arial"/>
                <w:sz w:val="16"/>
                <w:szCs w:val="16"/>
                <w:color w:val="auto"/>
              </w:rPr>
              <w:t>Depreciation -</w:t>
            </w:r>
          </w:p>
        </w:tc>
        <w:tc>
          <w:tcPr>
            <w:tcW w:w="2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4360" w:type="dxa"/>
            <w:vAlign w:val="bottom"/>
          </w:tcPr>
          <w:p>
            <w:pPr>
              <w:ind w:left="580"/>
              <w:spacing w:after="0"/>
              <w:rPr>
                <w:sz w:val="20"/>
                <w:szCs w:val="20"/>
                <w:color w:val="auto"/>
              </w:rPr>
            </w:pPr>
            <w:r>
              <w:rPr>
                <w:rFonts w:ascii="Arial" w:cs="Arial" w:eastAsia="Arial" w:hAnsi="Arial"/>
                <w:sz w:val="16"/>
                <w:szCs w:val="16"/>
                <w:color w:val="auto"/>
              </w:rPr>
              <w:t>Soles in relation to Peso Boliviano</w:t>
            </w:r>
          </w:p>
        </w:tc>
        <w:tc>
          <w:tcPr>
            <w:tcW w:w="3760" w:type="dxa"/>
            <w:vAlign w:val="bottom"/>
            <w:gridSpan w:val="2"/>
          </w:tcPr>
          <w:p>
            <w:pPr>
              <w:jc w:val="center"/>
              <w:ind w:left="2419"/>
              <w:spacing w:after="0"/>
              <w:rPr>
                <w:sz w:val="20"/>
                <w:szCs w:val="20"/>
                <w:color w:val="auto"/>
              </w:rPr>
            </w:pPr>
            <w:r>
              <w:rPr>
                <w:rFonts w:ascii="Arial" w:cs="Arial" w:eastAsia="Arial" w:hAnsi="Arial"/>
                <w:sz w:val="16"/>
                <w:szCs w:val="16"/>
                <w:color w:val="auto"/>
              </w:rPr>
              <w:t>5</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40,969</w:t>
            </w:r>
          </w:p>
        </w:tc>
        <w:tc>
          <w:tcPr>
            <w:tcW w:w="100" w:type="dxa"/>
            <w:vAlign w:val="bottom"/>
          </w:tcPr>
          <w:p>
            <w:pPr>
              <w:spacing w:after="0"/>
              <w:rPr>
                <w:sz w:val="15"/>
                <w:szCs w:val="15"/>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45,462</w:t>
            </w:r>
          </w:p>
        </w:tc>
        <w:tc>
          <w:tcPr>
            <w:tcW w:w="560" w:type="dxa"/>
            <w:vAlign w:val="bottom"/>
          </w:tcPr>
          <w:p>
            <w:pPr>
              <w:spacing w:after="0"/>
              <w:rPr>
                <w:sz w:val="15"/>
                <w:szCs w:val="15"/>
                <w:color w:val="auto"/>
              </w:rPr>
            </w:pPr>
          </w:p>
        </w:tc>
      </w:tr>
      <w:tr>
        <w:trPr>
          <w:trHeight w:val="215"/>
        </w:trPr>
        <w:tc>
          <w:tcPr>
            <w:tcW w:w="4360" w:type="dxa"/>
            <w:vAlign w:val="bottom"/>
          </w:tcPr>
          <w:p>
            <w:pPr>
              <w:ind w:left="580"/>
              <w:spacing w:after="0"/>
              <w:rPr>
                <w:sz w:val="20"/>
                <w:szCs w:val="20"/>
                <w:color w:val="auto"/>
              </w:rPr>
            </w:pPr>
            <w:r>
              <w:rPr>
                <w:rFonts w:ascii="Arial" w:cs="Arial" w:eastAsia="Arial" w:hAnsi="Arial"/>
                <w:sz w:val="16"/>
                <w:szCs w:val="16"/>
                <w:color w:val="auto"/>
              </w:rPr>
              <w:t>Soles in relation to Peso Boliviano</w:t>
            </w:r>
          </w:p>
        </w:tc>
        <w:tc>
          <w:tcPr>
            <w:tcW w:w="3760" w:type="dxa"/>
            <w:vAlign w:val="bottom"/>
            <w:gridSpan w:val="2"/>
          </w:tcPr>
          <w:p>
            <w:pPr>
              <w:jc w:val="center"/>
              <w:ind w:left="2419"/>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78,214</w:t>
            </w:r>
          </w:p>
        </w:tc>
        <w:tc>
          <w:tcPr>
            <w:tcW w:w="10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86,791</w:t>
            </w:r>
          </w:p>
        </w:tc>
        <w:tc>
          <w:tcPr>
            <w:tcW w:w="560" w:type="dxa"/>
            <w:vAlign w:val="bottom"/>
          </w:tcPr>
          <w:p>
            <w:pPr>
              <w:spacing w:after="0"/>
              <w:rPr>
                <w:sz w:val="18"/>
                <w:szCs w:val="18"/>
                <w:color w:val="auto"/>
              </w:rPr>
            </w:pPr>
          </w:p>
        </w:tc>
      </w:tr>
      <w:tr>
        <w:trPr>
          <w:trHeight w:val="334"/>
        </w:trPr>
        <w:tc>
          <w:tcPr>
            <w:tcW w:w="4360" w:type="dxa"/>
            <w:vAlign w:val="bottom"/>
          </w:tcPr>
          <w:p>
            <w:pPr>
              <w:ind w:left="580"/>
              <w:spacing w:after="0"/>
              <w:rPr>
                <w:sz w:val="20"/>
                <w:szCs w:val="20"/>
                <w:color w:val="auto"/>
              </w:rPr>
            </w:pPr>
            <w:r>
              <w:rPr>
                <w:rFonts w:ascii="Arial" w:cs="Arial" w:eastAsia="Arial" w:hAnsi="Arial"/>
                <w:sz w:val="16"/>
                <w:szCs w:val="16"/>
                <w:color w:val="auto"/>
              </w:rPr>
              <w:t>Appreciation -</w:t>
            </w:r>
          </w:p>
        </w:tc>
        <w:tc>
          <w:tcPr>
            <w:tcW w:w="2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4360" w:type="dxa"/>
            <w:vAlign w:val="bottom"/>
          </w:tcPr>
          <w:p>
            <w:pPr>
              <w:ind w:left="580"/>
              <w:spacing w:after="0"/>
              <w:rPr>
                <w:sz w:val="20"/>
                <w:szCs w:val="20"/>
                <w:color w:val="auto"/>
              </w:rPr>
            </w:pPr>
            <w:r>
              <w:rPr>
                <w:rFonts w:ascii="Arial" w:cs="Arial" w:eastAsia="Arial" w:hAnsi="Arial"/>
                <w:sz w:val="16"/>
                <w:szCs w:val="16"/>
                <w:color w:val="auto"/>
              </w:rPr>
              <w:t>Soles in relation to Peso Boliviano</w:t>
            </w:r>
          </w:p>
        </w:tc>
        <w:tc>
          <w:tcPr>
            <w:tcW w:w="3760" w:type="dxa"/>
            <w:vAlign w:val="bottom"/>
            <w:gridSpan w:val="2"/>
          </w:tcPr>
          <w:p>
            <w:pPr>
              <w:jc w:val="center"/>
              <w:ind w:left="2419"/>
              <w:spacing w:after="0"/>
              <w:rPr>
                <w:sz w:val="20"/>
                <w:szCs w:val="20"/>
                <w:color w:val="auto"/>
              </w:rPr>
            </w:pPr>
            <w:r>
              <w:rPr>
                <w:rFonts w:ascii="Arial" w:cs="Arial" w:eastAsia="Arial" w:hAnsi="Arial"/>
                <w:sz w:val="16"/>
                <w:szCs w:val="16"/>
                <w:color w:val="auto"/>
              </w:rPr>
              <w:t>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(45,282)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(50,247)</w:t>
            </w:r>
          </w:p>
        </w:tc>
        <w:tc>
          <w:tcPr>
            <w:tcW w:w="560" w:type="dxa"/>
            <w:vAlign w:val="bottom"/>
          </w:tcPr>
          <w:p>
            <w:pPr>
              <w:spacing w:after="0"/>
              <w:rPr>
                <w:sz w:val="15"/>
                <w:szCs w:val="15"/>
                <w:color w:val="auto"/>
              </w:rPr>
            </w:pPr>
          </w:p>
        </w:tc>
      </w:tr>
      <w:tr>
        <w:trPr>
          <w:trHeight w:val="215"/>
        </w:trPr>
        <w:tc>
          <w:tcPr>
            <w:tcW w:w="4360" w:type="dxa"/>
            <w:vAlign w:val="bottom"/>
          </w:tcPr>
          <w:p>
            <w:pPr>
              <w:ind w:left="580"/>
              <w:spacing w:after="0"/>
              <w:rPr>
                <w:sz w:val="20"/>
                <w:szCs w:val="20"/>
                <w:color w:val="auto"/>
              </w:rPr>
            </w:pPr>
            <w:r>
              <w:rPr>
                <w:rFonts w:ascii="Arial" w:cs="Arial" w:eastAsia="Arial" w:hAnsi="Arial"/>
                <w:sz w:val="16"/>
                <w:szCs w:val="16"/>
                <w:color w:val="auto"/>
              </w:rPr>
              <w:t>Soles in relation to Peso Boliviano</w:t>
            </w:r>
          </w:p>
        </w:tc>
        <w:tc>
          <w:tcPr>
            <w:tcW w:w="3760" w:type="dxa"/>
            <w:vAlign w:val="bottom"/>
            <w:gridSpan w:val="2"/>
          </w:tcPr>
          <w:p>
            <w:pPr>
              <w:jc w:val="center"/>
              <w:ind w:left="2419"/>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(95,595)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(106,078)</w:t>
            </w:r>
          </w:p>
        </w:tc>
        <w:tc>
          <w:tcPr>
            <w:tcW w:w="560" w:type="dxa"/>
            <w:vAlign w:val="bottom"/>
          </w:tcPr>
          <w:p>
            <w:pPr>
              <w:spacing w:after="0"/>
              <w:rPr>
                <w:sz w:val="18"/>
                <w:szCs w:val="18"/>
                <w:color w:val="auto"/>
              </w:rPr>
            </w:pPr>
          </w:p>
        </w:tc>
      </w:tr>
      <w:tr>
        <w:trPr>
          <w:trHeight w:val="334"/>
        </w:trPr>
        <w:tc>
          <w:tcPr>
            <w:tcW w:w="4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Change in</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43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currency</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0"/>
        </w:trPr>
        <w:tc>
          <w:tcPr>
            <w:tcW w:w="4360" w:type="dxa"/>
            <w:vAlign w:val="bottom"/>
          </w:tcPr>
          <w:p>
            <w:pPr>
              <w:ind w:left="580"/>
              <w:spacing w:after="0"/>
              <w:rPr>
                <w:sz w:val="20"/>
                <w:szCs w:val="20"/>
                <w:color w:val="auto"/>
              </w:rPr>
            </w:pPr>
            <w:r>
              <w:rPr>
                <w:rFonts w:ascii="Arial" w:cs="Arial" w:eastAsia="Arial" w:hAnsi="Arial"/>
                <w:sz w:val="16"/>
                <w:szCs w:val="16"/>
                <w:b w:val="1"/>
                <w:bCs w:val="1"/>
                <w:color w:val="auto"/>
              </w:rPr>
              <w:t>Currency rate sensibility</w:t>
            </w:r>
          </w:p>
        </w:tc>
        <w:tc>
          <w:tcPr>
            <w:tcW w:w="252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rates</w:t>
            </w: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7"/>
                <w:szCs w:val="17"/>
                <w:color w:val="auto"/>
              </w:rPr>
            </w:pPr>
          </w:p>
        </w:tc>
      </w:tr>
      <w:tr>
        <w:trPr>
          <w:trHeight w:val="216"/>
        </w:trPr>
        <w:tc>
          <w:tcPr>
            <w:tcW w:w="4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w:t>
            </w: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560" w:type="dxa"/>
            <w:vAlign w:val="bottom"/>
          </w:tcPr>
          <w:p>
            <w:pPr>
              <w:spacing w:after="0"/>
              <w:rPr>
                <w:sz w:val="18"/>
                <w:szCs w:val="18"/>
                <w:color w:val="auto"/>
              </w:rPr>
            </w:pPr>
          </w:p>
        </w:tc>
      </w:tr>
      <w:tr>
        <w:trPr>
          <w:trHeight w:val="310"/>
        </w:trPr>
        <w:tc>
          <w:tcPr>
            <w:tcW w:w="4360" w:type="dxa"/>
            <w:vAlign w:val="bottom"/>
          </w:tcPr>
          <w:p>
            <w:pPr>
              <w:ind w:left="580"/>
              <w:spacing w:after="0"/>
              <w:rPr>
                <w:sz w:val="20"/>
                <w:szCs w:val="20"/>
                <w:color w:val="auto"/>
              </w:rPr>
            </w:pPr>
            <w:r>
              <w:rPr>
                <w:rFonts w:ascii="Arial" w:cs="Arial" w:eastAsia="Arial" w:hAnsi="Arial"/>
                <w:sz w:val="16"/>
                <w:szCs w:val="16"/>
                <w:color w:val="auto"/>
              </w:rPr>
              <w:t>Depreciation -</w:t>
            </w:r>
          </w:p>
        </w:tc>
        <w:tc>
          <w:tcPr>
            <w:tcW w:w="2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4360" w:type="dxa"/>
            <w:vAlign w:val="bottom"/>
          </w:tcPr>
          <w:p>
            <w:pPr>
              <w:ind w:left="580"/>
              <w:spacing w:after="0"/>
              <w:rPr>
                <w:sz w:val="20"/>
                <w:szCs w:val="20"/>
                <w:color w:val="auto"/>
              </w:rPr>
            </w:pPr>
            <w:r>
              <w:rPr>
                <w:rFonts w:ascii="Arial" w:cs="Arial" w:eastAsia="Arial" w:hAnsi="Arial"/>
                <w:sz w:val="16"/>
                <w:szCs w:val="16"/>
                <w:color w:val="auto"/>
              </w:rPr>
              <w:t>Soles in relation to Peso Colombiano</w:t>
            </w:r>
          </w:p>
        </w:tc>
        <w:tc>
          <w:tcPr>
            <w:tcW w:w="3760" w:type="dxa"/>
            <w:vAlign w:val="bottom"/>
            <w:gridSpan w:val="2"/>
          </w:tcPr>
          <w:p>
            <w:pPr>
              <w:jc w:val="center"/>
              <w:ind w:left="2419"/>
              <w:spacing w:after="0"/>
              <w:rPr>
                <w:sz w:val="20"/>
                <w:szCs w:val="20"/>
                <w:color w:val="auto"/>
              </w:rPr>
            </w:pPr>
            <w:r>
              <w:rPr>
                <w:rFonts w:ascii="Arial" w:cs="Arial" w:eastAsia="Arial" w:hAnsi="Arial"/>
                <w:sz w:val="16"/>
                <w:szCs w:val="16"/>
                <w:color w:val="auto"/>
              </w:rPr>
              <w:t>5</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45,804</w:t>
            </w:r>
          </w:p>
        </w:tc>
        <w:tc>
          <w:tcPr>
            <w:tcW w:w="100" w:type="dxa"/>
            <w:vAlign w:val="bottom"/>
          </w:tcPr>
          <w:p>
            <w:pPr>
              <w:spacing w:after="0"/>
              <w:rPr>
                <w:sz w:val="15"/>
                <w:szCs w:val="15"/>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26,984</w:t>
            </w:r>
          </w:p>
        </w:tc>
        <w:tc>
          <w:tcPr>
            <w:tcW w:w="560" w:type="dxa"/>
            <w:vAlign w:val="bottom"/>
          </w:tcPr>
          <w:p>
            <w:pPr>
              <w:spacing w:after="0"/>
              <w:rPr>
                <w:sz w:val="15"/>
                <w:szCs w:val="15"/>
                <w:color w:val="auto"/>
              </w:rPr>
            </w:pPr>
          </w:p>
        </w:tc>
      </w:tr>
      <w:tr>
        <w:trPr>
          <w:trHeight w:val="215"/>
        </w:trPr>
        <w:tc>
          <w:tcPr>
            <w:tcW w:w="4360" w:type="dxa"/>
            <w:vAlign w:val="bottom"/>
          </w:tcPr>
          <w:p>
            <w:pPr>
              <w:ind w:left="580"/>
              <w:spacing w:after="0"/>
              <w:rPr>
                <w:sz w:val="20"/>
                <w:szCs w:val="20"/>
                <w:color w:val="auto"/>
              </w:rPr>
            </w:pPr>
            <w:r>
              <w:rPr>
                <w:rFonts w:ascii="Arial" w:cs="Arial" w:eastAsia="Arial" w:hAnsi="Arial"/>
                <w:sz w:val="16"/>
                <w:szCs w:val="16"/>
                <w:color w:val="auto"/>
              </w:rPr>
              <w:t>Soles in relation to Peso Colombiano</w:t>
            </w:r>
          </w:p>
        </w:tc>
        <w:tc>
          <w:tcPr>
            <w:tcW w:w="3760" w:type="dxa"/>
            <w:vAlign w:val="bottom"/>
            <w:gridSpan w:val="2"/>
          </w:tcPr>
          <w:p>
            <w:pPr>
              <w:jc w:val="center"/>
              <w:ind w:left="2419"/>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87,444</w:t>
            </w:r>
          </w:p>
        </w:tc>
        <w:tc>
          <w:tcPr>
            <w:tcW w:w="10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51,515</w:t>
            </w:r>
          </w:p>
        </w:tc>
        <w:tc>
          <w:tcPr>
            <w:tcW w:w="560" w:type="dxa"/>
            <w:vAlign w:val="bottom"/>
          </w:tcPr>
          <w:p>
            <w:pPr>
              <w:spacing w:after="0"/>
              <w:rPr>
                <w:sz w:val="18"/>
                <w:szCs w:val="18"/>
                <w:color w:val="auto"/>
              </w:rPr>
            </w:pPr>
          </w:p>
        </w:tc>
      </w:tr>
      <w:tr>
        <w:trPr>
          <w:trHeight w:val="334"/>
        </w:trPr>
        <w:tc>
          <w:tcPr>
            <w:tcW w:w="4360" w:type="dxa"/>
            <w:vAlign w:val="bottom"/>
          </w:tcPr>
          <w:p>
            <w:pPr>
              <w:ind w:left="580"/>
              <w:spacing w:after="0"/>
              <w:rPr>
                <w:sz w:val="20"/>
                <w:szCs w:val="20"/>
                <w:color w:val="auto"/>
              </w:rPr>
            </w:pPr>
            <w:r>
              <w:rPr>
                <w:rFonts w:ascii="Arial" w:cs="Arial" w:eastAsia="Arial" w:hAnsi="Arial"/>
                <w:sz w:val="16"/>
                <w:szCs w:val="16"/>
                <w:color w:val="auto"/>
              </w:rPr>
              <w:t>Appreciation -</w:t>
            </w:r>
          </w:p>
        </w:tc>
        <w:tc>
          <w:tcPr>
            <w:tcW w:w="2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4360" w:type="dxa"/>
            <w:vAlign w:val="bottom"/>
          </w:tcPr>
          <w:p>
            <w:pPr>
              <w:ind w:left="580"/>
              <w:spacing w:after="0"/>
              <w:rPr>
                <w:sz w:val="20"/>
                <w:szCs w:val="20"/>
                <w:color w:val="auto"/>
              </w:rPr>
            </w:pPr>
            <w:r>
              <w:rPr>
                <w:rFonts w:ascii="Arial" w:cs="Arial" w:eastAsia="Arial" w:hAnsi="Arial"/>
                <w:sz w:val="16"/>
                <w:szCs w:val="16"/>
                <w:color w:val="auto"/>
              </w:rPr>
              <w:t>Soles in relation to Peso Colombiano</w:t>
            </w:r>
          </w:p>
        </w:tc>
        <w:tc>
          <w:tcPr>
            <w:tcW w:w="3760" w:type="dxa"/>
            <w:vAlign w:val="bottom"/>
            <w:gridSpan w:val="2"/>
          </w:tcPr>
          <w:p>
            <w:pPr>
              <w:jc w:val="center"/>
              <w:ind w:left="2419"/>
              <w:spacing w:after="0"/>
              <w:rPr>
                <w:sz w:val="20"/>
                <w:szCs w:val="20"/>
                <w:color w:val="auto"/>
              </w:rPr>
            </w:pPr>
            <w:r>
              <w:rPr>
                <w:rFonts w:ascii="Arial" w:cs="Arial" w:eastAsia="Arial" w:hAnsi="Arial"/>
                <w:sz w:val="16"/>
                <w:szCs w:val="16"/>
                <w:color w:val="auto"/>
              </w:rPr>
              <w:t>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(50,626)</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(29,825)</w:t>
            </w:r>
          </w:p>
        </w:tc>
        <w:tc>
          <w:tcPr>
            <w:tcW w:w="560" w:type="dxa"/>
            <w:vAlign w:val="bottom"/>
          </w:tcPr>
          <w:p>
            <w:pPr>
              <w:spacing w:after="0"/>
              <w:rPr>
                <w:sz w:val="15"/>
                <w:szCs w:val="15"/>
                <w:color w:val="auto"/>
              </w:rPr>
            </w:pPr>
          </w:p>
        </w:tc>
      </w:tr>
      <w:tr>
        <w:trPr>
          <w:trHeight w:val="215"/>
        </w:trPr>
        <w:tc>
          <w:tcPr>
            <w:tcW w:w="4360" w:type="dxa"/>
            <w:vAlign w:val="bottom"/>
          </w:tcPr>
          <w:p>
            <w:pPr>
              <w:ind w:left="580"/>
              <w:spacing w:after="0"/>
              <w:rPr>
                <w:sz w:val="20"/>
                <w:szCs w:val="20"/>
                <w:color w:val="auto"/>
              </w:rPr>
            </w:pPr>
            <w:r>
              <w:rPr>
                <w:rFonts w:ascii="Arial" w:cs="Arial" w:eastAsia="Arial" w:hAnsi="Arial"/>
                <w:sz w:val="16"/>
                <w:szCs w:val="16"/>
                <w:color w:val="auto"/>
              </w:rPr>
              <w:t>Soles in relation to Peso Colombiano</w:t>
            </w:r>
          </w:p>
        </w:tc>
        <w:tc>
          <w:tcPr>
            <w:tcW w:w="3760" w:type="dxa"/>
            <w:vAlign w:val="bottom"/>
            <w:gridSpan w:val="2"/>
          </w:tcPr>
          <w:p>
            <w:pPr>
              <w:jc w:val="center"/>
              <w:ind w:left="2419"/>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(106,876)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(62,963)</w:t>
            </w:r>
          </w:p>
        </w:tc>
        <w:tc>
          <w:tcPr>
            <w:tcW w:w="560" w:type="dxa"/>
            <w:vAlign w:val="bottom"/>
          </w:tcPr>
          <w:p>
            <w:pPr>
              <w:spacing w:after="0"/>
              <w:rPr>
                <w:sz w:val="18"/>
                <w:szCs w:val="18"/>
                <w:color w:val="auto"/>
              </w:rPr>
            </w:pPr>
          </w:p>
        </w:tc>
      </w:tr>
      <w:tr>
        <w:trPr>
          <w:trHeight w:val="334"/>
        </w:trPr>
        <w:tc>
          <w:tcPr>
            <w:tcW w:w="4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Change in</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43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currency</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0"/>
        </w:trPr>
        <w:tc>
          <w:tcPr>
            <w:tcW w:w="4360" w:type="dxa"/>
            <w:vAlign w:val="bottom"/>
          </w:tcPr>
          <w:p>
            <w:pPr>
              <w:ind w:left="580"/>
              <w:spacing w:after="0"/>
              <w:rPr>
                <w:sz w:val="20"/>
                <w:szCs w:val="20"/>
                <w:color w:val="auto"/>
              </w:rPr>
            </w:pPr>
            <w:r>
              <w:rPr>
                <w:rFonts w:ascii="Arial" w:cs="Arial" w:eastAsia="Arial" w:hAnsi="Arial"/>
                <w:sz w:val="16"/>
                <w:szCs w:val="16"/>
                <w:b w:val="1"/>
                <w:bCs w:val="1"/>
                <w:color w:val="auto"/>
              </w:rPr>
              <w:t>Currency rate sensibility</w:t>
            </w:r>
          </w:p>
        </w:tc>
        <w:tc>
          <w:tcPr>
            <w:tcW w:w="252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rates</w:t>
            </w: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7"/>
                <w:szCs w:val="17"/>
                <w:color w:val="auto"/>
              </w:rPr>
            </w:pPr>
          </w:p>
        </w:tc>
      </w:tr>
      <w:tr>
        <w:trPr>
          <w:trHeight w:val="216"/>
        </w:trPr>
        <w:tc>
          <w:tcPr>
            <w:tcW w:w="4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w:t>
            </w: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560" w:type="dxa"/>
            <w:vAlign w:val="bottom"/>
          </w:tcPr>
          <w:p>
            <w:pPr>
              <w:spacing w:after="0"/>
              <w:rPr>
                <w:sz w:val="18"/>
                <w:szCs w:val="18"/>
                <w:color w:val="auto"/>
              </w:rPr>
            </w:pPr>
          </w:p>
        </w:tc>
      </w:tr>
      <w:tr>
        <w:trPr>
          <w:trHeight w:val="310"/>
        </w:trPr>
        <w:tc>
          <w:tcPr>
            <w:tcW w:w="4360" w:type="dxa"/>
            <w:vAlign w:val="bottom"/>
          </w:tcPr>
          <w:p>
            <w:pPr>
              <w:ind w:left="580"/>
              <w:spacing w:after="0"/>
              <w:rPr>
                <w:sz w:val="20"/>
                <w:szCs w:val="20"/>
                <w:color w:val="auto"/>
              </w:rPr>
            </w:pPr>
            <w:r>
              <w:rPr>
                <w:rFonts w:ascii="Arial" w:cs="Arial" w:eastAsia="Arial" w:hAnsi="Arial"/>
                <w:sz w:val="16"/>
                <w:szCs w:val="16"/>
                <w:color w:val="auto"/>
              </w:rPr>
              <w:t>Depreciation -</w:t>
            </w:r>
          </w:p>
        </w:tc>
        <w:tc>
          <w:tcPr>
            <w:tcW w:w="2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4360" w:type="dxa"/>
            <w:vAlign w:val="bottom"/>
          </w:tcPr>
          <w:p>
            <w:pPr>
              <w:ind w:left="580"/>
              <w:spacing w:after="0"/>
              <w:rPr>
                <w:sz w:val="20"/>
                <w:szCs w:val="20"/>
                <w:color w:val="auto"/>
              </w:rPr>
            </w:pPr>
            <w:r>
              <w:rPr>
                <w:rFonts w:ascii="Arial" w:cs="Arial" w:eastAsia="Arial" w:hAnsi="Arial"/>
                <w:sz w:val="16"/>
                <w:szCs w:val="16"/>
                <w:color w:val="auto"/>
              </w:rPr>
              <w:t>Soles in relation to Peso Chileno</w:t>
            </w:r>
          </w:p>
        </w:tc>
        <w:tc>
          <w:tcPr>
            <w:tcW w:w="3760" w:type="dxa"/>
            <w:vAlign w:val="bottom"/>
            <w:gridSpan w:val="2"/>
          </w:tcPr>
          <w:p>
            <w:pPr>
              <w:jc w:val="center"/>
              <w:ind w:left="2419"/>
              <w:spacing w:after="0"/>
              <w:rPr>
                <w:sz w:val="20"/>
                <w:szCs w:val="20"/>
                <w:color w:val="auto"/>
              </w:rPr>
            </w:pPr>
            <w:r>
              <w:rPr>
                <w:rFonts w:ascii="Arial" w:cs="Arial" w:eastAsia="Arial" w:hAnsi="Arial"/>
                <w:sz w:val="16"/>
                <w:szCs w:val="16"/>
                <w:color w:val="auto"/>
              </w:rPr>
              <w:t>5</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18,136</w:t>
            </w:r>
          </w:p>
        </w:tc>
        <w:tc>
          <w:tcPr>
            <w:tcW w:w="100" w:type="dxa"/>
            <w:vAlign w:val="bottom"/>
          </w:tcPr>
          <w:p>
            <w:pPr>
              <w:spacing w:after="0"/>
              <w:rPr>
                <w:sz w:val="15"/>
                <w:szCs w:val="15"/>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16,571</w:t>
            </w:r>
          </w:p>
        </w:tc>
        <w:tc>
          <w:tcPr>
            <w:tcW w:w="560" w:type="dxa"/>
            <w:vAlign w:val="bottom"/>
          </w:tcPr>
          <w:p>
            <w:pPr>
              <w:spacing w:after="0"/>
              <w:rPr>
                <w:sz w:val="15"/>
                <w:szCs w:val="15"/>
                <w:color w:val="auto"/>
              </w:rPr>
            </w:pPr>
          </w:p>
        </w:tc>
      </w:tr>
      <w:tr>
        <w:trPr>
          <w:trHeight w:val="215"/>
        </w:trPr>
        <w:tc>
          <w:tcPr>
            <w:tcW w:w="4360" w:type="dxa"/>
            <w:vAlign w:val="bottom"/>
          </w:tcPr>
          <w:p>
            <w:pPr>
              <w:ind w:left="580"/>
              <w:spacing w:after="0"/>
              <w:rPr>
                <w:sz w:val="20"/>
                <w:szCs w:val="20"/>
                <w:color w:val="auto"/>
              </w:rPr>
            </w:pPr>
            <w:r>
              <w:rPr>
                <w:rFonts w:ascii="Arial" w:cs="Arial" w:eastAsia="Arial" w:hAnsi="Arial"/>
                <w:sz w:val="16"/>
                <w:szCs w:val="16"/>
                <w:color w:val="auto"/>
              </w:rPr>
              <w:t>Soles in relation to Peso Chileno</w:t>
            </w:r>
          </w:p>
        </w:tc>
        <w:tc>
          <w:tcPr>
            <w:tcW w:w="3760" w:type="dxa"/>
            <w:vAlign w:val="bottom"/>
            <w:gridSpan w:val="2"/>
          </w:tcPr>
          <w:p>
            <w:pPr>
              <w:jc w:val="center"/>
              <w:ind w:left="2419"/>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34,624</w:t>
            </w:r>
          </w:p>
        </w:tc>
        <w:tc>
          <w:tcPr>
            <w:tcW w:w="10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31,636</w:t>
            </w:r>
          </w:p>
        </w:tc>
        <w:tc>
          <w:tcPr>
            <w:tcW w:w="560" w:type="dxa"/>
            <w:vAlign w:val="bottom"/>
          </w:tcPr>
          <w:p>
            <w:pPr>
              <w:spacing w:after="0"/>
              <w:rPr>
                <w:sz w:val="18"/>
                <w:szCs w:val="18"/>
                <w:color w:val="auto"/>
              </w:rPr>
            </w:pPr>
          </w:p>
        </w:tc>
      </w:tr>
      <w:tr>
        <w:trPr>
          <w:trHeight w:val="334"/>
        </w:trPr>
        <w:tc>
          <w:tcPr>
            <w:tcW w:w="4360" w:type="dxa"/>
            <w:vAlign w:val="bottom"/>
          </w:tcPr>
          <w:p>
            <w:pPr>
              <w:ind w:left="580"/>
              <w:spacing w:after="0"/>
              <w:rPr>
                <w:sz w:val="20"/>
                <w:szCs w:val="20"/>
                <w:color w:val="auto"/>
              </w:rPr>
            </w:pPr>
            <w:r>
              <w:rPr>
                <w:rFonts w:ascii="Arial" w:cs="Arial" w:eastAsia="Arial" w:hAnsi="Arial"/>
                <w:sz w:val="16"/>
                <w:szCs w:val="16"/>
                <w:color w:val="auto"/>
              </w:rPr>
              <w:t>Appreciation -</w:t>
            </w:r>
          </w:p>
        </w:tc>
        <w:tc>
          <w:tcPr>
            <w:tcW w:w="2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4360" w:type="dxa"/>
            <w:vAlign w:val="bottom"/>
          </w:tcPr>
          <w:p>
            <w:pPr>
              <w:ind w:left="580"/>
              <w:spacing w:after="0"/>
              <w:rPr>
                <w:sz w:val="20"/>
                <w:szCs w:val="20"/>
                <w:color w:val="auto"/>
              </w:rPr>
            </w:pPr>
            <w:r>
              <w:rPr>
                <w:rFonts w:ascii="Arial" w:cs="Arial" w:eastAsia="Arial" w:hAnsi="Arial"/>
                <w:sz w:val="16"/>
                <w:szCs w:val="16"/>
                <w:color w:val="auto"/>
              </w:rPr>
              <w:t>Soles in relation to Peso Chileno</w:t>
            </w:r>
          </w:p>
        </w:tc>
        <w:tc>
          <w:tcPr>
            <w:tcW w:w="3760" w:type="dxa"/>
            <w:vAlign w:val="bottom"/>
            <w:gridSpan w:val="2"/>
          </w:tcPr>
          <w:p>
            <w:pPr>
              <w:jc w:val="center"/>
              <w:ind w:left="2419"/>
              <w:spacing w:after="0"/>
              <w:rPr>
                <w:sz w:val="20"/>
                <w:szCs w:val="20"/>
                <w:color w:val="auto"/>
              </w:rPr>
            </w:pPr>
            <w:r>
              <w:rPr>
                <w:rFonts w:ascii="Arial" w:cs="Arial" w:eastAsia="Arial" w:hAnsi="Arial"/>
                <w:sz w:val="16"/>
                <w:szCs w:val="16"/>
                <w:color w:val="auto"/>
              </w:rPr>
              <w:t>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(20,046)</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(18,316)</w:t>
            </w:r>
          </w:p>
        </w:tc>
        <w:tc>
          <w:tcPr>
            <w:tcW w:w="560" w:type="dxa"/>
            <w:vAlign w:val="bottom"/>
          </w:tcPr>
          <w:p>
            <w:pPr>
              <w:spacing w:after="0"/>
              <w:rPr>
                <w:sz w:val="15"/>
                <w:szCs w:val="15"/>
                <w:color w:val="auto"/>
              </w:rPr>
            </w:pPr>
          </w:p>
        </w:tc>
      </w:tr>
      <w:tr>
        <w:trPr>
          <w:trHeight w:val="215"/>
        </w:trPr>
        <w:tc>
          <w:tcPr>
            <w:tcW w:w="4360" w:type="dxa"/>
            <w:vAlign w:val="bottom"/>
          </w:tcPr>
          <w:p>
            <w:pPr>
              <w:ind w:left="580"/>
              <w:spacing w:after="0"/>
              <w:rPr>
                <w:sz w:val="20"/>
                <w:szCs w:val="20"/>
                <w:color w:val="auto"/>
              </w:rPr>
            </w:pPr>
            <w:r>
              <w:rPr>
                <w:rFonts w:ascii="Arial" w:cs="Arial" w:eastAsia="Arial" w:hAnsi="Arial"/>
                <w:sz w:val="16"/>
                <w:szCs w:val="16"/>
                <w:color w:val="auto"/>
              </w:rPr>
              <w:t>Soles in relation to Peso Chileno</w:t>
            </w:r>
          </w:p>
        </w:tc>
        <w:tc>
          <w:tcPr>
            <w:tcW w:w="3760" w:type="dxa"/>
            <w:vAlign w:val="bottom"/>
            <w:gridSpan w:val="2"/>
          </w:tcPr>
          <w:p>
            <w:pPr>
              <w:jc w:val="center"/>
              <w:ind w:left="2419"/>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(42,318)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(38,667)</w:t>
            </w:r>
          </w:p>
        </w:tc>
        <w:tc>
          <w:tcPr>
            <w:tcW w:w="560" w:type="dxa"/>
            <w:vAlign w:val="bottom"/>
          </w:tcPr>
          <w:p>
            <w:pPr>
              <w:spacing w:after="0"/>
              <w:rPr>
                <w:sz w:val="18"/>
                <w:szCs w:val="18"/>
                <w:color w:val="auto"/>
              </w:rPr>
            </w:pPr>
          </w:p>
        </w:tc>
      </w:tr>
      <w:tr>
        <w:trPr>
          <w:trHeight w:val="525"/>
        </w:trPr>
        <w:tc>
          <w:tcPr>
            <w:tcW w:w="4360" w:type="dxa"/>
            <w:vAlign w:val="bottom"/>
          </w:tcPr>
          <w:p>
            <w:pPr>
              <w:spacing w:after="0"/>
              <w:rPr>
                <w:sz w:val="24"/>
                <w:szCs w:val="24"/>
                <w:color w:val="auto"/>
              </w:rPr>
            </w:pPr>
          </w:p>
        </w:tc>
        <w:tc>
          <w:tcPr>
            <w:tcW w:w="2520" w:type="dxa"/>
            <w:vAlign w:val="bottom"/>
          </w:tcPr>
          <w:p>
            <w:pPr>
              <w:jc w:val="right"/>
              <w:ind w:right="1059"/>
              <w:spacing w:after="0"/>
              <w:rPr>
                <w:sz w:val="20"/>
                <w:szCs w:val="20"/>
                <w:color w:val="auto"/>
              </w:rPr>
            </w:pPr>
            <w:r>
              <w:rPr>
                <w:rFonts w:ascii="Arial" w:cs="Arial" w:eastAsia="Arial" w:hAnsi="Arial"/>
                <w:sz w:val="16"/>
                <w:szCs w:val="16"/>
                <w:color w:val="auto"/>
              </w:rPr>
              <w:t>171</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8"/>
        </w:trPr>
        <w:tc>
          <w:tcPr>
            <w:tcW w:w="436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05" w:right="319" w:bottom="1440" w:gutter="0" w:footer="0" w:header="0"/>
        </w:sectPr>
      </w:pPr>
    </w:p>
    <w:bookmarkStart w:id="174" w:name="page175"/>
    <w:bookmarkEnd w:id="174"/>
    <w:p>
      <w:pPr>
        <w:spacing w:after="0"/>
        <w:tabs>
          <w:tab w:leader="none" w:pos="560" w:val="left"/>
        </w:tabs>
        <w:rPr>
          <w:sz w:val="20"/>
          <w:szCs w:val="20"/>
          <w:color w:val="auto"/>
        </w:rPr>
      </w:pPr>
      <w:r>
        <w:rPr>
          <w:rFonts w:ascii="Arial" w:cs="Arial" w:eastAsia="Arial" w:hAnsi="Arial"/>
          <w:sz w:val="16"/>
          <w:szCs w:val="16"/>
          <w:b w:val="1"/>
          <w:bCs w:val="1"/>
          <w:color w:val="auto"/>
        </w:rPr>
        <w:t>30.3</w:t>
        <w:tab/>
        <w:t>Liquidity risk</w:t>
      </w:r>
    </w:p>
    <w:p>
      <w:pPr>
        <w:spacing w:after="0" w:line="183" w:lineRule="exact"/>
        <w:rPr>
          <w:sz w:val="20"/>
          <w:szCs w:val="20"/>
          <w:color w:val="auto"/>
        </w:rPr>
      </w:pPr>
    </w:p>
    <w:p>
      <w:pPr>
        <w:ind w:left="580" w:right="140"/>
        <w:spacing w:after="0" w:line="259" w:lineRule="auto"/>
        <w:rPr>
          <w:sz w:val="20"/>
          <w:szCs w:val="20"/>
          <w:color w:val="auto"/>
        </w:rPr>
      </w:pPr>
      <w:r>
        <w:rPr>
          <w:rFonts w:ascii="Arial" w:cs="Arial" w:eastAsia="Arial" w:hAnsi="Arial"/>
          <w:sz w:val="16"/>
          <w:szCs w:val="16"/>
          <w:color w:val="auto"/>
        </w:rPr>
        <w:t>Liquidity risk is the risk that the Group is unable to meet its short-term payment obligations associated with its financial liabilities when they fall due and to replace funds when they are withdrawn. In this sense, the company that is facing a liquidity crisis would be failing to comply with the obligations to pay depositors and with commitments to lend or satisfy other operational cash needs.</w:t>
      </w:r>
    </w:p>
    <w:p>
      <w:pPr>
        <w:spacing w:after="0" w:line="137" w:lineRule="exact"/>
        <w:rPr>
          <w:sz w:val="20"/>
          <w:szCs w:val="20"/>
          <w:color w:val="auto"/>
        </w:rPr>
      </w:pPr>
    </w:p>
    <w:p>
      <w:pPr>
        <w:ind w:left="580" w:right="120"/>
        <w:spacing w:after="0" w:line="249" w:lineRule="auto"/>
        <w:rPr>
          <w:sz w:val="20"/>
          <w:szCs w:val="20"/>
          <w:color w:val="auto"/>
        </w:rPr>
      </w:pPr>
      <w:r>
        <w:rPr>
          <w:rFonts w:ascii="Arial" w:cs="Arial" w:eastAsia="Arial" w:hAnsi="Arial"/>
          <w:sz w:val="16"/>
          <w:szCs w:val="16"/>
          <w:color w:val="auto"/>
        </w:rPr>
        <w:t>The Group is exposed to daily cash requirements, interbank deposits, current accounts, time deposits, use of loans, guarantees and other requirements. The Management of the Group’s subsidiaries establishes limits for the minimum funds amount available to cover such cash withdrawals and on the minimum level of inter-bank and other borrowing facilities that should be in place to cover withdrawals at unexpected levels of demand. Sources of liquidity are regularly reviewed by the corresponding risk teams to maintain a wide diversification by currency, geography, type of funding, provider, producer and term.</w:t>
      </w:r>
    </w:p>
    <w:p>
      <w:pPr>
        <w:spacing w:after="0" w:line="145" w:lineRule="exact"/>
        <w:rPr>
          <w:sz w:val="20"/>
          <w:szCs w:val="20"/>
          <w:color w:val="auto"/>
        </w:rPr>
      </w:pPr>
    </w:p>
    <w:p>
      <w:pPr>
        <w:ind w:left="580" w:right="460"/>
        <w:spacing w:after="0" w:line="259" w:lineRule="auto"/>
        <w:rPr>
          <w:sz w:val="20"/>
          <w:szCs w:val="20"/>
          <w:color w:val="auto"/>
        </w:rPr>
      </w:pPr>
      <w:r>
        <w:rPr>
          <w:rFonts w:ascii="Arial" w:cs="Arial" w:eastAsia="Arial" w:hAnsi="Arial"/>
          <w:sz w:val="16"/>
          <w:szCs w:val="16"/>
          <w:color w:val="auto"/>
        </w:rPr>
        <w:t>The procedure to control the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liquidity risk, which generates exposure to potential losses.</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Maturities of assets and liabilities and the ability to replace them, at an acceptable cost are important factors in assessing the liquidity of the Group.</w:t>
      </w:r>
    </w:p>
    <w:p>
      <w:pPr>
        <w:spacing w:after="0" w:line="183" w:lineRule="exact"/>
        <w:rPr>
          <w:sz w:val="20"/>
          <w:szCs w:val="20"/>
          <w:color w:val="auto"/>
        </w:rPr>
      </w:pPr>
    </w:p>
    <w:p>
      <w:pPr>
        <w:ind w:left="580" w:right="80"/>
        <w:spacing w:after="0" w:line="252" w:lineRule="auto"/>
        <w:rPr>
          <w:sz w:val="20"/>
          <w:szCs w:val="20"/>
          <w:color w:val="auto"/>
        </w:rPr>
      </w:pPr>
      <w:r>
        <w:rPr>
          <w:rFonts w:ascii="Arial" w:cs="Arial" w:eastAsia="Arial" w:hAnsi="Arial"/>
          <w:sz w:val="16"/>
          <w:szCs w:val="16"/>
          <w:color w:val="auto"/>
        </w:rPr>
        <w:t>A mismatch, in maturity of long-term illiquid assets against short-term liabilities, exposes the consolidated statement of financial position to risks related both to rollover and to interest rates. If liquid assets do not cover maturing debts, a consolidated statement of financial position is vulnerable to a rollover risk. Furthermore, a sharp increase in interest rates can dramatically increase the cost of rolling over short-term liabilities, leading to a rapid increase in debt cost. The contractual-maturity gap report is useful in showing liquidity characteristics.</w:t>
      </w:r>
    </w:p>
    <w:p>
      <w:pPr>
        <w:spacing w:after="0" w:line="144" w:lineRule="exact"/>
        <w:rPr>
          <w:sz w:val="20"/>
          <w:szCs w:val="20"/>
          <w:color w:val="auto"/>
        </w:rPr>
      </w:pPr>
    </w:p>
    <w:p>
      <w:pPr>
        <w:ind w:left="580" w:right="360"/>
        <w:spacing w:after="0" w:line="259" w:lineRule="auto"/>
        <w:rPr>
          <w:sz w:val="20"/>
          <w:szCs w:val="20"/>
          <w:color w:val="auto"/>
        </w:rPr>
      </w:pPr>
      <w:r>
        <w:rPr>
          <w:rFonts w:ascii="Arial" w:cs="Arial" w:eastAsia="Arial" w:hAnsi="Arial"/>
          <w:sz w:val="16"/>
          <w:szCs w:val="16"/>
          <w:color w:val="auto"/>
        </w:rPr>
        <w:t>Corporate policies have been implemented for liquidity risk management by the Group. These policies are consistent with the particular characteristics of each operating segment in which each of the Group companies operate. Risk Management heads set up limits and autonomy models to determine the adequate liquidity indicators to be managed.</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Commercial banking and Microfinance:</w:t>
      </w:r>
    </w:p>
    <w:p>
      <w:pPr>
        <w:spacing w:after="0" w:line="183" w:lineRule="exact"/>
        <w:rPr>
          <w:sz w:val="20"/>
          <w:szCs w:val="20"/>
          <w:color w:val="auto"/>
        </w:rPr>
      </w:pPr>
    </w:p>
    <w:p>
      <w:pPr>
        <w:ind w:left="580" w:right="260"/>
        <w:spacing w:after="0" w:line="247" w:lineRule="auto"/>
        <w:rPr>
          <w:sz w:val="20"/>
          <w:szCs w:val="20"/>
          <w:color w:val="auto"/>
        </w:rPr>
      </w:pPr>
      <w:r>
        <w:rPr>
          <w:rFonts w:ascii="Arial" w:cs="Arial" w:eastAsia="Arial" w:hAnsi="Arial"/>
          <w:sz w:val="16"/>
          <w:szCs w:val="16"/>
          <w:color w:val="auto"/>
        </w:rPr>
        <w:t>Liquidity risk exposure in BCP Perú, BCP Bolivia, Mibanco and Mibanco Colombia is based on indicators such as the Internal Liquidity Coverage Ratio (RCLI, the Spanish acronym) which measures the amount of liquid assets available to meet cash outflows needs within a given stress scenario for a period of 30 days and the Internal Ratio of Stable Net Funding (RFNEI, the Spanish acronym), which is intended to guarantee that long-term assets are financed at least with a minimum number of stable liabilities within a prolonged liquidity crisis scenario and works as a minimum compliance mechanism that supplements the RCLI. The core limits of these indicators are 100% and any excess is presented in the Credicorp Treasury Risk Committee, Credicorp Risk Committee and the Assets Liabilities Committee (ALCO) of the respective subsidiary.</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Insurances and Pensions:</w:t>
      </w:r>
    </w:p>
    <w:p>
      <w:pPr>
        <w:spacing w:after="0" w:line="183" w:lineRule="exact"/>
        <w:rPr>
          <w:sz w:val="20"/>
          <w:szCs w:val="20"/>
          <w:color w:val="auto"/>
        </w:rPr>
      </w:pPr>
    </w:p>
    <w:p>
      <w:pPr>
        <w:ind w:left="580"/>
        <w:spacing w:after="0" w:line="252" w:lineRule="auto"/>
        <w:rPr>
          <w:sz w:val="20"/>
          <w:szCs w:val="20"/>
          <w:color w:val="auto"/>
        </w:rPr>
      </w:pPr>
      <w:r>
        <w:rPr>
          <w:rFonts w:ascii="Arial" w:cs="Arial" w:eastAsia="Arial" w:hAnsi="Arial"/>
          <w:sz w:val="16"/>
          <w:szCs w:val="16"/>
          <w:u w:val="single" w:color="auto"/>
          <w:color w:val="auto"/>
        </w:rPr>
        <w:t>Insurances</w:t>
      </w:r>
      <w:r>
        <w:rPr>
          <w:rFonts w:ascii="Arial" w:cs="Arial" w:eastAsia="Arial" w:hAnsi="Arial"/>
          <w:sz w:val="16"/>
          <w:szCs w:val="16"/>
          <w:b w:val="1"/>
          <w:bCs w:val="1"/>
          <w:color w:val="auto"/>
        </w:rPr>
        <w:t>:</w:t>
      </w:r>
      <w:r>
        <w:rPr>
          <w:rFonts w:ascii="Arial" w:cs="Arial" w:eastAsia="Arial" w:hAnsi="Arial"/>
          <w:sz w:val="16"/>
          <w:szCs w:val="16"/>
          <w:color w:val="auto"/>
        </w:rPr>
        <w:t xml:space="preserve"> Liquidity risk management in Pacífico Grupo Asegurador follows a particular approach given the nature of the business. For annually renewable businesses, mainly general insurance, the emphasis of liquidity is focused on the quick availability of resources in the event of a systemic event (e.g. earthquake); for this purpose, there are minimum investment indicators in place relating to local cash/time deposits and foreign fixed-income instruments of high quality and liquidity.</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75" w:name="page176"/>
    <w:bookmarkEnd w:id="175"/>
    <w:p>
      <w:pPr>
        <w:ind w:right="220"/>
        <w:spacing w:after="0" w:line="252" w:lineRule="auto"/>
        <w:rPr>
          <w:sz w:val="20"/>
          <w:szCs w:val="20"/>
          <w:color w:val="auto"/>
        </w:rPr>
      </w:pPr>
      <w:r>
        <w:rPr>
          <w:rFonts w:ascii="Arial" w:cs="Arial" w:eastAsia="Arial" w:hAnsi="Arial"/>
          <w:sz w:val="16"/>
          <w:szCs w:val="16"/>
          <w:color w:val="auto"/>
        </w:rPr>
        <w:t>For long-term businesses such as Pacífico Seguros, given the nature of the products offered and the contractual relationship with customers (the liquidity risk is not material); the emphasis is on maintaining sufficient flow of assets and matching their maturities with maturities of obligations (mathematical technical reserves); for this purpose there are indicators that measure the asset/liability sufficiency and adequacy as well as calculations or economic capital subject to interest rate risk, this last under the methodology of Credicorp.</w:t>
      </w:r>
    </w:p>
    <w:p>
      <w:pPr>
        <w:spacing w:after="0" w:line="144"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u w:val="single" w:color="auto"/>
          <w:color w:val="auto"/>
        </w:rPr>
        <w:t>Pensions</w:t>
      </w:r>
      <w:r>
        <w:rPr>
          <w:rFonts w:ascii="Arial" w:cs="Arial" w:eastAsia="Arial" w:hAnsi="Arial"/>
          <w:sz w:val="16"/>
          <w:szCs w:val="16"/>
          <w:b w:val="1"/>
          <w:bCs w:val="1"/>
          <w:color w:val="auto"/>
        </w:rPr>
        <w:t>:</w:t>
      </w:r>
      <w:r>
        <w:rPr>
          <w:rFonts w:ascii="Arial" w:cs="Arial" w:eastAsia="Arial" w:hAnsi="Arial"/>
          <w:sz w:val="16"/>
          <w:szCs w:val="16"/>
          <w:color w:val="auto"/>
        </w:rPr>
        <w:t xml:space="preserve"> Liquidity risk management in AFP Prima is carried out in a differentiated manner between the fund administrator and the funds being managed. Liquidity management regarding the fund administrator is focused on hedge meeting periodic operating expense needs, which are supported with the collection of commissions. The fund administering entity does not record unexpected outflows of liquidity.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banking:</w:t>
      </w:r>
    </w:p>
    <w:p>
      <w:pPr>
        <w:spacing w:after="0" w:line="18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Liquidity risk in the Grupo Credicorp Capital principally affects the security brokerage. In managing this risk, limits of use of liquidity have been established as well as mismatching by dealing desk; follow-up on liquidity is performed on a daily basis for a short-term horizon covering the coming settlements. If short-term unmatched maturities are identified, repos are used. On the other hand, structural liquidity risk of Credicorp Capital is not significant given the low levels of debt, which is monitored regularly using financial planning tools.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the case of Atlantic Security Bank, the risk liquidity management performs through indicators such as Internal Liquidity Coverage Ratio (RCLI, the Spanish acronym) and the Internal Ratio of Stable Net Funding (RFNEI, the Spanish acronym) with the core limits of 100% and any excess is presented in the Credicorp Treasury Risk Committee, Credicorp Risk Committee and the Assets Liabilities Committee (ALCO) of the respective subsidiary.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Companies perform a liquidity risk management using the liquidity Gap or contractual maturity Gap.</w:t>
      </w:r>
    </w:p>
    <w:p>
      <w:pPr>
        <w:spacing w:after="0" w:line="341"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41275</wp:posOffset>
            </wp:positionV>
            <wp:extent cx="714565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40"/>
          </w:cols>
          <w:pgMar w:left="900" w:top="306" w:right="359" w:bottom="1440" w:gutter="0" w:footer="0" w:header="0"/>
        </w:sectPr>
      </w:pPr>
    </w:p>
    <w:bookmarkStart w:id="176" w:name="page177"/>
    <w:bookmarkEnd w:id="176"/>
    <w:p>
      <w:pPr>
        <w:ind w:right="20"/>
        <w:spacing w:after="0" w:line="279" w:lineRule="auto"/>
        <w:rPr>
          <w:sz w:val="20"/>
          <w:szCs w:val="20"/>
          <w:color w:val="auto"/>
        </w:rPr>
      </w:pPr>
      <w:r>
        <w:rPr>
          <w:rFonts w:ascii="Arial" w:cs="Arial" w:eastAsia="Arial" w:hAnsi="Arial"/>
          <w:sz w:val="16"/>
          <w:szCs w:val="16"/>
          <w:color w:val="auto"/>
        </w:rPr>
        <w:t>The table below presents the cash flows payable by the Group by remaining contractual maturities (including future interest payments) at the date of the consolidated statement of financial position. The amounts disclosed in the table are the contractual undiscounted cash flows: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8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0"/>
                <w:szCs w:val="10"/>
                <w:b w:val="1"/>
                <w:bCs w:val="1"/>
                <w:color w:val="auto"/>
              </w:rPr>
              <w:t>2023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89"/>
        </w:trPr>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top w:val="single" w:sz="8" w:color="auto"/>
            </w:tcBorders>
            <w:gridSpan w:val="4"/>
          </w:tcPr>
          <w:p>
            <w:pPr>
              <w:spacing w:after="0" w:line="90" w:lineRule="exact"/>
              <w:rPr>
                <w:sz w:val="20"/>
                <w:szCs w:val="20"/>
                <w:color w:val="auto"/>
              </w:rPr>
            </w:pPr>
            <w:r>
              <w:rPr>
                <w:rFonts w:ascii="Arial" w:cs="Arial" w:eastAsia="Arial" w:hAnsi="Arial"/>
                <w:sz w:val="10"/>
                <w:szCs w:val="10"/>
                <w:b w:val="1"/>
                <w:bCs w:val="1"/>
                <w:color w:val="auto"/>
              </w:rPr>
              <w:t>Up to a</w:t>
            </w:r>
          </w:p>
        </w:tc>
        <w:tc>
          <w:tcPr>
            <w:tcW w:w="600" w:type="dxa"/>
            <w:vAlign w:val="bottom"/>
            <w:tcBorders>
              <w:top w:val="single" w:sz="8" w:color="auto"/>
            </w:tcBorders>
            <w:gridSpan w:val="2"/>
          </w:tcPr>
          <w:p>
            <w:pPr>
              <w:spacing w:after="0" w:line="90" w:lineRule="exact"/>
              <w:rPr>
                <w:sz w:val="20"/>
                <w:szCs w:val="20"/>
                <w:color w:val="auto"/>
              </w:rPr>
            </w:pPr>
            <w:r>
              <w:rPr>
                <w:rFonts w:ascii="Arial" w:cs="Arial" w:eastAsia="Arial" w:hAnsi="Arial"/>
                <w:sz w:val="10"/>
                <w:szCs w:val="10"/>
                <w:b w:val="1"/>
                <w:bCs w:val="1"/>
                <w:color w:val="auto"/>
              </w:rPr>
              <w:t>From 1 to</w:t>
            </w:r>
          </w:p>
        </w:tc>
        <w:tc>
          <w:tcPr>
            <w:tcW w:w="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gridSpan w:val="5"/>
          </w:tcPr>
          <w:p>
            <w:pPr>
              <w:ind w:left="80"/>
              <w:spacing w:after="0" w:line="90" w:lineRule="exact"/>
              <w:rPr>
                <w:sz w:val="20"/>
                <w:szCs w:val="20"/>
                <w:color w:val="auto"/>
              </w:rPr>
            </w:pPr>
            <w:r>
              <w:rPr>
                <w:rFonts w:ascii="Arial" w:cs="Arial" w:eastAsia="Arial" w:hAnsi="Arial"/>
                <w:sz w:val="10"/>
                <w:szCs w:val="10"/>
                <w:b w:val="1"/>
                <w:bCs w:val="1"/>
                <w:color w:val="auto"/>
              </w:rPr>
              <w:t>From 3 to</w:t>
            </w:r>
          </w:p>
        </w:tc>
        <w:tc>
          <w:tcPr>
            <w:tcW w:w="580" w:type="dxa"/>
            <w:vAlign w:val="bottom"/>
            <w:tcBorders>
              <w:top w:val="single" w:sz="8" w:color="auto"/>
            </w:tcBorders>
            <w:gridSpan w:val="2"/>
          </w:tcPr>
          <w:p>
            <w:pPr>
              <w:spacing w:after="0" w:line="90" w:lineRule="exact"/>
              <w:rPr>
                <w:sz w:val="20"/>
                <w:szCs w:val="20"/>
                <w:color w:val="auto"/>
              </w:rPr>
            </w:pPr>
            <w:r>
              <w:rPr>
                <w:rFonts w:ascii="Arial" w:cs="Arial" w:eastAsia="Arial" w:hAnsi="Arial"/>
                <w:sz w:val="10"/>
                <w:szCs w:val="10"/>
                <w:b w:val="1"/>
                <w:bCs w:val="1"/>
                <w:color w:val="auto"/>
              </w:rPr>
              <w:t>From 1 to</w:t>
            </w: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gridSpan w:val="5"/>
          </w:tcPr>
          <w:p>
            <w:pPr>
              <w:ind w:left="80"/>
              <w:spacing w:after="0" w:line="90" w:lineRule="exact"/>
              <w:rPr>
                <w:sz w:val="20"/>
                <w:szCs w:val="20"/>
                <w:color w:val="auto"/>
              </w:rPr>
            </w:pPr>
            <w:r>
              <w:rPr>
                <w:rFonts w:ascii="Arial" w:cs="Arial" w:eastAsia="Arial" w:hAnsi="Arial"/>
                <w:sz w:val="10"/>
                <w:szCs w:val="10"/>
                <w:b w:val="1"/>
                <w:bCs w:val="1"/>
                <w:color w:val="auto"/>
              </w:rPr>
              <w:t>Over 5</w:t>
            </w: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top w:val="single" w:sz="8" w:color="auto"/>
            </w:tcBorders>
            <w:gridSpan w:val="3"/>
          </w:tcPr>
          <w:p>
            <w:pPr>
              <w:spacing w:after="0" w:line="90" w:lineRule="exact"/>
              <w:rPr>
                <w:sz w:val="20"/>
                <w:szCs w:val="20"/>
                <w:color w:val="auto"/>
              </w:rPr>
            </w:pPr>
            <w:r>
              <w:rPr>
                <w:rFonts w:ascii="Arial" w:cs="Arial" w:eastAsia="Arial" w:hAnsi="Arial"/>
                <w:sz w:val="10"/>
                <w:szCs w:val="10"/>
                <w:b w:val="1"/>
                <w:bCs w:val="1"/>
                <w:color w:val="auto"/>
              </w:rPr>
              <w:t>Up to a</w:t>
            </w:r>
          </w:p>
        </w:tc>
        <w:tc>
          <w:tcPr>
            <w:tcW w:w="840" w:type="dxa"/>
            <w:vAlign w:val="bottom"/>
            <w:tcBorders>
              <w:top w:val="single" w:sz="8" w:color="auto"/>
            </w:tcBorders>
            <w:gridSpan w:val="5"/>
          </w:tcPr>
          <w:p>
            <w:pPr>
              <w:ind w:left="80"/>
              <w:spacing w:after="0" w:line="90" w:lineRule="exact"/>
              <w:rPr>
                <w:sz w:val="20"/>
                <w:szCs w:val="20"/>
                <w:color w:val="auto"/>
              </w:rPr>
            </w:pPr>
            <w:r>
              <w:rPr>
                <w:rFonts w:ascii="Arial" w:cs="Arial" w:eastAsia="Arial" w:hAnsi="Arial"/>
                <w:sz w:val="10"/>
                <w:szCs w:val="10"/>
                <w:b w:val="1"/>
                <w:bCs w:val="1"/>
                <w:color w:val="auto"/>
              </w:rPr>
              <w:t>From 1 to</w:t>
            </w:r>
          </w:p>
        </w:tc>
        <w:tc>
          <w:tcPr>
            <w:tcW w:w="660" w:type="dxa"/>
            <w:vAlign w:val="bottom"/>
            <w:tcBorders>
              <w:top w:val="single" w:sz="8" w:color="auto"/>
            </w:tcBorders>
            <w:gridSpan w:val="3"/>
          </w:tcPr>
          <w:p>
            <w:pPr>
              <w:spacing w:after="0" w:line="90" w:lineRule="exact"/>
              <w:rPr>
                <w:sz w:val="20"/>
                <w:szCs w:val="20"/>
                <w:color w:val="auto"/>
              </w:rPr>
            </w:pPr>
            <w:r>
              <w:rPr>
                <w:rFonts w:ascii="Arial" w:cs="Arial" w:eastAsia="Arial" w:hAnsi="Arial"/>
                <w:sz w:val="10"/>
                <w:szCs w:val="10"/>
                <w:b w:val="1"/>
                <w:bCs w:val="1"/>
                <w:color w:val="auto"/>
              </w:rPr>
              <w:t>From 3 to</w:t>
            </w:r>
          </w:p>
        </w:tc>
        <w:tc>
          <w:tcPr>
            <w:tcW w:w="860" w:type="dxa"/>
            <w:vAlign w:val="bottom"/>
            <w:tcBorders>
              <w:top w:val="single" w:sz="8" w:color="auto"/>
            </w:tcBorders>
            <w:gridSpan w:val="5"/>
          </w:tcPr>
          <w:p>
            <w:pPr>
              <w:ind w:left="100"/>
              <w:spacing w:after="0" w:line="90" w:lineRule="exact"/>
              <w:rPr>
                <w:sz w:val="20"/>
                <w:szCs w:val="20"/>
                <w:color w:val="auto"/>
              </w:rPr>
            </w:pPr>
            <w:r>
              <w:rPr>
                <w:rFonts w:ascii="Arial" w:cs="Arial" w:eastAsia="Arial" w:hAnsi="Arial"/>
                <w:sz w:val="10"/>
                <w:szCs w:val="10"/>
                <w:b w:val="1"/>
                <w:bCs w:val="1"/>
                <w:color w:val="auto"/>
              </w:rPr>
              <w:t>From 1 to</w:t>
            </w:r>
          </w:p>
        </w:tc>
        <w:tc>
          <w:tcPr>
            <w:tcW w:w="740" w:type="dxa"/>
            <w:vAlign w:val="bottom"/>
            <w:tcBorders>
              <w:top w:val="single" w:sz="8" w:color="auto"/>
            </w:tcBorders>
            <w:gridSpan w:val="4"/>
          </w:tcPr>
          <w:p>
            <w:pPr>
              <w:spacing w:after="0" w:line="90" w:lineRule="exact"/>
              <w:rPr>
                <w:sz w:val="20"/>
                <w:szCs w:val="20"/>
                <w:color w:val="auto"/>
              </w:rPr>
            </w:pPr>
            <w:r>
              <w:rPr>
                <w:rFonts w:ascii="Arial" w:cs="Arial" w:eastAsia="Arial" w:hAnsi="Arial"/>
                <w:sz w:val="10"/>
                <w:szCs w:val="10"/>
                <w:b w:val="1"/>
                <w:bCs w:val="1"/>
                <w:color w:val="auto"/>
              </w:rPr>
              <w:t>Over 5</w:t>
            </w: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r>
      <w:tr>
        <w:trPr>
          <w:trHeight w:val="123"/>
        </w:trPr>
        <w:tc>
          <w:tcPr>
            <w:tcW w:w="2080" w:type="dxa"/>
            <w:vAlign w:val="bottom"/>
          </w:tcPr>
          <w:p>
            <w:pPr>
              <w:spacing w:after="0"/>
              <w:rPr>
                <w:sz w:val="10"/>
                <w:szCs w:val="10"/>
                <w:color w:val="auto"/>
              </w:rPr>
            </w:pPr>
          </w:p>
        </w:tc>
        <w:tc>
          <w:tcPr>
            <w:tcW w:w="820" w:type="dxa"/>
            <w:vAlign w:val="bottom"/>
            <w:gridSpan w:val="5"/>
          </w:tcPr>
          <w:p>
            <w:pPr>
              <w:ind w:left="60"/>
              <w:spacing w:after="0"/>
              <w:rPr>
                <w:sz w:val="20"/>
                <w:szCs w:val="20"/>
                <w:color w:val="auto"/>
              </w:rPr>
            </w:pPr>
            <w:r>
              <w:rPr>
                <w:rFonts w:ascii="Arial" w:cs="Arial" w:eastAsia="Arial" w:hAnsi="Arial"/>
                <w:sz w:val="10"/>
                <w:szCs w:val="10"/>
                <w:b w:val="1"/>
                <w:bCs w:val="1"/>
                <w:color w:val="auto"/>
              </w:rPr>
              <w:t>month</w:t>
            </w:r>
          </w:p>
        </w:tc>
        <w:tc>
          <w:tcPr>
            <w:tcW w:w="600" w:type="dxa"/>
            <w:vAlign w:val="bottom"/>
            <w:gridSpan w:val="2"/>
          </w:tcPr>
          <w:p>
            <w:pPr>
              <w:spacing w:after="0"/>
              <w:rPr>
                <w:sz w:val="20"/>
                <w:szCs w:val="20"/>
                <w:color w:val="auto"/>
              </w:rPr>
            </w:pPr>
            <w:r>
              <w:rPr>
                <w:rFonts w:ascii="Arial" w:cs="Arial" w:eastAsia="Arial" w:hAnsi="Arial"/>
                <w:sz w:val="10"/>
                <w:szCs w:val="10"/>
                <w:b w:val="1"/>
                <w:bCs w:val="1"/>
                <w:color w:val="auto"/>
              </w:rPr>
              <w:t>3 months</w:t>
            </w:r>
          </w:p>
        </w:tc>
        <w:tc>
          <w:tcPr>
            <w:tcW w:w="80" w:type="dxa"/>
            <w:vAlign w:val="bottom"/>
          </w:tcPr>
          <w:p>
            <w:pPr>
              <w:spacing w:after="0"/>
              <w:rPr>
                <w:sz w:val="10"/>
                <w:szCs w:val="10"/>
                <w:color w:val="auto"/>
              </w:rPr>
            </w:pPr>
          </w:p>
        </w:tc>
        <w:tc>
          <w:tcPr>
            <w:tcW w:w="840" w:type="dxa"/>
            <w:vAlign w:val="bottom"/>
            <w:gridSpan w:val="5"/>
          </w:tcPr>
          <w:p>
            <w:pPr>
              <w:ind w:left="80"/>
              <w:spacing w:after="0"/>
              <w:rPr>
                <w:sz w:val="20"/>
                <w:szCs w:val="20"/>
                <w:color w:val="auto"/>
              </w:rPr>
            </w:pPr>
            <w:r>
              <w:rPr>
                <w:rFonts w:ascii="Arial" w:cs="Arial" w:eastAsia="Arial" w:hAnsi="Arial"/>
                <w:sz w:val="10"/>
                <w:szCs w:val="10"/>
                <w:b w:val="1"/>
                <w:bCs w:val="1"/>
                <w:color w:val="auto"/>
              </w:rPr>
              <w:t>12 months</w:t>
            </w: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rPr>
              <w:t>5 years</w:t>
            </w:r>
          </w:p>
        </w:tc>
        <w:tc>
          <w:tcPr>
            <w:tcW w:w="100" w:type="dxa"/>
            <w:vAlign w:val="bottom"/>
          </w:tcPr>
          <w:p>
            <w:pPr>
              <w:spacing w:after="0"/>
              <w:rPr>
                <w:sz w:val="10"/>
                <w:szCs w:val="10"/>
                <w:color w:val="auto"/>
              </w:rPr>
            </w:pPr>
          </w:p>
        </w:tc>
        <w:tc>
          <w:tcPr>
            <w:tcW w:w="840" w:type="dxa"/>
            <w:vAlign w:val="bottom"/>
            <w:gridSpan w:val="5"/>
          </w:tcPr>
          <w:p>
            <w:pPr>
              <w:ind w:left="80"/>
              <w:spacing w:after="0"/>
              <w:rPr>
                <w:sz w:val="20"/>
                <w:szCs w:val="20"/>
                <w:color w:val="auto"/>
              </w:rPr>
            </w:pPr>
            <w:r>
              <w:rPr>
                <w:rFonts w:ascii="Arial" w:cs="Arial" w:eastAsia="Arial" w:hAnsi="Arial"/>
                <w:sz w:val="10"/>
                <w:szCs w:val="10"/>
                <w:b w:val="1"/>
                <w:bCs w:val="1"/>
                <w:color w:val="auto"/>
              </w:rPr>
              <w:t>Year</w:t>
            </w: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Total</w:t>
            </w:r>
          </w:p>
        </w:tc>
        <w:tc>
          <w:tcPr>
            <w:tcW w:w="680" w:type="dxa"/>
            <w:vAlign w:val="bottom"/>
            <w:gridSpan w:val="3"/>
          </w:tcPr>
          <w:p>
            <w:pPr>
              <w:spacing w:after="0"/>
              <w:rPr>
                <w:sz w:val="20"/>
                <w:szCs w:val="20"/>
                <w:color w:val="auto"/>
              </w:rPr>
            </w:pPr>
            <w:r>
              <w:rPr>
                <w:rFonts w:ascii="Arial" w:cs="Arial" w:eastAsia="Arial" w:hAnsi="Arial"/>
                <w:sz w:val="10"/>
                <w:szCs w:val="10"/>
                <w:b w:val="1"/>
                <w:bCs w:val="1"/>
                <w:color w:val="auto"/>
              </w:rPr>
              <w:t>month</w:t>
            </w:r>
          </w:p>
        </w:tc>
        <w:tc>
          <w:tcPr>
            <w:tcW w:w="840" w:type="dxa"/>
            <w:vAlign w:val="bottom"/>
            <w:gridSpan w:val="5"/>
          </w:tcPr>
          <w:p>
            <w:pPr>
              <w:ind w:left="80"/>
              <w:spacing w:after="0"/>
              <w:rPr>
                <w:sz w:val="20"/>
                <w:szCs w:val="20"/>
                <w:color w:val="auto"/>
              </w:rPr>
            </w:pPr>
            <w:r>
              <w:rPr>
                <w:rFonts w:ascii="Arial" w:cs="Arial" w:eastAsia="Arial" w:hAnsi="Arial"/>
                <w:sz w:val="10"/>
                <w:szCs w:val="10"/>
                <w:b w:val="1"/>
                <w:bCs w:val="1"/>
                <w:color w:val="auto"/>
              </w:rPr>
              <w:t>3 months</w:t>
            </w:r>
          </w:p>
        </w:tc>
        <w:tc>
          <w:tcPr>
            <w:tcW w:w="660" w:type="dxa"/>
            <w:vAlign w:val="bottom"/>
            <w:gridSpan w:val="3"/>
          </w:tcPr>
          <w:p>
            <w:pPr>
              <w:spacing w:after="0"/>
              <w:rPr>
                <w:sz w:val="20"/>
                <w:szCs w:val="20"/>
                <w:color w:val="auto"/>
              </w:rPr>
            </w:pPr>
            <w:r>
              <w:rPr>
                <w:rFonts w:ascii="Arial" w:cs="Arial" w:eastAsia="Arial" w:hAnsi="Arial"/>
                <w:sz w:val="10"/>
                <w:szCs w:val="10"/>
                <w:b w:val="1"/>
                <w:bCs w:val="1"/>
                <w:color w:val="auto"/>
              </w:rPr>
              <w:t>12 months</w:t>
            </w:r>
          </w:p>
        </w:tc>
        <w:tc>
          <w:tcPr>
            <w:tcW w:w="860" w:type="dxa"/>
            <w:vAlign w:val="bottom"/>
            <w:gridSpan w:val="5"/>
          </w:tcPr>
          <w:p>
            <w:pPr>
              <w:ind w:left="100"/>
              <w:spacing w:after="0"/>
              <w:rPr>
                <w:sz w:val="20"/>
                <w:szCs w:val="20"/>
                <w:color w:val="auto"/>
              </w:rPr>
            </w:pPr>
            <w:r>
              <w:rPr>
                <w:rFonts w:ascii="Arial" w:cs="Arial" w:eastAsia="Arial" w:hAnsi="Arial"/>
                <w:sz w:val="10"/>
                <w:szCs w:val="10"/>
                <w:b w:val="1"/>
                <w:bCs w:val="1"/>
                <w:color w:val="auto"/>
              </w:rPr>
              <w:t>5 years</w:t>
            </w:r>
          </w:p>
        </w:tc>
        <w:tc>
          <w:tcPr>
            <w:tcW w:w="740" w:type="dxa"/>
            <w:vAlign w:val="bottom"/>
            <w:gridSpan w:val="4"/>
          </w:tcPr>
          <w:p>
            <w:pPr>
              <w:spacing w:after="0"/>
              <w:rPr>
                <w:sz w:val="20"/>
                <w:szCs w:val="20"/>
                <w:color w:val="auto"/>
              </w:rPr>
            </w:pPr>
            <w:r>
              <w:rPr>
                <w:rFonts w:ascii="Arial" w:cs="Arial" w:eastAsia="Arial" w:hAnsi="Arial"/>
                <w:sz w:val="10"/>
                <w:szCs w:val="10"/>
                <w:b w:val="1"/>
                <w:bCs w:val="1"/>
                <w:color w:val="auto"/>
              </w:rPr>
              <w:t>Year</w:t>
            </w:r>
          </w:p>
        </w:tc>
        <w:tc>
          <w:tcPr>
            <w:tcW w:w="740" w:type="dxa"/>
            <w:vAlign w:val="bottom"/>
            <w:gridSpan w:val="3"/>
          </w:tcPr>
          <w:p>
            <w:pPr>
              <w:spacing w:after="0"/>
              <w:rPr>
                <w:sz w:val="20"/>
                <w:szCs w:val="20"/>
                <w:color w:val="auto"/>
              </w:rPr>
            </w:pPr>
            <w:r>
              <w:rPr>
                <w:rFonts w:ascii="Arial" w:cs="Arial" w:eastAsia="Arial" w:hAnsi="Arial"/>
                <w:sz w:val="10"/>
                <w:szCs w:val="10"/>
                <w:b w:val="1"/>
                <w:bCs w:val="1"/>
                <w:color w:val="auto"/>
              </w:rPr>
              <w:t>Total</w:t>
            </w:r>
          </w:p>
        </w:tc>
      </w:tr>
      <w:tr>
        <w:trPr>
          <w:trHeight w:val="127"/>
        </w:trPr>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11"/>
                <w:szCs w:val="11"/>
                <w:color w:val="auto"/>
              </w:rPr>
            </w:pPr>
          </w:p>
        </w:tc>
        <w:tc>
          <w:tcPr>
            <w:tcW w:w="6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rPr>
              <w:t>S/(000)</w:t>
            </w: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11"/>
                <w:szCs w:val="11"/>
                <w:color w:val="auto"/>
              </w:rPr>
            </w:pP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rPr>
              <w:t>S/(000)</w:t>
            </w:r>
          </w:p>
        </w:tc>
        <w:tc>
          <w:tcPr>
            <w:tcW w:w="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11"/>
                <w:szCs w:val="11"/>
                <w:color w:val="auto"/>
              </w:rPr>
            </w:pPr>
          </w:p>
        </w:tc>
        <w:tc>
          <w:tcPr>
            <w:tcW w:w="72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11"/>
                <w:szCs w:val="11"/>
                <w:color w:val="auto"/>
              </w:rPr>
            </w:pPr>
          </w:p>
        </w:tc>
        <w:tc>
          <w:tcPr>
            <w:tcW w:w="68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11"/>
                <w:szCs w:val="11"/>
                <w:color w:val="auto"/>
              </w:rPr>
            </w:pPr>
          </w:p>
        </w:tc>
        <w:tc>
          <w:tcPr>
            <w:tcW w:w="68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11"/>
                <w:szCs w:val="11"/>
                <w:color w:val="auto"/>
              </w:rPr>
            </w:pPr>
          </w:p>
        </w:tc>
        <w:tc>
          <w:tcPr>
            <w:tcW w:w="66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1"/>
                <w:szCs w:val="11"/>
                <w:color w:val="auto"/>
              </w:rPr>
            </w:pPr>
          </w:p>
        </w:tc>
        <w:tc>
          <w:tcPr>
            <w:tcW w:w="66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rPr>
              <w:t>S/(000)</w:t>
            </w:r>
          </w:p>
        </w:tc>
        <w:tc>
          <w:tcPr>
            <w:tcW w:w="100" w:type="dxa"/>
            <w:vAlign w:val="bottom"/>
          </w:tcPr>
          <w:p>
            <w:pPr>
              <w:spacing w:after="0"/>
              <w:rPr>
                <w:sz w:val="11"/>
                <w:szCs w:val="11"/>
                <w:color w:val="auto"/>
              </w:rPr>
            </w:pPr>
          </w:p>
        </w:tc>
        <w:tc>
          <w:tcPr>
            <w:tcW w:w="66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rPr>
              <w:t>S/000</w:t>
            </w:r>
          </w:p>
        </w:tc>
        <w:tc>
          <w:tcPr>
            <w:tcW w:w="80" w:type="dxa"/>
            <w:vAlign w:val="bottom"/>
          </w:tcPr>
          <w:p>
            <w:pPr>
              <w:spacing w:after="0"/>
              <w:rPr>
                <w:sz w:val="11"/>
                <w:szCs w:val="11"/>
                <w:color w:val="auto"/>
              </w:rPr>
            </w:pPr>
          </w:p>
        </w:tc>
        <w:tc>
          <w:tcPr>
            <w:tcW w:w="74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rPr>
              <w:t>S/000</w:t>
            </w:r>
          </w:p>
        </w:tc>
      </w:tr>
      <w:tr>
        <w:trPr>
          <w:trHeight w:val="207"/>
        </w:trPr>
        <w:tc>
          <w:tcPr>
            <w:tcW w:w="2080" w:type="dxa"/>
            <w:vAlign w:val="bottom"/>
          </w:tcPr>
          <w:p>
            <w:pPr>
              <w:spacing w:after="0"/>
              <w:rPr>
                <w:sz w:val="20"/>
                <w:szCs w:val="20"/>
                <w:color w:val="auto"/>
              </w:rPr>
            </w:pPr>
            <w:r>
              <w:rPr>
                <w:rFonts w:ascii="Arial" w:cs="Arial" w:eastAsia="Arial" w:hAnsi="Arial"/>
                <w:sz w:val="10"/>
                <w:szCs w:val="10"/>
                <w:b w:val="1"/>
                <w:bCs w:val="1"/>
                <w:color w:val="auto"/>
              </w:rPr>
              <w:t>Financial assets</w:t>
            </w:r>
          </w:p>
        </w:tc>
        <w:tc>
          <w:tcPr>
            <w:tcW w:w="740" w:type="dxa"/>
            <w:vAlign w:val="bottom"/>
            <w:gridSpan w:val="4"/>
          </w:tcPr>
          <w:p>
            <w:pPr>
              <w:jc w:val="right"/>
              <w:ind w:right="80"/>
              <w:spacing w:after="0"/>
              <w:rPr>
                <w:sz w:val="20"/>
                <w:szCs w:val="20"/>
                <w:color w:val="auto"/>
              </w:rPr>
            </w:pPr>
            <w:r>
              <w:rPr>
                <w:rFonts w:ascii="Arial" w:cs="Arial" w:eastAsia="Arial" w:hAnsi="Arial"/>
                <w:sz w:val="10"/>
                <w:szCs w:val="10"/>
                <w:color w:val="auto"/>
              </w:rPr>
              <w:t>38,552,719</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26,270,643</w:t>
            </w:r>
          </w:p>
        </w:tc>
        <w:tc>
          <w:tcPr>
            <w:tcW w:w="840" w:type="dxa"/>
            <w:vAlign w:val="bottom"/>
            <w:gridSpan w:val="5"/>
          </w:tcPr>
          <w:p>
            <w:pPr>
              <w:jc w:val="right"/>
              <w:ind w:right="63"/>
              <w:spacing w:after="0"/>
              <w:rPr>
                <w:sz w:val="20"/>
                <w:szCs w:val="20"/>
                <w:color w:val="auto"/>
              </w:rPr>
            </w:pPr>
            <w:r>
              <w:rPr>
                <w:rFonts w:ascii="Arial" w:cs="Arial" w:eastAsia="Arial" w:hAnsi="Arial"/>
                <w:sz w:val="10"/>
                <w:szCs w:val="10"/>
                <w:color w:val="auto"/>
              </w:rPr>
              <w:t>60,976,000</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92,329,896</w:t>
            </w:r>
          </w:p>
        </w:tc>
        <w:tc>
          <w:tcPr>
            <w:tcW w:w="860" w:type="dxa"/>
            <w:vAlign w:val="bottom"/>
            <w:gridSpan w:val="5"/>
          </w:tcPr>
          <w:p>
            <w:pPr>
              <w:jc w:val="right"/>
              <w:ind w:right="100"/>
              <w:spacing w:after="0"/>
              <w:rPr>
                <w:sz w:val="20"/>
                <w:szCs w:val="20"/>
                <w:color w:val="auto"/>
              </w:rPr>
            </w:pPr>
            <w:r>
              <w:rPr>
                <w:rFonts w:ascii="Arial" w:cs="Arial" w:eastAsia="Arial" w:hAnsi="Arial"/>
                <w:sz w:val="10"/>
                <w:szCs w:val="10"/>
                <w:color w:val="auto"/>
              </w:rPr>
              <w:t>47,960,945</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266,090,203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63"/>
              <w:spacing w:after="0"/>
              <w:rPr>
                <w:sz w:val="20"/>
                <w:szCs w:val="20"/>
                <w:color w:val="auto"/>
              </w:rPr>
            </w:pPr>
            <w:r>
              <w:rPr>
                <w:rFonts w:ascii="Arial" w:cs="Arial" w:eastAsia="Arial" w:hAnsi="Arial"/>
                <w:sz w:val="10"/>
                <w:szCs w:val="10"/>
                <w:color w:val="auto"/>
              </w:rPr>
              <w:t>51,659,698</w:t>
            </w: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29,779,019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3"/>
              <w:spacing w:after="0"/>
              <w:rPr>
                <w:sz w:val="20"/>
                <w:szCs w:val="20"/>
                <w:color w:val="auto"/>
              </w:rPr>
            </w:pPr>
            <w:r>
              <w:rPr>
                <w:rFonts w:ascii="Arial" w:cs="Arial" w:eastAsia="Arial" w:hAnsi="Arial"/>
                <w:sz w:val="10"/>
                <w:szCs w:val="10"/>
                <w:color w:val="auto"/>
              </w:rPr>
              <w:t>55,988,081</w:t>
            </w:r>
          </w:p>
        </w:tc>
        <w:tc>
          <w:tcPr>
            <w:tcW w:w="680" w:type="dxa"/>
            <w:vAlign w:val="bottom"/>
            <w:gridSpan w:val="3"/>
          </w:tcPr>
          <w:p>
            <w:pPr>
              <w:jc w:val="right"/>
              <w:spacing w:after="0"/>
              <w:rPr>
                <w:sz w:val="20"/>
                <w:szCs w:val="20"/>
                <w:color w:val="auto"/>
              </w:rPr>
            </w:pPr>
            <w:r>
              <w:rPr>
                <w:rFonts w:ascii="Arial" w:cs="Arial" w:eastAsia="Arial" w:hAnsi="Arial"/>
                <w:sz w:val="10"/>
                <w:szCs w:val="10"/>
                <w:color w:val="auto"/>
              </w:rPr>
              <w:t>81,860,492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0"/>
                <w:szCs w:val="10"/>
                <w:color w:val="auto"/>
              </w:rPr>
              <w:t>45,784,016</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265,071,306</w:t>
            </w:r>
          </w:p>
        </w:tc>
        <w:tc>
          <w:tcPr>
            <w:tcW w:w="100" w:type="dxa"/>
            <w:vAlign w:val="bottom"/>
          </w:tcPr>
          <w:p>
            <w:pPr>
              <w:spacing w:after="0"/>
              <w:rPr>
                <w:sz w:val="18"/>
                <w:szCs w:val="18"/>
                <w:color w:val="auto"/>
              </w:rPr>
            </w:pPr>
          </w:p>
        </w:tc>
      </w:tr>
      <w:tr>
        <w:trPr>
          <w:trHeight w:val="197"/>
        </w:trPr>
        <w:tc>
          <w:tcPr>
            <w:tcW w:w="2080" w:type="dxa"/>
            <w:vAlign w:val="bottom"/>
          </w:tcPr>
          <w:p>
            <w:pPr>
              <w:spacing w:after="0"/>
              <w:rPr>
                <w:sz w:val="20"/>
                <w:szCs w:val="20"/>
                <w:color w:val="auto"/>
              </w:rPr>
            </w:pPr>
            <w:r>
              <w:rPr>
                <w:rFonts w:ascii="Arial" w:cs="Arial" w:eastAsia="Arial" w:hAnsi="Arial"/>
                <w:sz w:val="10"/>
                <w:szCs w:val="10"/>
                <w:b w:val="1"/>
                <w:bCs w:val="1"/>
                <w:color w:val="auto"/>
              </w:rPr>
              <w:t>Financial liabilities by type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10"/>
        </w:trPr>
        <w:tc>
          <w:tcPr>
            <w:tcW w:w="2080" w:type="dxa"/>
            <w:vAlign w:val="bottom"/>
          </w:tcPr>
          <w:p>
            <w:pPr>
              <w:spacing w:after="0" w:line="110" w:lineRule="exact"/>
              <w:rPr>
                <w:sz w:val="20"/>
                <w:szCs w:val="20"/>
                <w:color w:val="auto"/>
              </w:rPr>
            </w:pPr>
            <w:r>
              <w:rPr>
                <w:rFonts w:ascii="Arial" w:cs="Arial" w:eastAsia="Arial" w:hAnsi="Arial"/>
                <w:sz w:val="10"/>
                <w:szCs w:val="10"/>
                <w:color w:val="auto"/>
              </w:rPr>
              <w:t>Deposits and obligations</w:t>
            </w:r>
          </w:p>
        </w:tc>
        <w:tc>
          <w:tcPr>
            <w:tcW w:w="740" w:type="dxa"/>
            <w:vAlign w:val="bottom"/>
            <w:gridSpan w:val="4"/>
          </w:tcPr>
          <w:p>
            <w:pPr>
              <w:jc w:val="right"/>
              <w:ind w:right="80"/>
              <w:spacing w:after="0" w:line="110" w:lineRule="exact"/>
              <w:rPr>
                <w:sz w:val="20"/>
                <w:szCs w:val="20"/>
                <w:color w:val="auto"/>
              </w:rPr>
            </w:pPr>
            <w:r>
              <w:rPr>
                <w:rFonts w:ascii="Arial" w:cs="Arial" w:eastAsia="Arial" w:hAnsi="Arial"/>
                <w:sz w:val="10"/>
                <w:szCs w:val="10"/>
                <w:color w:val="auto"/>
              </w:rPr>
              <w:t>42,289,107</w:t>
            </w:r>
          </w:p>
        </w:tc>
        <w:tc>
          <w:tcPr>
            <w:tcW w:w="80" w:type="dxa"/>
            <w:vAlign w:val="bottom"/>
          </w:tcPr>
          <w:p>
            <w:pPr>
              <w:spacing w:after="0"/>
              <w:rPr>
                <w:sz w:val="9"/>
                <w:szCs w:val="9"/>
                <w:color w:val="auto"/>
              </w:rPr>
            </w:pPr>
          </w:p>
        </w:tc>
        <w:tc>
          <w:tcPr>
            <w:tcW w:w="60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18,369,890</w:t>
            </w:r>
          </w:p>
        </w:tc>
        <w:tc>
          <w:tcPr>
            <w:tcW w:w="840" w:type="dxa"/>
            <w:vAlign w:val="bottom"/>
            <w:gridSpan w:val="5"/>
          </w:tcPr>
          <w:p>
            <w:pPr>
              <w:jc w:val="right"/>
              <w:ind w:right="63"/>
              <w:spacing w:after="0" w:line="110" w:lineRule="exact"/>
              <w:rPr>
                <w:sz w:val="20"/>
                <w:szCs w:val="20"/>
                <w:color w:val="auto"/>
              </w:rPr>
            </w:pPr>
            <w:r>
              <w:rPr>
                <w:rFonts w:ascii="Arial" w:cs="Arial" w:eastAsia="Arial" w:hAnsi="Arial"/>
                <w:sz w:val="10"/>
                <w:szCs w:val="10"/>
                <w:color w:val="auto"/>
              </w:rPr>
              <w:t>26,491,876</w:t>
            </w:r>
          </w:p>
        </w:tc>
        <w:tc>
          <w:tcPr>
            <w:tcW w:w="80" w:type="dxa"/>
            <w:vAlign w:val="bottom"/>
          </w:tcPr>
          <w:p>
            <w:pPr>
              <w:spacing w:after="0"/>
              <w:rPr>
                <w:sz w:val="9"/>
                <w:szCs w:val="9"/>
                <w:color w:val="auto"/>
              </w:rPr>
            </w:pPr>
          </w:p>
        </w:tc>
        <w:tc>
          <w:tcPr>
            <w:tcW w:w="58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55,511,772</w:t>
            </w:r>
          </w:p>
        </w:tc>
        <w:tc>
          <w:tcPr>
            <w:tcW w:w="860" w:type="dxa"/>
            <w:vAlign w:val="bottom"/>
            <w:gridSpan w:val="5"/>
          </w:tcPr>
          <w:p>
            <w:pPr>
              <w:jc w:val="right"/>
              <w:ind w:right="100"/>
              <w:spacing w:after="0" w:line="110" w:lineRule="exact"/>
              <w:rPr>
                <w:sz w:val="20"/>
                <w:szCs w:val="20"/>
                <w:color w:val="auto"/>
              </w:rPr>
            </w:pPr>
            <w:r>
              <w:rPr>
                <w:rFonts w:ascii="Arial" w:cs="Arial" w:eastAsia="Arial" w:hAnsi="Arial"/>
                <w:sz w:val="10"/>
                <w:szCs w:val="10"/>
                <w:color w:val="auto"/>
              </w:rPr>
              <w:t>9,275,728</w:t>
            </w:r>
          </w:p>
        </w:tc>
        <w:tc>
          <w:tcPr>
            <w:tcW w:w="80" w:type="dxa"/>
            <w:vAlign w:val="bottom"/>
          </w:tcPr>
          <w:p>
            <w:pPr>
              <w:spacing w:after="0"/>
              <w:rPr>
                <w:sz w:val="9"/>
                <w:szCs w:val="9"/>
                <w:color w:val="auto"/>
              </w:rPr>
            </w:pPr>
          </w:p>
        </w:tc>
        <w:tc>
          <w:tcPr>
            <w:tcW w:w="64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151,938,373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right"/>
              <w:ind w:right="63"/>
              <w:spacing w:after="0" w:line="110" w:lineRule="exact"/>
              <w:rPr>
                <w:sz w:val="20"/>
                <w:szCs w:val="20"/>
                <w:color w:val="auto"/>
              </w:rPr>
            </w:pPr>
            <w:r>
              <w:rPr>
                <w:rFonts w:ascii="Arial" w:cs="Arial" w:eastAsia="Arial" w:hAnsi="Arial"/>
                <w:sz w:val="10"/>
                <w:szCs w:val="10"/>
                <w:color w:val="auto"/>
              </w:rPr>
              <w:t>37,822,104</w:t>
            </w:r>
          </w:p>
        </w:tc>
        <w:tc>
          <w:tcPr>
            <w:tcW w:w="660" w:type="dxa"/>
            <w:vAlign w:val="bottom"/>
            <w:gridSpan w:val="3"/>
          </w:tcPr>
          <w:p>
            <w:pPr>
              <w:jc w:val="right"/>
              <w:spacing w:after="0" w:line="110" w:lineRule="exact"/>
              <w:rPr>
                <w:sz w:val="20"/>
                <w:szCs w:val="20"/>
                <w:color w:val="auto"/>
              </w:rPr>
            </w:pPr>
            <w:r>
              <w:rPr>
                <w:rFonts w:ascii="Arial" w:cs="Arial" w:eastAsia="Arial" w:hAnsi="Arial"/>
                <w:sz w:val="10"/>
                <w:szCs w:val="10"/>
                <w:color w:val="auto"/>
              </w:rPr>
              <w:t>13,802,039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tcPr>
          <w:p>
            <w:pPr>
              <w:jc w:val="right"/>
              <w:ind w:right="43"/>
              <w:spacing w:after="0" w:line="110" w:lineRule="exact"/>
              <w:rPr>
                <w:sz w:val="20"/>
                <w:szCs w:val="20"/>
                <w:color w:val="auto"/>
              </w:rPr>
            </w:pPr>
            <w:r>
              <w:rPr>
                <w:rFonts w:ascii="Arial" w:cs="Arial" w:eastAsia="Arial" w:hAnsi="Arial"/>
                <w:sz w:val="10"/>
                <w:szCs w:val="10"/>
                <w:color w:val="auto"/>
              </w:rPr>
              <w:t>25,833,124</w:t>
            </w:r>
          </w:p>
        </w:tc>
        <w:tc>
          <w:tcPr>
            <w:tcW w:w="760" w:type="dxa"/>
            <w:vAlign w:val="bottom"/>
            <w:gridSpan w:val="4"/>
          </w:tcPr>
          <w:p>
            <w:pPr>
              <w:jc w:val="right"/>
              <w:ind w:right="80"/>
              <w:spacing w:after="0" w:line="110" w:lineRule="exact"/>
              <w:rPr>
                <w:sz w:val="20"/>
                <w:szCs w:val="20"/>
                <w:color w:val="auto"/>
              </w:rPr>
            </w:pPr>
            <w:r>
              <w:rPr>
                <w:rFonts w:ascii="Arial" w:cs="Arial" w:eastAsia="Arial" w:hAnsi="Arial"/>
                <w:sz w:val="10"/>
                <w:szCs w:val="10"/>
                <w:color w:val="auto"/>
              </w:rPr>
              <w:t>64,047,112</w:t>
            </w:r>
          </w:p>
        </w:tc>
        <w:tc>
          <w:tcPr>
            <w:tcW w:w="100" w:type="dxa"/>
            <w:vAlign w:val="bottom"/>
          </w:tcPr>
          <w:p>
            <w:pPr>
              <w:spacing w:after="0"/>
              <w:rPr>
                <w:sz w:val="9"/>
                <w:szCs w:val="9"/>
                <w:color w:val="auto"/>
              </w:rPr>
            </w:pPr>
          </w:p>
        </w:tc>
        <w:tc>
          <w:tcPr>
            <w:tcW w:w="660" w:type="dxa"/>
            <w:vAlign w:val="bottom"/>
            <w:gridSpan w:val="3"/>
          </w:tcPr>
          <w:p>
            <w:pPr>
              <w:jc w:val="right"/>
              <w:ind w:right="80"/>
              <w:spacing w:after="0" w:line="110" w:lineRule="exact"/>
              <w:rPr>
                <w:sz w:val="20"/>
                <w:szCs w:val="20"/>
                <w:color w:val="auto"/>
              </w:rPr>
            </w:pPr>
            <w:r>
              <w:rPr>
                <w:rFonts w:ascii="Arial" w:cs="Arial" w:eastAsia="Arial" w:hAnsi="Arial"/>
                <w:sz w:val="10"/>
                <w:szCs w:val="10"/>
                <w:color w:val="auto"/>
              </w:rPr>
              <w:t>8,546,334</w:t>
            </w:r>
          </w:p>
        </w:tc>
        <w:tc>
          <w:tcPr>
            <w:tcW w:w="80" w:type="dxa"/>
            <w:vAlign w:val="bottom"/>
          </w:tcPr>
          <w:p>
            <w:pPr>
              <w:spacing w:after="0"/>
              <w:rPr>
                <w:sz w:val="9"/>
                <w:szCs w:val="9"/>
                <w:color w:val="auto"/>
              </w:rPr>
            </w:pPr>
          </w:p>
        </w:tc>
        <w:tc>
          <w:tcPr>
            <w:tcW w:w="64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150,050,713</w:t>
            </w:r>
          </w:p>
        </w:tc>
        <w:tc>
          <w:tcPr>
            <w:tcW w:w="100" w:type="dxa"/>
            <w:vAlign w:val="bottom"/>
          </w:tcPr>
          <w:p>
            <w:pPr>
              <w:spacing w:after="0"/>
              <w:rPr>
                <w:sz w:val="9"/>
                <w:szCs w:val="9"/>
                <w:color w:val="auto"/>
              </w:rPr>
            </w:pPr>
          </w:p>
        </w:tc>
      </w:tr>
      <w:tr>
        <w:trPr>
          <w:trHeight w:val="110"/>
        </w:trPr>
        <w:tc>
          <w:tcPr>
            <w:tcW w:w="2080" w:type="dxa"/>
            <w:vAlign w:val="bottom"/>
          </w:tcPr>
          <w:p>
            <w:pPr>
              <w:spacing w:after="0" w:line="110" w:lineRule="exact"/>
              <w:rPr>
                <w:sz w:val="20"/>
                <w:szCs w:val="20"/>
                <w:color w:val="auto"/>
              </w:rPr>
            </w:pPr>
            <w:r>
              <w:rPr>
                <w:rFonts w:ascii="Arial" w:cs="Arial" w:eastAsia="Arial" w:hAnsi="Arial"/>
                <w:sz w:val="10"/>
                <w:szCs w:val="10"/>
                <w:color w:val="auto"/>
              </w:rPr>
              <w:t>Payables from reverse purchase agreements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0"/>
        </w:trPr>
        <w:tc>
          <w:tcPr>
            <w:tcW w:w="2080" w:type="dxa"/>
            <w:vAlign w:val="bottom"/>
          </w:tcPr>
          <w:p>
            <w:pPr>
              <w:ind w:left="140"/>
              <w:spacing w:after="0" w:line="110" w:lineRule="exact"/>
              <w:rPr>
                <w:sz w:val="20"/>
                <w:szCs w:val="20"/>
                <w:color w:val="auto"/>
              </w:rPr>
            </w:pPr>
            <w:r>
              <w:rPr>
                <w:rFonts w:ascii="Arial" w:cs="Arial" w:eastAsia="Arial" w:hAnsi="Arial"/>
                <w:sz w:val="10"/>
                <w:szCs w:val="10"/>
                <w:color w:val="auto"/>
                <w:w w:val="99"/>
              </w:rPr>
              <w:t>and security lendings and due to banks and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0"/>
        </w:trPr>
        <w:tc>
          <w:tcPr>
            <w:tcW w:w="2080" w:type="dxa"/>
            <w:vAlign w:val="bottom"/>
          </w:tcPr>
          <w:p>
            <w:pPr>
              <w:ind w:left="140"/>
              <w:spacing w:after="0" w:line="110" w:lineRule="exact"/>
              <w:rPr>
                <w:sz w:val="20"/>
                <w:szCs w:val="20"/>
                <w:color w:val="auto"/>
              </w:rPr>
            </w:pPr>
            <w:r>
              <w:rPr>
                <w:rFonts w:ascii="Arial" w:cs="Arial" w:eastAsia="Arial" w:hAnsi="Arial"/>
                <w:sz w:val="10"/>
                <w:szCs w:val="10"/>
                <w:color w:val="auto"/>
              </w:rPr>
              <w:t>correspondents</w:t>
            </w:r>
          </w:p>
        </w:tc>
        <w:tc>
          <w:tcPr>
            <w:tcW w:w="740" w:type="dxa"/>
            <w:vAlign w:val="bottom"/>
            <w:gridSpan w:val="4"/>
          </w:tcPr>
          <w:p>
            <w:pPr>
              <w:jc w:val="right"/>
              <w:ind w:right="80"/>
              <w:spacing w:after="0" w:line="110" w:lineRule="exact"/>
              <w:rPr>
                <w:sz w:val="20"/>
                <w:szCs w:val="20"/>
                <w:color w:val="auto"/>
              </w:rPr>
            </w:pPr>
            <w:r>
              <w:rPr>
                <w:rFonts w:ascii="Arial" w:cs="Arial" w:eastAsia="Arial" w:hAnsi="Arial"/>
                <w:sz w:val="10"/>
                <w:szCs w:val="10"/>
                <w:color w:val="auto"/>
              </w:rPr>
              <w:t>6,048,623</w:t>
            </w:r>
          </w:p>
        </w:tc>
        <w:tc>
          <w:tcPr>
            <w:tcW w:w="80" w:type="dxa"/>
            <w:vAlign w:val="bottom"/>
          </w:tcPr>
          <w:p>
            <w:pPr>
              <w:spacing w:after="0"/>
              <w:rPr>
                <w:sz w:val="9"/>
                <w:szCs w:val="9"/>
                <w:color w:val="auto"/>
              </w:rPr>
            </w:pPr>
          </w:p>
        </w:tc>
        <w:tc>
          <w:tcPr>
            <w:tcW w:w="60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2,581,452</w:t>
            </w:r>
          </w:p>
        </w:tc>
        <w:tc>
          <w:tcPr>
            <w:tcW w:w="840" w:type="dxa"/>
            <w:vAlign w:val="bottom"/>
            <w:gridSpan w:val="5"/>
          </w:tcPr>
          <w:p>
            <w:pPr>
              <w:jc w:val="right"/>
              <w:ind w:right="63"/>
              <w:spacing w:after="0" w:line="110" w:lineRule="exact"/>
              <w:rPr>
                <w:sz w:val="20"/>
                <w:szCs w:val="20"/>
                <w:color w:val="auto"/>
              </w:rPr>
            </w:pPr>
            <w:r>
              <w:rPr>
                <w:rFonts w:ascii="Arial" w:cs="Arial" w:eastAsia="Arial" w:hAnsi="Arial"/>
                <w:sz w:val="10"/>
                <w:szCs w:val="10"/>
                <w:color w:val="auto"/>
              </w:rPr>
              <w:t>5,994,505</w:t>
            </w:r>
          </w:p>
        </w:tc>
        <w:tc>
          <w:tcPr>
            <w:tcW w:w="80" w:type="dxa"/>
            <w:vAlign w:val="bottom"/>
          </w:tcPr>
          <w:p>
            <w:pPr>
              <w:spacing w:after="0"/>
              <w:rPr>
                <w:sz w:val="9"/>
                <w:szCs w:val="9"/>
                <w:color w:val="auto"/>
              </w:rPr>
            </w:pPr>
          </w:p>
        </w:tc>
        <w:tc>
          <w:tcPr>
            <w:tcW w:w="58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5,749,977</w:t>
            </w:r>
          </w:p>
        </w:tc>
        <w:tc>
          <w:tcPr>
            <w:tcW w:w="860" w:type="dxa"/>
            <w:vAlign w:val="bottom"/>
            <w:gridSpan w:val="5"/>
          </w:tcPr>
          <w:p>
            <w:pPr>
              <w:jc w:val="right"/>
              <w:ind w:right="100"/>
              <w:spacing w:after="0" w:line="110" w:lineRule="exact"/>
              <w:rPr>
                <w:sz w:val="20"/>
                <w:szCs w:val="20"/>
                <w:color w:val="auto"/>
              </w:rPr>
            </w:pPr>
            <w:r>
              <w:rPr>
                <w:rFonts w:ascii="Arial" w:cs="Arial" w:eastAsia="Arial" w:hAnsi="Arial"/>
                <w:sz w:val="10"/>
                <w:szCs w:val="10"/>
                <w:color w:val="auto"/>
              </w:rPr>
              <w:t>3,901,739</w:t>
            </w:r>
          </w:p>
        </w:tc>
        <w:tc>
          <w:tcPr>
            <w:tcW w:w="80" w:type="dxa"/>
            <w:vAlign w:val="bottom"/>
          </w:tcPr>
          <w:p>
            <w:pPr>
              <w:spacing w:after="0"/>
              <w:rPr>
                <w:sz w:val="9"/>
                <w:szCs w:val="9"/>
                <w:color w:val="auto"/>
              </w:rPr>
            </w:pPr>
          </w:p>
        </w:tc>
        <w:tc>
          <w:tcPr>
            <w:tcW w:w="64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24,276,296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right"/>
              <w:ind w:right="63"/>
              <w:spacing w:after="0" w:line="110" w:lineRule="exact"/>
              <w:rPr>
                <w:sz w:val="20"/>
                <w:szCs w:val="20"/>
                <w:color w:val="auto"/>
              </w:rPr>
            </w:pPr>
            <w:r>
              <w:rPr>
                <w:rFonts w:ascii="Arial" w:cs="Arial" w:eastAsia="Arial" w:hAnsi="Arial"/>
                <w:sz w:val="10"/>
                <w:szCs w:val="10"/>
                <w:color w:val="auto"/>
              </w:rPr>
              <w:t>4,359,993</w:t>
            </w:r>
          </w:p>
        </w:tc>
        <w:tc>
          <w:tcPr>
            <w:tcW w:w="760" w:type="dxa"/>
            <w:vAlign w:val="bottom"/>
            <w:gridSpan w:val="4"/>
          </w:tcPr>
          <w:p>
            <w:pPr>
              <w:jc w:val="right"/>
              <w:ind w:right="63"/>
              <w:spacing w:after="0" w:line="110" w:lineRule="exact"/>
              <w:rPr>
                <w:sz w:val="20"/>
                <w:szCs w:val="20"/>
                <w:color w:val="auto"/>
              </w:rPr>
            </w:pPr>
            <w:r>
              <w:rPr>
                <w:rFonts w:ascii="Arial" w:cs="Arial" w:eastAsia="Arial" w:hAnsi="Arial"/>
                <w:sz w:val="10"/>
                <w:szCs w:val="10"/>
                <w:color w:val="auto"/>
              </w:rPr>
              <w:t>2,368,114</w:t>
            </w:r>
          </w:p>
        </w:tc>
        <w:tc>
          <w:tcPr>
            <w:tcW w:w="80" w:type="dxa"/>
            <w:vAlign w:val="bottom"/>
          </w:tcPr>
          <w:p>
            <w:pPr>
              <w:spacing w:after="0"/>
              <w:rPr>
                <w:sz w:val="9"/>
                <w:szCs w:val="9"/>
                <w:color w:val="auto"/>
              </w:rPr>
            </w:pPr>
          </w:p>
        </w:tc>
        <w:tc>
          <w:tcPr>
            <w:tcW w:w="660" w:type="dxa"/>
            <w:vAlign w:val="bottom"/>
            <w:gridSpan w:val="3"/>
          </w:tcPr>
          <w:p>
            <w:pPr>
              <w:jc w:val="right"/>
              <w:ind w:right="43"/>
              <w:spacing w:after="0" w:line="110" w:lineRule="exact"/>
              <w:rPr>
                <w:sz w:val="20"/>
                <w:szCs w:val="20"/>
                <w:color w:val="auto"/>
              </w:rPr>
            </w:pPr>
            <w:r>
              <w:rPr>
                <w:rFonts w:ascii="Arial" w:cs="Arial" w:eastAsia="Arial" w:hAnsi="Arial"/>
                <w:sz w:val="10"/>
                <w:szCs w:val="10"/>
                <w:color w:val="auto"/>
              </w:rPr>
              <w:t>6,525,912</w:t>
            </w:r>
          </w:p>
        </w:tc>
        <w:tc>
          <w:tcPr>
            <w:tcW w:w="760" w:type="dxa"/>
            <w:vAlign w:val="bottom"/>
            <w:gridSpan w:val="4"/>
          </w:tcPr>
          <w:p>
            <w:pPr>
              <w:jc w:val="right"/>
              <w:ind w:right="80"/>
              <w:spacing w:after="0" w:line="110" w:lineRule="exact"/>
              <w:rPr>
                <w:sz w:val="20"/>
                <w:szCs w:val="20"/>
                <w:color w:val="auto"/>
              </w:rPr>
            </w:pPr>
            <w:r>
              <w:rPr>
                <w:rFonts w:ascii="Arial" w:cs="Arial" w:eastAsia="Arial" w:hAnsi="Arial"/>
                <w:sz w:val="10"/>
                <w:szCs w:val="10"/>
                <w:color w:val="auto"/>
              </w:rPr>
              <w:t>7,913,422</w:t>
            </w:r>
          </w:p>
        </w:tc>
        <w:tc>
          <w:tcPr>
            <w:tcW w:w="100" w:type="dxa"/>
            <w:vAlign w:val="bottom"/>
          </w:tcPr>
          <w:p>
            <w:pPr>
              <w:spacing w:after="0"/>
              <w:rPr>
                <w:sz w:val="9"/>
                <w:szCs w:val="9"/>
                <w:color w:val="auto"/>
              </w:rPr>
            </w:pPr>
          </w:p>
        </w:tc>
        <w:tc>
          <w:tcPr>
            <w:tcW w:w="660" w:type="dxa"/>
            <w:vAlign w:val="bottom"/>
            <w:gridSpan w:val="3"/>
          </w:tcPr>
          <w:p>
            <w:pPr>
              <w:jc w:val="right"/>
              <w:ind w:right="80"/>
              <w:spacing w:after="0" w:line="110" w:lineRule="exact"/>
              <w:rPr>
                <w:sz w:val="20"/>
                <w:szCs w:val="20"/>
                <w:color w:val="auto"/>
              </w:rPr>
            </w:pPr>
            <w:r>
              <w:rPr>
                <w:rFonts w:ascii="Arial" w:cs="Arial" w:eastAsia="Arial" w:hAnsi="Arial"/>
                <w:sz w:val="10"/>
                <w:szCs w:val="10"/>
                <w:color w:val="auto"/>
              </w:rPr>
              <w:t>10,387,277</w:t>
            </w:r>
          </w:p>
        </w:tc>
        <w:tc>
          <w:tcPr>
            <w:tcW w:w="80" w:type="dxa"/>
            <w:vAlign w:val="bottom"/>
          </w:tcPr>
          <w:p>
            <w:pPr>
              <w:spacing w:after="0"/>
              <w:rPr>
                <w:sz w:val="9"/>
                <w:szCs w:val="9"/>
                <w:color w:val="auto"/>
              </w:rPr>
            </w:pPr>
          </w:p>
        </w:tc>
        <w:tc>
          <w:tcPr>
            <w:tcW w:w="740" w:type="dxa"/>
            <w:vAlign w:val="bottom"/>
            <w:gridSpan w:val="3"/>
          </w:tcPr>
          <w:p>
            <w:pPr>
              <w:jc w:val="right"/>
              <w:ind w:right="100"/>
              <w:spacing w:after="0" w:line="110" w:lineRule="exact"/>
              <w:rPr>
                <w:sz w:val="20"/>
                <w:szCs w:val="20"/>
                <w:color w:val="auto"/>
              </w:rPr>
            </w:pPr>
            <w:r>
              <w:rPr>
                <w:rFonts w:ascii="Arial" w:cs="Arial" w:eastAsia="Arial" w:hAnsi="Arial"/>
                <w:sz w:val="10"/>
                <w:szCs w:val="10"/>
                <w:color w:val="auto"/>
              </w:rPr>
              <w:t>31,554,718</w:t>
            </w:r>
          </w:p>
        </w:tc>
      </w:tr>
      <w:tr>
        <w:trPr>
          <w:trHeight w:val="110"/>
        </w:trPr>
        <w:tc>
          <w:tcPr>
            <w:tcW w:w="2080" w:type="dxa"/>
            <w:vAlign w:val="bottom"/>
          </w:tcPr>
          <w:p>
            <w:pPr>
              <w:spacing w:after="0" w:line="110" w:lineRule="exact"/>
              <w:rPr>
                <w:sz w:val="20"/>
                <w:szCs w:val="20"/>
                <w:color w:val="auto"/>
              </w:rPr>
            </w:pPr>
            <w:r>
              <w:rPr>
                <w:rFonts w:ascii="Arial" w:cs="Arial" w:eastAsia="Arial" w:hAnsi="Arial"/>
                <w:sz w:val="10"/>
                <w:szCs w:val="10"/>
                <w:color w:val="auto"/>
              </w:rPr>
              <w:t>Financial liabilities designated at fair value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0"/>
        </w:trPr>
        <w:tc>
          <w:tcPr>
            <w:tcW w:w="2080" w:type="dxa"/>
            <w:vAlign w:val="bottom"/>
          </w:tcPr>
          <w:p>
            <w:pPr>
              <w:ind w:left="140"/>
              <w:spacing w:after="0" w:line="110" w:lineRule="exact"/>
              <w:rPr>
                <w:sz w:val="20"/>
                <w:szCs w:val="20"/>
                <w:color w:val="auto"/>
              </w:rPr>
            </w:pPr>
            <w:r>
              <w:rPr>
                <w:rFonts w:ascii="Arial" w:cs="Arial" w:eastAsia="Arial" w:hAnsi="Arial"/>
                <w:sz w:val="10"/>
                <w:szCs w:val="10"/>
                <w:color w:val="auto"/>
              </w:rPr>
              <w:t>through profit or loss</w:t>
            </w:r>
          </w:p>
        </w:tc>
        <w:tc>
          <w:tcPr>
            <w:tcW w:w="740" w:type="dxa"/>
            <w:vAlign w:val="bottom"/>
            <w:gridSpan w:val="4"/>
          </w:tcPr>
          <w:p>
            <w:pPr>
              <w:jc w:val="right"/>
              <w:ind w:right="80"/>
              <w:spacing w:after="0" w:line="110" w:lineRule="exact"/>
              <w:rPr>
                <w:sz w:val="20"/>
                <w:szCs w:val="20"/>
                <w:color w:val="auto"/>
              </w:rPr>
            </w:pPr>
            <w:r>
              <w:rPr>
                <w:rFonts w:ascii="Arial" w:cs="Arial" w:eastAsia="Arial" w:hAnsi="Arial"/>
                <w:sz w:val="10"/>
                <w:szCs w:val="10"/>
                <w:color w:val="auto"/>
              </w:rPr>
              <w:t>641,915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720" w:type="dxa"/>
            <w:vAlign w:val="bottom"/>
            <w:gridSpan w:val="3"/>
          </w:tcPr>
          <w:p>
            <w:pPr>
              <w:jc w:val="right"/>
              <w:ind w:right="80"/>
              <w:spacing w:after="0" w:line="110" w:lineRule="exact"/>
              <w:rPr>
                <w:sz w:val="20"/>
                <w:szCs w:val="20"/>
                <w:color w:val="auto"/>
              </w:rPr>
            </w:pPr>
            <w:r>
              <w:rPr>
                <w:rFonts w:ascii="Arial" w:cs="Arial" w:eastAsia="Arial" w:hAnsi="Arial"/>
                <w:sz w:val="10"/>
                <w:szCs w:val="10"/>
                <w:color w:val="auto"/>
              </w:rPr>
              <w:t>641,915</w:t>
            </w:r>
          </w:p>
        </w:tc>
        <w:tc>
          <w:tcPr>
            <w:tcW w:w="80" w:type="dxa"/>
            <w:vAlign w:val="bottom"/>
          </w:tcPr>
          <w:p>
            <w:pPr>
              <w:spacing w:after="0"/>
              <w:rPr>
                <w:sz w:val="9"/>
                <w:szCs w:val="9"/>
                <w:color w:val="auto"/>
              </w:rPr>
            </w:pPr>
          </w:p>
        </w:tc>
        <w:tc>
          <w:tcPr>
            <w:tcW w:w="680" w:type="dxa"/>
            <w:vAlign w:val="bottom"/>
            <w:gridSpan w:val="3"/>
          </w:tcPr>
          <w:p>
            <w:pPr>
              <w:jc w:val="right"/>
              <w:ind w:right="63"/>
              <w:spacing w:after="0" w:line="110" w:lineRule="exact"/>
              <w:rPr>
                <w:sz w:val="20"/>
                <w:szCs w:val="20"/>
                <w:color w:val="auto"/>
              </w:rPr>
            </w:pPr>
            <w:r>
              <w:rPr>
                <w:rFonts w:ascii="Arial" w:cs="Arial" w:eastAsia="Arial" w:hAnsi="Arial"/>
                <w:sz w:val="10"/>
                <w:szCs w:val="10"/>
                <w:color w:val="auto"/>
              </w:rPr>
              <w:t>191,010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tcPr>
          <w:p>
            <w:pPr>
              <w:jc w:val="right"/>
              <w:ind w:right="43"/>
              <w:spacing w:after="0" w:line="110"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right"/>
              <w:ind w:right="180"/>
              <w:spacing w:after="0" w:line="110"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3"/>
          </w:tcPr>
          <w:p>
            <w:pPr>
              <w:jc w:val="right"/>
              <w:ind w:right="160"/>
              <w:spacing w:after="0" w:line="110" w:lineRule="exact"/>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100"/>
              <w:spacing w:after="0" w:line="110" w:lineRule="exact"/>
              <w:rPr>
                <w:sz w:val="20"/>
                <w:szCs w:val="20"/>
                <w:color w:val="auto"/>
              </w:rPr>
            </w:pPr>
            <w:r>
              <w:rPr>
                <w:rFonts w:ascii="Arial" w:cs="Arial" w:eastAsia="Arial" w:hAnsi="Arial"/>
                <w:sz w:val="10"/>
                <w:szCs w:val="10"/>
                <w:color w:val="auto"/>
              </w:rPr>
              <w:t>191,010</w:t>
            </w:r>
          </w:p>
        </w:tc>
      </w:tr>
      <w:tr>
        <w:trPr>
          <w:trHeight w:val="110"/>
        </w:trPr>
        <w:tc>
          <w:tcPr>
            <w:tcW w:w="2080" w:type="dxa"/>
            <w:vAlign w:val="bottom"/>
          </w:tcPr>
          <w:p>
            <w:pPr>
              <w:spacing w:after="0" w:line="110" w:lineRule="exact"/>
              <w:rPr>
                <w:sz w:val="20"/>
                <w:szCs w:val="20"/>
                <w:color w:val="auto"/>
              </w:rPr>
            </w:pPr>
            <w:r>
              <w:rPr>
                <w:rFonts w:ascii="Arial" w:cs="Arial" w:eastAsia="Arial" w:hAnsi="Arial"/>
                <w:sz w:val="10"/>
                <w:szCs w:val="10"/>
                <w:color w:val="auto"/>
              </w:rPr>
              <w:t>Bonds and notes issued</w:t>
            </w:r>
          </w:p>
        </w:tc>
        <w:tc>
          <w:tcPr>
            <w:tcW w:w="740" w:type="dxa"/>
            <w:vAlign w:val="bottom"/>
            <w:gridSpan w:val="4"/>
          </w:tcPr>
          <w:p>
            <w:pPr>
              <w:jc w:val="right"/>
              <w:ind w:right="80"/>
              <w:spacing w:after="0" w:line="110" w:lineRule="exact"/>
              <w:rPr>
                <w:sz w:val="20"/>
                <w:szCs w:val="20"/>
                <w:color w:val="auto"/>
              </w:rPr>
            </w:pPr>
            <w:r>
              <w:rPr>
                <w:rFonts w:ascii="Arial" w:cs="Arial" w:eastAsia="Arial" w:hAnsi="Arial"/>
                <w:sz w:val="10"/>
                <w:szCs w:val="10"/>
                <w:color w:val="auto"/>
              </w:rPr>
              <w:t>214,609</w:t>
            </w:r>
          </w:p>
        </w:tc>
        <w:tc>
          <w:tcPr>
            <w:tcW w:w="80" w:type="dxa"/>
            <w:vAlign w:val="bottom"/>
          </w:tcPr>
          <w:p>
            <w:pPr>
              <w:spacing w:after="0"/>
              <w:rPr>
                <w:sz w:val="9"/>
                <w:szCs w:val="9"/>
                <w:color w:val="auto"/>
              </w:rPr>
            </w:pPr>
          </w:p>
        </w:tc>
        <w:tc>
          <w:tcPr>
            <w:tcW w:w="60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188,158</w:t>
            </w:r>
          </w:p>
        </w:tc>
        <w:tc>
          <w:tcPr>
            <w:tcW w:w="840" w:type="dxa"/>
            <w:vAlign w:val="bottom"/>
            <w:gridSpan w:val="5"/>
          </w:tcPr>
          <w:p>
            <w:pPr>
              <w:jc w:val="right"/>
              <w:ind w:right="63"/>
              <w:spacing w:after="0" w:line="110" w:lineRule="exact"/>
              <w:rPr>
                <w:sz w:val="20"/>
                <w:szCs w:val="20"/>
                <w:color w:val="auto"/>
              </w:rPr>
            </w:pPr>
            <w:r>
              <w:rPr>
                <w:rFonts w:ascii="Arial" w:cs="Arial" w:eastAsia="Arial" w:hAnsi="Arial"/>
                <w:sz w:val="10"/>
                <w:szCs w:val="10"/>
                <w:color w:val="auto"/>
              </w:rPr>
              <w:t>5,624,264</w:t>
            </w:r>
          </w:p>
        </w:tc>
        <w:tc>
          <w:tcPr>
            <w:tcW w:w="80" w:type="dxa"/>
            <w:vAlign w:val="bottom"/>
          </w:tcPr>
          <w:p>
            <w:pPr>
              <w:spacing w:after="0"/>
              <w:rPr>
                <w:sz w:val="9"/>
                <w:szCs w:val="9"/>
                <w:color w:val="auto"/>
              </w:rPr>
            </w:pPr>
          </w:p>
        </w:tc>
        <w:tc>
          <w:tcPr>
            <w:tcW w:w="58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7,492,224</w:t>
            </w:r>
          </w:p>
        </w:tc>
        <w:tc>
          <w:tcPr>
            <w:tcW w:w="860" w:type="dxa"/>
            <w:vAlign w:val="bottom"/>
            <w:gridSpan w:val="5"/>
          </w:tcPr>
          <w:p>
            <w:pPr>
              <w:jc w:val="right"/>
              <w:ind w:right="100"/>
              <w:spacing w:after="0" w:line="110" w:lineRule="exact"/>
              <w:rPr>
                <w:sz w:val="20"/>
                <w:szCs w:val="20"/>
                <w:color w:val="auto"/>
              </w:rPr>
            </w:pPr>
            <w:r>
              <w:rPr>
                <w:rFonts w:ascii="Arial" w:cs="Arial" w:eastAsia="Arial" w:hAnsi="Arial"/>
                <w:sz w:val="10"/>
                <w:szCs w:val="10"/>
                <w:color w:val="auto"/>
              </w:rPr>
              <w:t>579,266</w:t>
            </w:r>
          </w:p>
        </w:tc>
        <w:tc>
          <w:tcPr>
            <w:tcW w:w="80" w:type="dxa"/>
            <w:vAlign w:val="bottom"/>
          </w:tcPr>
          <w:p>
            <w:pPr>
              <w:spacing w:after="0"/>
              <w:rPr>
                <w:sz w:val="9"/>
                <w:szCs w:val="9"/>
                <w:color w:val="auto"/>
              </w:rPr>
            </w:pPr>
          </w:p>
        </w:tc>
        <w:tc>
          <w:tcPr>
            <w:tcW w:w="64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14,098,521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right"/>
              <w:ind w:right="63"/>
              <w:spacing w:after="0" w:line="110" w:lineRule="exact"/>
              <w:rPr>
                <w:sz w:val="20"/>
                <w:szCs w:val="20"/>
                <w:color w:val="auto"/>
              </w:rPr>
            </w:pPr>
            <w:r>
              <w:rPr>
                <w:rFonts w:ascii="Arial" w:cs="Arial" w:eastAsia="Arial" w:hAnsi="Arial"/>
                <w:sz w:val="10"/>
                <w:szCs w:val="10"/>
                <w:color w:val="auto"/>
              </w:rPr>
              <w:t>217,504</w:t>
            </w:r>
          </w:p>
        </w:tc>
        <w:tc>
          <w:tcPr>
            <w:tcW w:w="760" w:type="dxa"/>
            <w:vAlign w:val="bottom"/>
            <w:gridSpan w:val="4"/>
          </w:tcPr>
          <w:p>
            <w:pPr>
              <w:jc w:val="right"/>
              <w:ind w:right="63"/>
              <w:spacing w:after="0" w:line="110" w:lineRule="exact"/>
              <w:rPr>
                <w:sz w:val="20"/>
                <w:szCs w:val="20"/>
                <w:color w:val="auto"/>
              </w:rPr>
            </w:pPr>
            <w:r>
              <w:rPr>
                <w:rFonts w:ascii="Arial" w:cs="Arial" w:eastAsia="Arial" w:hAnsi="Arial"/>
                <w:sz w:val="10"/>
                <w:szCs w:val="10"/>
                <w:color w:val="auto"/>
              </w:rPr>
              <w:t>171,471</w:t>
            </w:r>
          </w:p>
        </w:tc>
        <w:tc>
          <w:tcPr>
            <w:tcW w:w="80" w:type="dxa"/>
            <w:vAlign w:val="bottom"/>
          </w:tcPr>
          <w:p>
            <w:pPr>
              <w:spacing w:after="0"/>
              <w:rPr>
                <w:sz w:val="9"/>
                <w:szCs w:val="9"/>
                <w:color w:val="auto"/>
              </w:rPr>
            </w:pPr>
          </w:p>
        </w:tc>
        <w:tc>
          <w:tcPr>
            <w:tcW w:w="660" w:type="dxa"/>
            <w:vAlign w:val="bottom"/>
            <w:gridSpan w:val="3"/>
          </w:tcPr>
          <w:p>
            <w:pPr>
              <w:jc w:val="right"/>
              <w:ind w:right="43"/>
              <w:spacing w:after="0" w:line="110" w:lineRule="exact"/>
              <w:rPr>
                <w:sz w:val="20"/>
                <w:szCs w:val="20"/>
                <w:color w:val="auto"/>
              </w:rPr>
            </w:pPr>
            <w:r>
              <w:rPr>
                <w:rFonts w:ascii="Arial" w:cs="Arial" w:eastAsia="Arial" w:hAnsi="Arial"/>
                <w:sz w:val="10"/>
                <w:szCs w:val="10"/>
                <w:color w:val="auto"/>
              </w:rPr>
              <w:t>3,357,173</w:t>
            </w:r>
          </w:p>
        </w:tc>
        <w:tc>
          <w:tcPr>
            <w:tcW w:w="680" w:type="dxa"/>
            <w:vAlign w:val="bottom"/>
            <w:gridSpan w:val="3"/>
          </w:tcPr>
          <w:p>
            <w:pPr>
              <w:jc w:val="right"/>
              <w:spacing w:after="0" w:line="110" w:lineRule="exact"/>
              <w:rPr>
                <w:sz w:val="20"/>
                <w:szCs w:val="20"/>
                <w:color w:val="auto"/>
              </w:rPr>
            </w:pPr>
            <w:r>
              <w:rPr>
                <w:rFonts w:ascii="Arial" w:cs="Arial" w:eastAsia="Arial" w:hAnsi="Arial"/>
                <w:sz w:val="10"/>
                <w:szCs w:val="10"/>
                <w:color w:val="auto"/>
              </w:rPr>
              <w:t>13,402,553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3"/>
          </w:tcPr>
          <w:p>
            <w:pPr>
              <w:jc w:val="right"/>
              <w:ind w:right="80"/>
              <w:spacing w:after="0" w:line="110" w:lineRule="exact"/>
              <w:rPr>
                <w:sz w:val="20"/>
                <w:szCs w:val="20"/>
                <w:color w:val="auto"/>
              </w:rPr>
            </w:pPr>
            <w:r>
              <w:rPr>
                <w:rFonts w:ascii="Arial" w:cs="Arial" w:eastAsia="Arial" w:hAnsi="Arial"/>
                <w:sz w:val="10"/>
                <w:szCs w:val="10"/>
                <w:color w:val="auto"/>
              </w:rPr>
              <w:t>374,935</w:t>
            </w:r>
          </w:p>
        </w:tc>
        <w:tc>
          <w:tcPr>
            <w:tcW w:w="80" w:type="dxa"/>
            <w:vAlign w:val="bottom"/>
          </w:tcPr>
          <w:p>
            <w:pPr>
              <w:spacing w:after="0"/>
              <w:rPr>
                <w:sz w:val="9"/>
                <w:szCs w:val="9"/>
                <w:color w:val="auto"/>
              </w:rPr>
            </w:pPr>
          </w:p>
        </w:tc>
        <w:tc>
          <w:tcPr>
            <w:tcW w:w="740" w:type="dxa"/>
            <w:vAlign w:val="bottom"/>
            <w:gridSpan w:val="3"/>
          </w:tcPr>
          <w:p>
            <w:pPr>
              <w:jc w:val="right"/>
              <w:ind w:right="100"/>
              <w:spacing w:after="0" w:line="110" w:lineRule="exact"/>
              <w:rPr>
                <w:sz w:val="20"/>
                <w:szCs w:val="20"/>
                <w:color w:val="auto"/>
              </w:rPr>
            </w:pPr>
            <w:r>
              <w:rPr>
                <w:rFonts w:ascii="Arial" w:cs="Arial" w:eastAsia="Arial" w:hAnsi="Arial"/>
                <w:sz w:val="10"/>
                <w:szCs w:val="10"/>
                <w:color w:val="auto"/>
              </w:rPr>
              <w:t>17,523,636</w:t>
            </w:r>
          </w:p>
        </w:tc>
      </w:tr>
      <w:tr>
        <w:trPr>
          <w:trHeight w:val="110"/>
        </w:trPr>
        <w:tc>
          <w:tcPr>
            <w:tcW w:w="2080" w:type="dxa"/>
            <w:vAlign w:val="bottom"/>
          </w:tcPr>
          <w:p>
            <w:pPr>
              <w:spacing w:after="0" w:line="110" w:lineRule="exact"/>
              <w:rPr>
                <w:sz w:val="20"/>
                <w:szCs w:val="20"/>
                <w:color w:val="auto"/>
              </w:rPr>
            </w:pPr>
            <w:r>
              <w:rPr>
                <w:rFonts w:ascii="Arial" w:cs="Arial" w:eastAsia="Arial" w:hAnsi="Arial"/>
                <w:sz w:val="10"/>
                <w:szCs w:val="10"/>
                <w:color w:val="auto"/>
              </w:rPr>
              <w:t>Lease liabilities</w:t>
            </w:r>
          </w:p>
        </w:tc>
        <w:tc>
          <w:tcPr>
            <w:tcW w:w="660" w:type="dxa"/>
            <w:vAlign w:val="bottom"/>
            <w:gridSpan w:val="3"/>
          </w:tcPr>
          <w:p>
            <w:pPr>
              <w:jc w:val="right"/>
              <w:spacing w:after="0" w:line="110" w:lineRule="exact"/>
              <w:rPr>
                <w:sz w:val="20"/>
                <w:szCs w:val="20"/>
                <w:color w:val="auto"/>
              </w:rPr>
            </w:pPr>
            <w:r>
              <w:rPr>
                <w:rFonts w:ascii="Arial" w:cs="Arial" w:eastAsia="Arial" w:hAnsi="Arial"/>
                <w:sz w:val="10"/>
                <w:szCs w:val="10"/>
                <w:color w:val="auto"/>
              </w:rPr>
              <w:t>30,710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33,118</w:t>
            </w:r>
          </w:p>
        </w:tc>
        <w:tc>
          <w:tcPr>
            <w:tcW w:w="740" w:type="dxa"/>
            <w:vAlign w:val="bottom"/>
            <w:gridSpan w:val="4"/>
          </w:tcPr>
          <w:p>
            <w:pPr>
              <w:jc w:val="right"/>
              <w:spacing w:after="0" w:line="110" w:lineRule="exact"/>
              <w:rPr>
                <w:sz w:val="20"/>
                <w:szCs w:val="20"/>
                <w:color w:val="auto"/>
              </w:rPr>
            </w:pPr>
            <w:r>
              <w:rPr>
                <w:rFonts w:ascii="Arial" w:cs="Arial" w:eastAsia="Arial" w:hAnsi="Arial"/>
                <w:sz w:val="10"/>
                <w:szCs w:val="10"/>
                <w:color w:val="auto"/>
              </w:rPr>
              <w:t>89,984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256,960</w:t>
            </w:r>
          </w:p>
        </w:tc>
        <w:tc>
          <w:tcPr>
            <w:tcW w:w="860" w:type="dxa"/>
            <w:vAlign w:val="bottom"/>
            <w:gridSpan w:val="5"/>
          </w:tcPr>
          <w:p>
            <w:pPr>
              <w:jc w:val="right"/>
              <w:ind w:right="100"/>
              <w:spacing w:after="0" w:line="110" w:lineRule="exact"/>
              <w:rPr>
                <w:sz w:val="20"/>
                <w:szCs w:val="20"/>
                <w:color w:val="auto"/>
              </w:rPr>
            </w:pPr>
            <w:r>
              <w:rPr>
                <w:rFonts w:ascii="Arial" w:cs="Arial" w:eastAsia="Arial" w:hAnsi="Arial"/>
                <w:sz w:val="10"/>
                <w:szCs w:val="10"/>
                <w:color w:val="auto"/>
              </w:rPr>
              <w:t>102,344</w:t>
            </w:r>
          </w:p>
        </w:tc>
        <w:tc>
          <w:tcPr>
            <w:tcW w:w="80" w:type="dxa"/>
            <w:vAlign w:val="bottom"/>
          </w:tcPr>
          <w:p>
            <w:pPr>
              <w:spacing w:after="0"/>
              <w:rPr>
                <w:sz w:val="9"/>
                <w:szCs w:val="9"/>
                <w:color w:val="auto"/>
              </w:rPr>
            </w:pPr>
          </w:p>
        </w:tc>
        <w:tc>
          <w:tcPr>
            <w:tcW w:w="720" w:type="dxa"/>
            <w:vAlign w:val="bottom"/>
            <w:gridSpan w:val="3"/>
          </w:tcPr>
          <w:p>
            <w:pPr>
              <w:jc w:val="right"/>
              <w:ind w:right="80"/>
              <w:spacing w:after="0" w:line="110" w:lineRule="exact"/>
              <w:rPr>
                <w:sz w:val="20"/>
                <w:szCs w:val="20"/>
                <w:color w:val="auto"/>
              </w:rPr>
            </w:pPr>
            <w:r>
              <w:rPr>
                <w:rFonts w:ascii="Arial" w:cs="Arial" w:eastAsia="Arial" w:hAnsi="Arial"/>
                <w:sz w:val="10"/>
                <w:szCs w:val="10"/>
                <w:color w:val="auto"/>
              </w:rPr>
              <w:t>513,116</w:t>
            </w:r>
          </w:p>
        </w:tc>
        <w:tc>
          <w:tcPr>
            <w:tcW w:w="80" w:type="dxa"/>
            <w:vAlign w:val="bottom"/>
          </w:tcPr>
          <w:p>
            <w:pPr>
              <w:spacing w:after="0"/>
              <w:rPr>
                <w:sz w:val="9"/>
                <w:szCs w:val="9"/>
                <w:color w:val="auto"/>
              </w:rPr>
            </w:pPr>
          </w:p>
        </w:tc>
        <w:tc>
          <w:tcPr>
            <w:tcW w:w="680" w:type="dxa"/>
            <w:vAlign w:val="bottom"/>
            <w:gridSpan w:val="3"/>
          </w:tcPr>
          <w:p>
            <w:pPr>
              <w:jc w:val="right"/>
              <w:ind w:right="63"/>
              <w:spacing w:after="0" w:line="110" w:lineRule="exact"/>
              <w:rPr>
                <w:sz w:val="20"/>
                <w:szCs w:val="20"/>
                <w:color w:val="auto"/>
              </w:rPr>
            </w:pPr>
            <w:r>
              <w:rPr>
                <w:rFonts w:ascii="Arial" w:cs="Arial" w:eastAsia="Arial" w:hAnsi="Arial"/>
                <w:sz w:val="10"/>
                <w:szCs w:val="10"/>
                <w:color w:val="auto"/>
              </w:rPr>
              <w:t>32,390</w:t>
            </w:r>
          </w:p>
        </w:tc>
        <w:tc>
          <w:tcPr>
            <w:tcW w:w="660" w:type="dxa"/>
            <w:vAlign w:val="bottom"/>
            <w:gridSpan w:val="3"/>
          </w:tcPr>
          <w:p>
            <w:pPr>
              <w:jc w:val="right"/>
              <w:spacing w:after="0" w:line="110" w:lineRule="exact"/>
              <w:rPr>
                <w:sz w:val="20"/>
                <w:szCs w:val="20"/>
                <w:color w:val="auto"/>
              </w:rPr>
            </w:pPr>
            <w:r>
              <w:rPr>
                <w:rFonts w:ascii="Arial" w:cs="Arial" w:eastAsia="Arial" w:hAnsi="Arial"/>
                <w:sz w:val="10"/>
                <w:szCs w:val="10"/>
                <w:color w:val="auto"/>
              </w:rPr>
              <w:t>35,637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tcPr>
          <w:p>
            <w:pPr>
              <w:jc w:val="right"/>
              <w:ind w:right="43"/>
              <w:spacing w:after="0" w:line="110" w:lineRule="exact"/>
              <w:rPr>
                <w:sz w:val="20"/>
                <w:szCs w:val="20"/>
                <w:color w:val="auto"/>
              </w:rPr>
            </w:pPr>
            <w:r>
              <w:rPr>
                <w:rFonts w:ascii="Arial" w:cs="Arial" w:eastAsia="Arial" w:hAnsi="Arial"/>
                <w:sz w:val="10"/>
                <w:szCs w:val="10"/>
                <w:color w:val="auto"/>
              </w:rPr>
              <w:t>105,931</w:t>
            </w:r>
          </w:p>
        </w:tc>
        <w:tc>
          <w:tcPr>
            <w:tcW w:w="760" w:type="dxa"/>
            <w:vAlign w:val="bottom"/>
            <w:gridSpan w:val="4"/>
          </w:tcPr>
          <w:p>
            <w:pPr>
              <w:jc w:val="right"/>
              <w:ind w:right="80"/>
              <w:spacing w:after="0" w:line="110" w:lineRule="exact"/>
              <w:rPr>
                <w:sz w:val="20"/>
                <w:szCs w:val="20"/>
                <w:color w:val="auto"/>
              </w:rPr>
            </w:pPr>
            <w:r>
              <w:rPr>
                <w:rFonts w:ascii="Arial" w:cs="Arial" w:eastAsia="Arial" w:hAnsi="Arial"/>
                <w:sz w:val="10"/>
                <w:szCs w:val="10"/>
                <w:color w:val="auto"/>
              </w:rPr>
              <w:t>314,714</w:t>
            </w:r>
          </w:p>
        </w:tc>
        <w:tc>
          <w:tcPr>
            <w:tcW w:w="100" w:type="dxa"/>
            <w:vAlign w:val="bottom"/>
          </w:tcPr>
          <w:p>
            <w:pPr>
              <w:spacing w:after="0"/>
              <w:rPr>
                <w:sz w:val="9"/>
                <w:szCs w:val="9"/>
                <w:color w:val="auto"/>
              </w:rPr>
            </w:pPr>
          </w:p>
        </w:tc>
        <w:tc>
          <w:tcPr>
            <w:tcW w:w="660" w:type="dxa"/>
            <w:vAlign w:val="bottom"/>
            <w:gridSpan w:val="3"/>
          </w:tcPr>
          <w:p>
            <w:pPr>
              <w:jc w:val="right"/>
              <w:ind w:right="80"/>
              <w:spacing w:after="0" w:line="110" w:lineRule="exact"/>
              <w:rPr>
                <w:sz w:val="20"/>
                <w:szCs w:val="20"/>
                <w:color w:val="auto"/>
              </w:rPr>
            </w:pPr>
            <w:r>
              <w:rPr>
                <w:rFonts w:ascii="Arial" w:cs="Arial" w:eastAsia="Arial" w:hAnsi="Arial"/>
                <w:sz w:val="10"/>
                <w:szCs w:val="10"/>
                <w:color w:val="auto"/>
              </w:rPr>
              <w:t>129,445</w:t>
            </w:r>
          </w:p>
        </w:tc>
        <w:tc>
          <w:tcPr>
            <w:tcW w:w="80" w:type="dxa"/>
            <w:vAlign w:val="bottom"/>
          </w:tcPr>
          <w:p>
            <w:pPr>
              <w:spacing w:after="0"/>
              <w:rPr>
                <w:sz w:val="9"/>
                <w:szCs w:val="9"/>
                <w:color w:val="auto"/>
              </w:rPr>
            </w:pPr>
          </w:p>
        </w:tc>
        <w:tc>
          <w:tcPr>
            <w:tcW w:w="740" w:type="dxa"/>
            <w:vAlign w:val="bottom"/>
            <w:gridSpan w:val="3"/>
          </w:tcPr>
          <w:p>
            <w:pPr>
              <w:jc w:val="right"/>
              <w:ind w:right="100"/>
              <w:spacing w:after="0" w:line="110" w:lineRule="exact"/>
              <w:rPr>
                <w:sz w:val="20"/>
                <w:szCs w:val="20"/>
                <w:color w:val="auto"/>
              </w:rPr>
            </w:pPr>
            <w:r>
              <w:rPr>
                <w:rFonts w:ascii="Arial" w:cs="Arial" w:eastAsia="Arial" w:hAnsi="Arial"/>
                <w:sz w:val="10"/>
                <w:szCs w:val="10"/>
                <w:color w:val="auto"/>
              </w:rPr>
              <w:t>618,117</w:t>
            </w:r>
          </w:p>
        </w:tc>
      </w:tr>
      <w:tr>
        <w:trPr>
          <w:trHeight w:val="125"/>
        </w:trPr>
        <w:tc>
          <w:tcPr>
            <w:tcW w:w="2080" w:type="dxa"/>
            <w:vAlign w:val="bottom"/>
          </w:tcPr>
          <w:p>
            <w:pPr>
              <w:spacing w:after="0"/>
              <w:rPr>
                <w:sz w:val="20"/>
                <w:szCs w:val="20"/>
                <w:color w:val="auto"/>
              </w:rPr>
            </w:pPr>
            <w:r>
              <w:rPr>
                <w:rFonts w:ascii="Arial" w:cs="Arial" w:eastAsia="Arial" w:hAnsi="Arial"/>
                <w:sz w:val="10"/>
                <w:szCs w:val="10"/>
                <w:color w:val="auto"/>
              </w:rPr>
              <w:t>Other liabilities</w:t>
            </w:r>
          </w:p>
        </w:tc>
        <w:tc>
          <w:tcPr>
            <w:tcW w:w="740" w:type="dxa"/>
            <w:vAlign w:val="bottom"/>
            <w:gridSpan w:val="4"/>
          </w:tcPr>
          <w:p>
            <w:pPr>
              <w:jc w:val="right"/>
              <w:ind w:right="80"/>
              <w:spacing w:after="0"/>
              <w:rPr>
                <w:sz w:val="20"/>
                <w:szCs w:val="20"/>
                <w:color w:val="auto"/>
              </w:rPr>
            </w:pPr>
            <w:r>
              <w:rPr>
                <w:rFonts w:ascii="Arial" w:cs="Arial" w:eastAsia="Arial" w:hAnsi="Arial"/>
                <w:sz w:val="10"/>
                <w:szCs w:val="10"/>
                <w:color w:val="auto"/>
              </w:rPr>
              <w:t>3,646,610</w:t>
            </w:r>
          </w:p>
        </w:tc>
        <w:tc>
          <w:tcPr>
            <w:tcW w:w="8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358,303</w:t>
            </w:r>
          </w:p>
        </w:tc>
        <w:tc>
          <w:tcPr>
            <w:tcW w:w="840" w:type="dxa"/>
            <w:vAlign w:val="bottom"/>
            <w:gridSpan w:val="5"/>
          </w:tcPr>
          <w:p>
            <w:pPr>
              <w:jc w:val="right"/>
              <w:ind w:right="63"/>
              <w:spacing w:after="0"/>
              <w:rPr>
                <w:sz w:val="20"/>
                <w:szCs w:val="20"/>
                <w:color w:val="auto"/>
              </w:rPr>
            </w:pPr>
            <w:r>
              <w:rPr>
                <w:rFonts w:ascii="Arial" w:cs="Arial" w:eastAsia="Arial" w:hAnsi="Arial"/>
                <w:sz w:val="10"/>
                <w:szCs w:val="10"/>
                <w:color w:val="auto"/>
              </w:rPr>
              <w:t>241,182</w:t>
            </w:r>
          </w:p>
        </w:tc>
        <w:tc>
          <w:tcPr>
            <w:tcW w:w="8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8,484</w:t>
            </w:r>
          </w:p>
        </w:tc>
        <w:tc>
          <w:tcPr>
            <w:tcW w:w="860" w:type="dxa"/>
            <w:vAlign w:val="bottom"/>
            <w:gridSpan w:val="5"/>
          </w:tcPr>
          <w:p>
            <w:pPr>
              <w:jc w:val="right"/>
              <w:ind w:right="100"/>
              <w:spacing w:after="0"/>
              <w:rPr>
                <w:sz w:val="20"/>
                <w:szCs w:val="20"/>
                <w:color w:val="auto"/>
              </w:rPr>
            </w:pPr>
            <w:r>
              <w:rPr>
                <w:rFonts w:ascii="Arial" w:cs="Arial" w:eastAsia="Arial" w:hAnsi="Arial"/>
                <w:sz w:val="10"/>
                <w:szCs w:val="10"/>
                <w:color w:val="auto"/>
              </w:rPr>
              <w:t>1,636,332</w:t>
            </w:r>
          </w:p>
        </w:tc>
        <w:tc>
          <w:tcPr>
            <w:tcW w:w="80" w:type="dxa"/>
            <w:vAlign w:val="bottom"/>
          </w:tcPr>
          <w:p>
            <w:pPr>
              <w:spacing w:after="0"/>
              <w:rPr>
                <w:sz w:val="10"/>
                <w:szCs w:val="10"/>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0"/>
                <w:szCs w:val="10"/>
                <w:color w:val="auto"/>
              </w:rPr>
              <w:t>5,890,911</w:t>
            </w:r>
          </w:p>
        </w:tc>
        <w:tc>
          <w:tcPr>
            <w:tcW w:w="80" w:type="dxa"/>
            <w:vAlign w:val="bottom"/>
          </w:tcPr>
          <w:p>
            <w:pPr>
              <w:spacing w:after="0"/>
              <w:rPr>
                <w:sz w:val="10"/>
                <w:szCs w:val="10"/>
                <w:color w:val="auto"/>
              </w:rPr>
            </w:pPr>
          </w:p>
        </w:tc>
        <w:tc>
          <w:tcPr>
            <w:tcW w:w="680" w:type="dxa"/>
            <w:vAlign w:val="bottom"/>
            <w:gridSpan w:val="3"/>
          </w:tcPr>
          <w:p>
            <w:pPr>
              <w:jc w:val="right"/>
              <w:ind w:right="63"/>
              <w:spacing w:after="0"/>
              <w:rPr>
                <w:sz w:val="20"/>
                <w:szCs w:val="20"/>
                <w:color w:val="auto"/>
              </w:rPr>
            </w:pPr>
            <w:r>
              <w:rPr>
                <w:rFonts w:ascii="Arial" w:cs="Arial" w:eastAsia="Arial" w:hAnsi="Arial"/>
                <w:sz w:val="10"/>
                <w:szCs w:val="10"/>
                <w:color w:val="auto"/>
              </w:rPr>
              <w:t>3,885,942</w:t>
            </w:r>
          </w:p>
        </w:tc>
        <w:tc>
          <w:tcPr>
            <w:tcW w:w="760" w:type="dxa"/>
            <w:vAlign w:val="bottom"/>
            <w:gridSpan w:val="4"/>
          </w:tcPr>
          <w:p>
            <w:pPr>
              <w:jc w:val="right"/>
              <w:ind w:right="63"/>
              <w:spacing w:after="0"/>
              <w:rPr>
                <w:sz w:val="20"/>
                <w:szCs w:val="20"/>
                <w:color w:val="auto"/>
              </w:rPr>
            </w:pPr>
            <w:r>
              <w:rPr>
                <w:rFonts w:ascii="Arial" w:cs="Arial" w:eastAsia="Arial" w:hAnsi="Arial"/>
                <w:sz w:val="10"/>
                <w:szCs w:val="10"/>
                <w:color w:val="auto"/>
              </w:rPr>
              <w:t>217,108</w:t>
            </w:r>
          </w:p>
        </w:tc>
        <w:tc>
          <w:tcPr>
            <w:tcW w:w="80" w:type="dxa"/>
            <w:vAlign w:val="bottom"/>
          </w:tcPr>
          <w:p>
            <w:pPr>
              <w:spacing w:after="0"/>
              <w:rPr>
                <w:sz w:val="10"/>
                <w:szCs w:val="10"/>
                <w:color w:val="auto"/>
              </w:rPr>
            </w:pPr>
          </w:p>
        </w:tc>
        <w:tc>
          <w:tcPr>
            <w:tcW w:w="660" w:type="dxa"/>
            <w:vAlign w:val="bottom"/>
            <w:gridSpan w:val="3"/>
          </w:tcPr>
          <w:p>
            <w:pPr>
              <w:jc w:val="right"/>
              <w:ind w:right="43"/>
              <w:spacing w:after="0"/>
              <w:rPr>
                <w:sz w:val="20"/>
                <w:szCs w:val="20"/>
                <w:color w:val="auto"/>
              </w:rPr>
            </w:pPr>
            <w:r>
              <w:rPr>
                <w:rFonts w:ascii="Arial" w:cs="Arial" w:eastAsia="Arial" w:hAnsi="Arial"/>
                <w:sz w:val="10"/>
                <w:szCs w:val="10"/>
                <w:color w:val="auto"/>
              </w:rPr>
              <w:t>249,763</w:t>
            </w:r>
          </w:p>
        </w:tc>
        <w:tc>
          <w:tcPr>
            <w:tcW w:w="680" w:type="dxa"/>
            <w:vAlign w:val="bottom"/>
            <w:gridSpan w:val="3"/>
          </w:tcPr>
          <w:p>
            <w:pPr>
              <w:jc w:val="right"/>
              <w:spacing w:after="0"/>
              <w:rPr>
                <w:sz w:val="20"/>
                <w:szCs w:val="20"/>
                <w:color w:val="auto"/>
              </w:rPr>
            </w:pPr>
            <w:r>
              <w:rPr>
                <w:rFonts w:ascii="Arial" w:cs="Arial" w:eastAsia="Arial" w:hAnsi="Arial"/>
                <w:sz w:val="10"/>
                <w:szCs w:val="10"/>
                <w:color w:val="auto"/>
              </w:rPr>
              <w:t>7,654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0"/>
                <w:szCs w:val="10"/>
                <w:color w:val="auto"/>
              </w:rPr>
              <w:t>1,649,079</w:t>
            </w:r>
          </w:p>
        </w:tc>
        <w:tc>
          <w:tcPr>
            <w:tcW w:w="80" w:type="dxa"/>
            <w:vAlign w:val="bottom"/>
          </w:tcPr>
          <w:p>
            <w:pPr>
              <w:spacing w:after="0"/>
              <w:rPr>
                <w:sz w:val="10"/>
                <w:szCs w:val="1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0"/>
                <w:szCs w:val="10"/>
                <w:color w:val="auto"/>
              </w:rPr>
              <w:t>6,009,546</w:t>
            </w:r>
          </w:p>
        </w:tc>
      </w:tr>
      <w:tr>
        <w:trPr>
          <w:trHeight w:val="110"/>
        </w:trPr>
        <w:tc>
          <w:tcPr>
            <w:tcW w:w="2080" w:type="dxa"/>
            <w:vAlign w:val="bottom"/>
          </w:tcPr>
          <w:p>
            <w:pPr>
              <w:spacing w:after="0" w:line="110" w:lineRule="exact"/>
              <w:rPr>
                <w:sz w:val="20"/>
                <w:szCs w:val="20"/>
                <w:color w:val="auto"/>
              </w:rPr>
            </w:pPr>
            <w:r>
              <w:rPr>
                <w:rFonts w:ascii="Arial" w:cs="Arial" w:eastAsia="Arial" w:hAnsi="Arial"/>
                <w:sz w:val="10"/>
                <w:szCs w:val="10"/>
                <w:b w:val="1"/>
                <w:bCs w:val="1"/>
                <w:color w:val="auto"/>
              </w:rPr>
              <w:t>Total liabilities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95"/>
              </w:rPr>
              <w:t>52,871,574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95"/>
              </w:rPr>
              <w:t>21,530,921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95"/>
              </w:rPr>
              <w:t>38,441,811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95"/>
              </w:rPr>
              <w:t>69,019,417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95"/>
              </w:rPr>
              <w:t>15,495,409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97"/>
              </w:rPr>
              <w:t>197,359,132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95"/>
              </w:rPr>
              <w:t>46,508,943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95"/>
              </w:rPr>
              <w:t>16,594,369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95"/>
              </w:rPr>
              <w:t>36,071,903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95"/>
              </w:rPr>
              <w:t>85,685,455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95"/>
              </w:rPr>
              <w:t>21,087,070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93"/>
              </w:rPr>
              <w:t>205,947,740</w:t>
            </w:r>
          </w:p>
        </w:tc>
        <w:tc>
          <w:tcPr>
            <w:tcW w:w="100" w:type="dxa"/>
            <w:vAlign w:val="bottom"/>
          </w:tcPr>
          <w:p>
            <w:pPr>
              <w:spacing w:after="0"/>
              <w:rPr>
                <w:sz w:val="9"/>
                <w:szCs w:val="9"/>
                <w:color w:val="auto"/>
              </w:rPr>
            </w:pPr>
          </w:p>
        </w:tc>
      </w:tr>
      <w:tr>
        <w:trPr>
          <w:trHeight w:val="201"/>
        </w:trPr>
        <w:tc>
          <w:tcPr>
            <w:tcW w:w="2080" w:type="dxa"/>
            <w:vAlign w:val="bottom"/>
          </w:tcPr>
          <w:p>
            <w:pPr>
              <w:spacing w:after="0"/>
              <w:rPr>
                <w:sz w:val="20"/>
                <w:szCs w:val="20"/>
                <w:color w:val="auto"/>
              </w:rPr>
            </w:pPr>
            <w:r>
              <w:rPr>
                <w:rFonts w:ascii="Arial" w:cs="Arial" w:eastAsia="Arial" w:hAnsi="Arial"/>
                <w:sz w:val="10"/>
                <w:szCs w:val="10"/>
                <w:b w:val="1"/>
                <w:bCs w:val="1"/>
                <w:color w:val="auto"/>
              </w:rPr>
              <w:t>Derivative financial liabilities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10"/>
        </w:trPr>
        <w:tc>
          <w:tcPr>
            <w:tcW w:w="2080" w:type="dxa"/>
            <w:vAlign w:val="bottom"/>
          </w:tcPr>
          <w:p>
            <w:pPr>
              <w:spacing w:after="0" w:line="110" w:lineRule="exact"/>
              <w:rPr>
                <w:sz w:val="20"/>
                <w:szCs w:val="20"/>
                <w:color w:val="auto"/>
              </w:rPr>
            </w:pPr>
            <w:r>
              <w:rPr>
                <w:rFonts w:ascii="Arial" w:cs="Arial" w:eastAsia="Arial" w:hAnsi="Arial"/>
                <w:sz w:val="10"/>
                <w:szCs w:val="10"/>
                <w:color w:val="auto"/>
              </w:rPr>
              <w:t>Contractual amounts receivable (Inflows)</w:t>
            </w:r>
          </w:p>
        </w:tc>
        <w:tc>
          <w:tcPr>
            <w:tcW w:w="740" w:type="dxa"/>
            <w:vAlign w:val="bottom"/>
            <w:gridSpan w:val="4"/>
          </w:tcPr>
          <w:p>
            <w:pPr>
              <w:jc w:val="right"/>
              <w:ind w:right="80"/>
              <w:spacing w:after="0" w:line="110" w:lineRule="exact"/>
              <w:rPr>
                <w:sz w:val="20"/>
                <w:szCs w:val="20"/>
                <w:color w:val="auto"/>
              </w:rPr>
            </w:pPr>
            <w:r>
              <w:rPr>
                <w:rFonts w:ascii="Arial" w:cs="Arial" w:eastAsia="Arial" w:hAnsi="Arial"/>
                <w:sz w:val="10"/>
                <w:szCs w:val="10"/>
                <w:color w:val="auto"/>
              </w:rPr>
              <w:t>961,788</w:t>
            </w:r>
          </w:p>
        </w:tc>
        <w:tc>
          <w:tcPr>
            <w:tcW w:w="80" w:type="dxa"/>
            <w:vAlign w:val="bottom"/>
          </w:tcPr>
          <w:p>
            <w:pPr>
              <w:spacing w:after="0"/>
              <w:rPr>
                <w:sz w:val="9"/>
                <w:szCs w:val="9"/>
                <w:color w:val="auto"/>
              </w:rPr>
            </w:pPr>
          </w:p>
        </w:tc>
        <w:tc>
          <w:tcPr>
            <w:tcW w:w="60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1,059,625</w:t>
            </w:r>
          </w:p>
        </w:tc>
        <w:tc>
          <w:tcPr>
            <w:tcW w:w="840" w:type="dxa"/>
            <w:vAlign w:val="bottom"/>
            <w:gridSpan w:val="5"/>
          </w:tcPr>
          <w:p>
            <w:pPr>
              <w:jc w:val="right"/>
              <w:ind w:right="63"/>
              <w:spacing w:after="0" w:line="110" w:lineRule="exact"/>
              <w:rPr>
                <w:sz w:val="20"/>
                <w:szCs w:val="20"/>
                <w:color w:val="auto"/>
              </w:rPr>
            </w:pPr>
            <w:r>
              <w:rPr>
                <w:rFonts w:ascii="Arial" w:cs="Arial" w:eastAsia="Arial" w:hAnsi="Arial"/>
                <w:sz w:val="10"/>
                <w:szCs w:val="10"/>
                <w:color w:val="auto"/>
              </w:rPr>
              <w:t>3,153,643</w:t>
            </w:r>
          </w:p>
        </w:tc>
        <w:tc>
          <w:tcPr>
            <w:tcW w:w="80" w:type="dxa"/>
            <w:vAlign w:val="bottom"/>
          </w:tcPr>
          <w:p>
            <w:pPr>
              <w:spacing w:after="0"/>
              <w:rPr>
                <w:sz w:val="9"/>
                <w:szCs w:val="9"/>
                <w:color w:val="auto"/>
              </w:rPr>
            </w:pPr>
          </w:p>
        </w:tc>
        <w:tc>
          <w:tcPr>
            <w:tcW w:w="58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1,394,394</w:t>
            </w:r>
          </w:p>
        </w:tc>
        <w:tc>
          <w:tcPr>
            <w:tcW w:w="760" w:type="dxa"/>
            <w:vAlign w:val="bottom"/>
            <w:gridSpan w:val="4"/>
          </w:tcPr>
          <w:p>
            <w:pPr>
              <w:jc w:val="right"/>
              <w:spacing w:after="0" w:line="110" w:lineRule="exact"/>
              <w:rPr>
                <w:sz w:val="20"/>
                <w:szCs w:val="20"/>
                <w:color w:val="auto"/>
              </w:rPr>
            </w:pPr>
            <w:r>
              <w:rPr>
                <w:rFonts w:ascii="Arial" w:cs="Arial" w:eastAsia="Arial" w:hAnsi="Arial"/>
                <w:sz w:val="10"/>
                <w:szCs w:val="10"/>
                <w:color w:val="auto"/>
              </w:rPr>
              <w:t>30,653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tcPr>
          <w:p>
            <w:pPr>
              <w:jc w:val="right"/>
              <w:ind w:right="80"/>
              <w:spacing w:after="0" w:line="110" w:lineRule="exact"/>
              <w:rPr>
                <w:sz w:val="20"/>
                <w:szCs w:val="20"/>
                <w:color w:val="auto"/>
              </w:rPr>
            </w:pPr>
            <w:r>
              <w:rPr>
                <w:rFonts w:ascii="Arial" w:cs="Arial" w:eastAsia="Arial" w:hAnsi="Arial"/>
                <w:sz w:val="10"/>
                <w:szCs w:val="10"/>
                <w:color w:val="auto"/>
              </w:rPr>
              <w:t>6,600,103</w:t>
            </w:r>
          </w:p>
        </w:tc>
        <w:tc>
          <w:tcPr>
            <w:tcW w:w="80" w:type="dxa"/>
            <w:vAlign w:val="bottom"/>
          </w:tcPr>
          <w:p>
            <w:pPr>
              <w:spacing w:after="0"/>
              <w:rPr>
                <w:sz w:val="9"/>
                <w:szCs w:val="9"/>
                <w:color w:val="auto"/>
              </w:rPr>
            </w:pPr>
          </w:p>
        </w:tc>
        <w:tc>
          <w:tcPr>
            <w:tcW w:w="680" w:type="dxa"/>
            <w:vAlign w:val="bottom"/>
            <w:gridSpan w:val="3"/>
          </w:tcPr>
          <w:p>
            <w:pPr>
              <w:jc w:val="right"/>
              <w:ind w:right="63"/>
              <w:spacing w:after="0" w:line="110" w:lineRule="exact"/>
              <w:rPr>
                <w:sz w:val="20"/>
                <w:szCs w:val="20"/>
                <w:color w:val="auto"/>
              </w:rPr>
            </w:pPr>
            <w:r>
              <w:rPr>
                <w:rFonts w:ascii="Arial" w:cs="Arial" w:eastAsia="Arial" w:hAnsi="Arial"/>
                <w:sz w:val="10"/>
                <w:szCs w:val="10"/>
                <w:color w:val="auto"/>
              </w:rPr>
              <w:t>1,451,819</w:t>
            </w:r>
          </w:p>
        </w:tc>
        <w:tc>
          <w:tcPr>
            <w:tcW w:w="760" w:type="dxa"/>
            <w:vAlign w:val="bottom"/>
            <w:gridSpan w:val="4"/>
          </w:tcPr>
          <w:p>
            <w:pPr>
              <w:jc w:val="right"/>
              <w:ind w:right="63"/>
              <w:spacing w:after="0" w:line="110" w:lineRule="exact"/>
              <w:rPr>
                <w:sz w:val="20"/>
                <w:szCs w:val="20"/>
                <w:color w:val="auto"/>
              </w:rPr>
            </w:pPr>
            <w:r>
              <w:rPr>
                <w:rFonts w:ascii="Arial" w:cs="Arial" w:eastAsia="Arial" w:hAnsi="Arial"/>
                <w:sz w:val="10"/>
                <w:szCs w:val="10"/>
                <w:color w:val="auto"/>
              </w:rPr>
              <w:t>1,931,304</w:t>
            </w:r>
          </w:p>
        </w:tc>
        <w:tc>
          <w:tcPr>
            <w:tcW w:w="80" w:type="dxa"/>
            <w:vAlign w:val="bottom"/>
          </w:tcPr>
          <w:p>
            <w:pPr>
              <w:spacing w:after="0"/>
              <w:rPr>
                <w:sz w:val="9"/>
                <w:szCs w:val="9"/>
                <w:color w:val="auto"/>
              </w:rPr>
            </w:pPr>
          </w:p>
        </w:tc>
        <w:tc>
          <w:tcPr>
            <w:tcW w:w="660" w:type="dxa"/>
            <w:vAlign w:val="bottom"/>
            <w:gridSpan w:val="3"/>
          </w:tcPr>
          <w:p>
            <w:pPr>
              <w:jc w:val="right"/>
              <w:ind w:right="43"/>
              <w:spacing w:after="0" w:line="110" w:lineRule="exact"/>
              <w:rPr>
                <w:sz w:val="20"/>
                <w:szCs w:val="20"/>
                <w:color w:val="auto"/>
              </w:rPr>
            </w:pPr>
            <w:r>
              <w:rPr>
                <w:rFonts w:ascii="Arial" w:cs="Arial" w:eastAsia="Arial" w:hAnsi="Arial"/>
                <w:sz w:val="10"/>
                <w:szCs w:val="10"/>
                <w:color w:val="auto"/>
              </w:rPr>
              <w:t>972,276</w:t>
            </w:r>
          </w:p>
        </w:tc>
        <w:tc>
          <w:tcPr>
            <w:tcW w:w="760" w:type="dxa"/>
            <w:vAlign w:val="bottom"/>
            <w:gridSpan w:val="4"/>
          </w:tcPr>
          <w:p>
            <w:pPr>
              <w:jc w:val="right"/>
              <w:ind w:right="80"/>
              <w:spacing w:after="0" w:line="110" w:lineRule="exact"/>
              <w:rPr>
                <w:sz w:val="20"/>
                <w:szCs w:val="20"/>
                <w:color w:val="auto"/>
              </w:rPr>
            </w:pPr>
            <w:r>
              <w:rPr>
                <w:rFonts w:ascii="Arial" w:cs="Arial" w:eastAsia="Arial" w:hAnsi="Arial"/>
                <w:sz w:val="10"/>
                <w:szCs w:val="10"/>
                <w:color w:val="auto"/>
              </w:rPr>
              <w:t>876,270</w:t>
            </w:r>
          </w:p>
        </w:tc>
        <w:tc>
          <w:tcPr>
            <w:tcW w:w="100" w:type="dxa"/>
            <w:vAlign w:val="bottom"/>
          </w:tcPr>
          <w:p>
            <w:pPr>
              <w:spacing w:after="0"/>
              <w:rPr>
                <w:sz w:val="9"/>
                <w:szCs w:val="9"/>
                <w:color w:val="auto"/>
              </w:rPr>
            </w:pPr>
          </w:p>
        </w:tc>
        <w:tc>
          <w:tcPr>
            <w:tcW w:w="660" w:type="dxa"/>
            <w:vAlign w:val="bottom"/>
            <w:gridSpan w:val="3"/>
          </w:tcPr>
          <w:p>
            <w:pPr>
              <w:jc w:val="right"/>
              <w:ind w:right="80"/>
              <w:spacing w:after="0" w:line="110" w:lineRule="exact"/>
              <w:rPr>
                <w:sz w:val="20"/>
                <w:szCs w:val="20"/>
                <w:color w:val="auto"/>
              </w:rPr>
            </w:pPr>
            <w:r>
              <w:rPr>
                <w:rFonts w:ascii="Arial" w:cs="Arial" w:eastAsia="Arial" w:hAnsi="Arial"/>
                <w:sz w:val="10"/>
                <w:szCs w:val="10"/>
                <w:color w:val="auto"/>
              </w:rPr>
              <w:t>384,857</w:t>
            </w:r>
          </w:p>
        </w:tc>
        <w:tc>
          <w:tcPr>
            <w:tcW w:w="80" w:type="dxa"/>
            <w:vAlign w:val="bottom"/>
          </w:tcPr>
          <w:p>
            <w:pPr>
              <w:spacing w:after="0"/>
              <w:rPr>
                <w:sz w:val="9"/>
                <w:szCs w:val="9"/>
                <w:color w:val="auto"/>
              </w:rPr>
            </w:pPr>
          </w:p>
        </w:tc>
        <w:tc>
          <w:tcPr>
            <w:tcW w:w="740" w:type="dxa"/>
            <w:vAlign w:val="bottom"/>
            <w:gridSpan w:val="3"/>
          </w:tcPr>
          <w:p>
            <w:pPr>
              <w:jc w:val="right"/>
              <w:ind w:right="100"/>
              <w:spacing w:after="0" w:line="110" w:lineRule="exact"/>
              <w:rPr>
                <w:sz w:val="20"/>
                <w:szCs w:val="20"/>
                <w:color w:val="auto"/>
              </w:rPr>
            </w:pPr>
            <w:r>
              <w:rPr>
                <w:rFonts w:ascii="Arial" w:cs="Arial" w:eastAsia="Arial" w:hAnsi="Arial"/>
                <w:sz w:val="10"/>
                <w:szCs w:val="10"/>
                <w:color w:val="auto"/>
              </w:rPr>
              <w:t>5,616,526</w:t>
            </w:r>
          </w:p>
        </w:tc>
      </w:tr>
      <w:tr>
        <w:trPr>
          <w:trHeight w:val="125"/>
        </w:trPr>
        <w:tc>
          <w:tcPr>
            <w:tcW w:w="2080" w:type="dxa"/>
            <w:vAlign w:val="bottom"/>
          </w:tcPr>
          <w:p>
            <w:pPr>
              <w:spacing w:after="0"/>
              <w:rPr>
                <w:sz w:val="20"/>
                <w:szCs w:val="20"/>
                <w:color w:val="auto"/>
              </w:rPr>
            </w:pPr>
            <w:r>
              <w:rPr>
                <w:rFonts w:ascii="Arial" w:cs="Arial" w:eastAsia="Arial" w:hAnsi="Arial"/>
                <w:sz w:val="10"/>
                <w:szCs w:val="10"/>
                <w:color w:val="auto"/>
              </w:rPr>
              <w:t>Contractual amounts payable (outflows)</w:t>
            </w:r>
          </w:p>
        </w:tc>
        <w:tc>
          <w:tcPr>
            <w:tcW w:w="740" w:type="dxa"/>
            <w:vAlign w:val="bottom"/>
            <w:gridSpan w:val="4"/>
          </w:tcPr>
          <w:p>
            <w:pPr>
              <w:jc w:val="right"/>
              <w:ind w:right="80"/>
              <w:spacing w:after="0"/>
              <w:rPr>
                <w:sz w:val="20"/>
                <w:szCs w:val="20"/>
                <w:color w:val="auto"/>
              </w:rPr>
            </w:pPr>
            <w:r>
              <w:rPr>
                <w:rFonts w:ascii="Arial" w:cs="Arial" w:eastAsia="Arial" w:hAnsi="Arial"/>
                <w:sz w:val="10"/>
                <w:szCs w:val="10"/>
                <w:color w:val="auto"/>
              </w:rPr>
              <w:t>939,961</w:t>
            </w:r>
          </w:p>
        </w:tc>
        <w:tc>
          <w:tcPr>
            <w:tcW w:w="8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1,053,036</w:t>
            </w:r>
          </w:p>
        </w:tc>
        <w:tc>
          <w:tcPr>
            <w:tcW w:w="840" w:type="dxa"/>
            <w:vAlign w:val="bottom"/>
            <w:gridSpan w:val="5"/>
          </w:tcPr>
          <w:p>
            <w:pPr>
              <w:jc w:val="right"/>
              <w:ind w:right="63"/>
              <w:spacing w:after="0"/>
              <w:rPr>
                <w:sz w:val="20"/>
                <w:szCs w:val="20"/>
                <w:color w:val="auto"/>
              </w:rPr>
            </w:pPr>
            <w:r>
              <w:rPr>
                <w:rFonts w:ascii="Arial" w:cs="Arial" w:eastAsia="Arial" w:hAnsi="Arial"/>
                <w:sz w:val="10"/>
                <w:szCs w:val="10"/>
                <w:color w:val="auto"/>
              </w:rPr>
              <w:t>3,185,326</w:t>
            </w:r>
          </w:p>
        </w:tc>
        <w:tc>
          <w:tcPr>
            <w:tcW w:w="8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1,329,268</w:t>
            </w:r>
          </w:p>
        </w:tc>
        <w:tc>
          <w:tcPr>
            <w:tcW w:w="760" w:type="dxa"/>
            <w:vAlign w:val="bottom"/>
            <w:gridSpan w:val="4"/>
          </w:tcPr>
          <w:p>
            <w:pPr>
              <w:jc w:val="right"/>
              <w:spacing w:after="0"/>
              <w:rPr>
                <w:sz w:val="20"/>
                <w:szCs w:val="20"/>
                <w:color w:val="auto"/>
              </w:rPr>
            </w:pPr>
            <w:r>
              <w:rPr>
                <w:rFonts w:ascii="Arial" w:cs="Arial" w:eastAsia="Arial" w:hAnsi="Arial"/>
                <w:sz w:val="10"/>
                <w:szCs w:val="10"/>
                <w:color w:val="auto"/>
              </w:rPr>
              <w:t>28,899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0"/>
                <w:szCs w:val="10"/>
                <w:color w:val="auto"/>
              </w:rPr>
              <w:t>6,536,490</w:t>
            </w:r>
          </w:p>
        </w:tc>
        <w:tc>
          <w:tcPr>
            <w:tcW w:w="80" w:type="dxa"/>
            <w:vAlign w:val="bottom"/>
          </w:tcPr>
          <w:p>
            <w:pPr>
              <w:spacing w:after="0"/>
              <w:rPr>
                <w:sz w:val="10"/>
                <w:szCs w:val="10"/>
                <w:color w:val="auto"/>
              </w:rPr>
            </w:pPr>
          </w:p>
        </w:tc>
        <w:tc>
          <w:tcPr>
            <w:tcW w:w="680" w:type="dxa"/>
            <w:vAlign w:val="bottom"/>
            <w:gridSpan w:val="3"/>
          </w:tcPr>
          <w:p>
            <w:pPr>
              <w:jc w:val="right"/>
              <w:ind w:right="63"/>
              <w:spacing w:after="0"/>
              <w:rPr>
                <w:sz w:val="20"/>
                <w:szCs w:val="20"/>
                <w:color w:val="auto"/>
              </w:rPr>
            </w:pPr>
            <w:r>
              <w:rPr>
                <w:rFonts w:ascii="Arial" w:cs="Arial" w:eastAsia="Arial" w:hAnsi="Arial"/>
                <w:sz w:val="10"/>
                <w:szCs w:val="10"/>
                <w:color w:val="auto"/>
              </w:rPr>
              <w:t>1,454,360</w:t>
            </w:r>
          </w:p>
        </w:tc>
        <w:tc>
          <w:tcPr>
            <w:tcW w:w="760" w:type="dxa"/>
            <w:vAlign w:val="bottom"/>
            <w:gridSpan w:val="4"/>
          </w:tcPr>
          <w:p>
            <w:pPr>
              <w:jc w:val="right"/>
              <w:ind w:right="63"/>
              <w:spacing w:after="0"/>
              <w:rPr>
                <w:sz w:val="20"/>
                <w:szCs w:val="20"/>
                <w:color w:val="auto"/>
              </w:rPr>
            </w:pPr>
            <w:r>
              <w:rPr>
                <w:rFonts w:ascii="Arial" w:cs="Arial" w:eastAsia="Arial" w:hAnsi="Arial"/>
                <w:sz w:val="10"/>
                <w:szCs w:val="10"/>
                <w:color w:val="auto"/>
              </w:rPr>
              <w:t>1,932,240</w:t>
            </w:r>
          </w:p>
        </w:tc>
        <w:tc>
          <w:tcPr>
            <w:tcW w:w="80" w:type="dxa"/>
            <w:vAlign w:val="bottom"/>
          </w:tcPr>
          <w:p>
            <w:pPr>
              <w:spacing w:after="0"/>
              <w:rPr>
                <w:sz w:val="10"/>
                <w:szCs w:val="10"/>
                <w:color w:val="auto"/>
              </w:rPr>
            </w:pPr>
          </w:p>
        </w:tc>
        <w:tc>
          <w:tcPr>
            <w:tcW w:w="660" w:type="dxa"/>
            <w:vAlign w:val="bottom"/>
            <w:gridSpan w:val="3"/>
          </w:tcPr>
          <w:p>
            <w:pPr>
              <w:jc w:val="right"/>
              <w:ind w:right="43"/>
              <w:spacing w:after="0"/>
              <w:rPr>
                <w:sz w:val="20"/>
                <w:szCs w:val="20"/>
                <w:color w:val="auto"/>
              </w:rPr>
            </w:pPr>
            <w:r>
              <w:rPr>
                <w:rFonts w:ascii="Arial" w:cs="Arial" w:eastAsia="Arial" w:hAnsi="Arial"/>
                <w:sz w:val="10"/>
                <w:szCs w:val="10"/>
                <w:color w:val="auto"/>
              </w:rPr>
              <w:t>977,394</w:t>
            </w:r>
          </w:p>
        </w:tc>
        <w:tc>
          <w:tcPr>
            <w:tcW w:w="760" w:type="dxa"/>
            <w:vAlign w:val="bottom"/>
            <w:gridSpan w:val="4"/>
          </w:tcPr>
          <w:p>
            <w:pPr>
              <w:jc w:val="right"/>
              <w:ind w:right="80"/>
              <w:spacing w:after="0"/>
              <w:rPr>
                <w:sz w:val="20"/>
                <w:szCs w:val="20"/>
                <w:color w:val="auto"/>
              </w:rPr>
            </w:pPr>
            <w:r>
              <w:rPr>
                <w:rFonts w:ascii="Arial" w:cs="Arial" w:eastAsia="Arial" w:hAnsi="Arial"/>
                <w:sz w:val="10"/>
                <w:szCs w:val="10"/>
                <w:color w:val="auto"/>
              </w:rPr>
              <w:t>840,215</w:t>
            </w:r>
          </w:p>
        </w:tc>
        <w:tc>
          <w:tcPr>
            <w:tcW w:w="100" w:type="dxa"/>
            <w:vAlign w:val="bottom"/>
          </w:tcPr>
          <w:p>
            <w:pPr>
              <w:spacing w:after="0"/>
              <w:rPr>
                <w:sz w:val="10"/>
                <w:szCs w:val="10"/>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0"/>
                <w:szCs w:val="10"/>
                <w:color w:val="auto"/>
              </w:rPr>
              <w:t>334,500</w:t>
            </w:r>
          </w:p>
        </w:tc>
        <w:tc>
          <w:tcPr>
            <w:tcW w:w="80" w:type="dxa"/>
            <w:vAlign w:val="bottom"/>
          </w:tcPr>
          <w:p>
            <w:pPr>
              <w:spacing w:after="0"/>
              <w:rPr>
                <w:sz w:val="10"/>
                <w:szCs w:val="1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0"/>
                <w:szCs w:val="10"/>
                <w:color w:val="auto"/>
              </w:rPr>
              <w:t>5,538,709</w:t>
            </w:r>
          </w:p>
        </w:tc>
      </w:tr>
      <w:tr>
        <w:trPr>
          <w:trHeight w:val="110"/>
        </w:trPr>
        <w:tc>
          <w:tcPr>
            <w:tcW w:w="2080" w:type="dxa"/>
            <w:vAlign w:val="bottom"/>
          </w:tcPr>
          <w:p>
            <w:pPr>
              <w:spacing w:after="0" w:line="110" w:lineRule="exact"/>
              <w:rPr>
                <w:sz w:val="20"/>
                <w:szCs w:val="20"/>
                <w:color w:val="auto"/>
              </w:rPr>
            </w:pPr>
            <w:r>
              <w:rPr>
                <w:rFonts w:ascii="Arial" w:cs="Arial" w:eastAsia="Arial" w:hAnsi="Arial"/>
                <w:sz w:val="10"/>
                <w:szCs w:val="10"/>
                <w:b w:val="1"/>
                <w:bCs w:val="1"/>
                <w:color w:val="auto"/>
              </w:rPr>
              <w:t>Total liabilities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rPr>
              <w:t>21,827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rPr>
              <w:t>6,589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rPr>
              <w:t>(31,683</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rPr>
              <w:t>65,126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rPr>
              <w:t>1,754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rPr>
              <w:t>63,613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rPr>
              <w:t>(2,541</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rPr>
              <w:t>(936</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rPr>
              <w:t>(5,118</w:t>
            </w: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rPr>
              <w:t>36,055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rPr>
              <w:t>50,357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rPr>
              <w:t>77,817</w:t>
            </w:r>
          </w:p>
        </w:tc>
        <w:tc>
          <w:tcPr>
            <w:tcW w:w="100" w:type="dxa"/>
            <w:vAlign w:val="bottom"/>
          </w:tcPr>
          <w:p>
            <w:pPr>
              <w:spacing w:after="0"/>
              <w:rPr>
                <w:sz w:val="9"/>
                <w:szCs w:val="9"/>
                <w:color w:val="auto"/>
              </w:rPr>
            </w:pP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7" w:name="page178"/>
    <w:bookmarkEnd w:id="177"/>
    <w:p>
      <w:pPr>
        <w:spacing w:after="0"/>
        <w:tabs>
          <w:tab w:leader="none" w:pos="560" w:val="left"/>
        </w:tabs>
        <w:rPr>
          <w:sz w:val="20"/>
          <w:szCs w:val="20"/>
          <w:color w:val="auto"/>
        </w:rPr>
      </w:pPr>
      <w:r>
        <w:rPr>
          <w:rFonts w:ascii="Arial" w:cs="Arial" w:eastAsia="Arial" w:hAnsi="Arial"/>
          <w:sz w:val="16"/>
          <w:szCs w:val="16"/>
          <w:b w:val="1"/>
          <w:bCs w:val="1"/>
          <w:color w:val="auto"/>
        </w:rPr>
        <w:t>30.4</w:t>
        <w:tab/>
        <w:t>Non-financial risk -</w:t>
      </w:r>
    </w:p>
    <w:p>
      <w:pPr>
        <w:spacing w:after="0" w:line="182" w:lineRule="exact"/>
        <w:rPr>
          <w:sz w:val="20"/>
          <w:szCs w:val="20"/>
          <w:color w:val="auto"/>
        </w:rPr>
      </w:pPr>
    </w:p>
    <w:p>
      <w:pPr>
        <w:ind w:left="580" w:right="20"/>
        <w:spacing w:after="0" w:line="252" w:lineRule="auto"/>
        <w:rPr>
          <w:sz w:val="20"/>
          <w:szCs w:val="20"/>
          <w:color w:val="auto"/>
        </w:rPr>
      </w:pPr>
      <w:r>
        <w:rPr>
          <w:rFonts w:ascii="Arial" w:cs="Arial" w:eastAsia="Arial" w:hAnsi="Arial"/>
          <w:sz w:val="16"/>
          <w:szCs w:val="16"/>
          <w:color w:val="auto"/>
        </w:rPr>
        <w:t>A non-financial risk (NFR) is a broad term that is generally defined by exclusion; that is, any risk other than traditional financial market, credit and liquidity risks. RNFs may have substantial negative strategic, commercial, economic and/or reputational implications. RNF includes operational risks defined in Basel’s seven types of operational risk events, but also other important risks such as technology, cyber, conduct, model, compliance, strategic and third-party risk.</w:t>
      </w:r>
    </w:p>
    <w:p>
      <w:pPr>
        <w:spacing w:after="0" w:line="144" w:lineRule="exact"/>
        <w:rPr>
          <w:sz w:val="20"/>
          <w:szCs w:val="20"/>
          <w:color w:val="auto"/>
        </w:rPr>
      </w:pPr>
    </w:p>
    <w:p>
      <w:pPr>
        <w:ind w:left="580" w:right="60"/>
        <w:spacing w:after="0" w:line="252" w:lineRule="auto"/>
        <w:rPr>
          <w:sz w:val="20"/>
          <w:szCs w:val="20"/>
          <w:color w:val="auto"/>
        </w:rPr>
      </w:pPr>
      <w:r>
        <w:rPr>
          <w:rFonts w:ascii="Arial" w:cs="Arial" w:eastAsia="Arial" w:hAnsi="Arial"/>
          <w:sz w:val="16"/>
          <w:szCs w:val="16"/>
          <w:color w:val="auto"/>
        </w:rPr>
        <w:t>Non-Financial Risk management has become more challenging due to the added complexity of rapid changes in technology, extensive process automation, greater reliance on systems rather than people, as well as transformational processes such as business agility. These changes in the way financial institutions do business have led to new risk exposures, whether in the form of attacks affecting the Group service, data theft or online fraud.</w:t>
      </w:r>
    </w:p>
    <w:p>
      <w:pPr>
        <w:spacing w:after="0" w:line="14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30.5</w:t>
        <w:tab/>
        <w:t>Operational risk –</w:t>
      </w:r>
    </w:p>
    <w:p>
      <w:pPr>
        <w:spacing w:after="0" w:line="183" w:lineRule="exact"/>
        <w:rPr>
          <w:sz w:val="20"/>
          <w:szCs w:val="20"/>
          <w:color w:val="auto"/>
        </w:rPr>
      </w:pPr>
    </w:p>
    <w:p>
      <w:pPr>
        <w:ind w:left="580" w:right="100"/>
        <w:spacing w:after="0" w:line="252" w:lineRule="auto"/>
        <w:rPr>
          <w:sz w:val="20"/>
          <w:szCs w:val="20"/>
          <w:color w:val="auto"/>
        </w:rPr>
      </w:pPr>
      <w:r>
        <w:rPr>
          <w:rFonts w:ascii="Arial" w:cs="Arial" w:eastAsia="Arial" w:hAnsi="Arial"/>
          <w:sz w:val="16"/>
          <w:szCs w:val="16"/>
          <w:color w:val="auto"/>
        </w:rPr>
        <w:t>Operational risk is the possibility of the occurrence of losses arising from inadequate processes, human error, failure of information technology, relations with third parties or external events. Operational risks can, lead to financial losses and have legal or regulatory compliance consequences but exclude strategic or reputational risk (except for the companies under Colombian regulations, where reputational risk is included in operational risk).</w:t>
      </w:r>
    </w:p>
    <w:p>
      <w:pPr>
        <w:spacing w:after="0" w:line="144" w:lineRule="exact"/>
        <w:rPr>
          <w:sz w:val="20"/>
          <w:szCs w:val="20"/>
          <w:color w:val="auto"/>
        </w:rPr>
      </w:pPr>
    </w:p>
    <w:p>
      <w:pPr>
        <w:ind w:left="580" w:right="280"/>
        <w:spacing w:after="0" w:line="259" w:lineRule="auto"/>
        <w:rPr>
          <w:sz w:val="20"/>
          <w:szCs w:val="20"/>
          <w:color w:val="auto"/>
        </w:rPr>
      </w:pPr>
      <w:r>
        <w:rPr>
          <w:rFonts w:ascii="Arial" w:cs="Arial" w:eastAsia="Arial" w:hAnsi="Arial"/>
          <w:sz w:val="16"/>
          <w:szCs w:val="16"/>
          <w:color w:val="auto"/>
        </w:rPr>
        <w:t>Operational risks are grouped into internal fraud, external fraud, labor relations and job security, relations with customers, business products and practices, damages to material assets, business and systems interruption, and failures in process execution, delivery and management of processes.</w:t>
      </w:r>
    </w:p>
    <w:p>
      <w:pPr>
        <w:spacing w:after="0" w:line="137" w:lineRule="exact"/>
        <w:rPr>
          <w:sz w:val="20"/>
          <w:szCs w:val="20"/>
          <w:color w:val="auto"/>
        </w:rPr>
      </w:pPr>
    </w:p>
    <w:p>
      <w:pPr>
        <w:ind w:left="580"/>
        <w:spacing w:after="0" w:line="259" w:lineRule="auto"/>
        <w:rPr>
          <w:sz w:val="20"/>
          <w:szCs w:val="20"/>
          <w:color w:val="auto"/>
        </w:rPr>
      </w:pPr>
      <w:r>
        <w:rPr>
          <w:rFonts w:ascii="Arial" w:cs="Arial" w:eastAsia="Arial" w:hAnsi="Arial"/>
          <w:sz w:val="16"/>
          <w:szCs w:val="16"/>
          <w:color w:val="auto"/>
        </w:rPr>
        <w:t>One of the Group’s pillars is to develop an efficient risk culture, and to achieve this, it records operational risks and their respective process controls. The risk map permits their monitoring, prioritization and proposed treatment according to established governance. Likewise carries out an active cybersecurity and fraud prevention management, aligned with the best international practices.</w:t>
      </w:r>
    </w:p>
    <w:p>
      <w:pPr>
        <w:spacing w:after="0" w:line="137" w:lineRule="exact"/>
        <w:rPr>
          <w:sz w:val="20"/>
          <w:szCs w:val="20"/>
          <w:color w:val="auto"/>
        </w:rPr>
      </w:pPr>
    </w:p>
    <w:p>
      <w:pPr>
        <w:ind w:left="580" w:right="160"/>
        <w:spacing w:after="0" w:line="259" w:lineRule="auto"/>
        <w:rPr>
          <w:sz w:val="20"/>
          <w:szCs w:val="20"/>
          <w:color w:val="auto"/>
        </w:rPr>
      </w:pPr>
      <w:r>
        <w:rPr>
          <w:rFonts w:ascii="Arial" w:cs="Arial" w:eastAsia="Arial" w:hAnsi="Arial"/>
          <w:sz w:val="16"/>
          <w:szCs w:val="16"/>
          <w:color w:val="auto"/>
        </w:rPr>
        <w:t>The business continuity management system enables the establishing, implementing, operating, monitoring, reviewing, maintaining and improving of business continuity based on best practices and regulatory requirements. The Group implements recovery strategies for the resources that support important products and services of the organization, which will be periodically tested to measure the effectiveness of the strategy.</w:t>
      </w:r>
    </w:p>
    <w:p>
      <w:pPr>
        <w:spacing w:after="0" w:line="137" w:lineRule="exact"/>
        <w:rPr>
          <w:sz w:val="20"/>
          <w:szCs w:val="20"/>
          <w:color w:val="auto"/>
        </w:rPr>
      </w:pPr>
    </w:p>
    <w:p>
      <w:pPr>
        <w:ind w:left="580" w:right="180"/>
        <w:spacing w:after="0" w:line="280" w:lineRule="auto"/>
        <w:rPr>
          <w:sz w:val="20"/>
          <w:szCs w:val="20"/>
          <w:color w:val="auto"/>
        </w:rPr>
      </w:pPr>
      <w:r>
        <w:rPr>
          <w:rFonts w:ascii="Arial" w:cs="Arial" w:eastAsia="Arial" w:hAnsi="Arial"/>
          <w:sz w:val="16"/>
          <w:szCs w:val="16"/>
          <w:color w:val="auto"/>
        </w:rPr>
        <w:t>In the management of operational risk, cybersecurity, fraud prevention and business continuity, corporate guidelines are used, and methodologies and best practices are shared among the Group’s companies.</w:t>
      </w:r>
    </w:p>
    <w:p>
      <w:pPr>
        <w:spacing w:after="0" w:line="120" w:lineRule="exact"/>
        <w:rPr>
          <w:sz w:val="20"/>
          <w:szCs w:val="20"/>
          <w:color w:val="auto"/>
        </w:rPr>
      </w:pPr>
    </w:p>
    <w:p>
      <w:pPr>
        <w:ind w:left="580" w:right="220"/>
        <w:spacing w:after="0" w:line="247" w:lineRule="auto"/>
        <w:rPr>
          <w:sz w:val="20"/>
          <w:szCs w:val="20"/>
          <w:color w:val="auto"/>
        </w:rPr>
      </w:pPr>
      <w:r>
        <w:rPr>
          <w:rFonts w:ascii="Arial" w:cs="Arial" w:eastAsia="Arial" w:hAnsi="Arial"/>
          <w:sz w:val="16"/>
          <w:szCs w:val="16"/>
          <w:color w:val="auto"/>
        </w:rPr>
        <w:t>Finally, it is incorporated as a mechanism of recovery in front of the materialization of operational risks, the management of the Transfer of Non-Financial Risks, mainly through Insurance Policies contracted individually or corporately in the local and international market, which cover losses due to fraud, civil and professional liability, cyber risks, damage to physical assets, among others. The insurance design is in accordance with the Group’s main operating risks, the coverage needs of key areas and the organization’s risk appetite, constantly seeking efficiencies in the cost of policies, working together with the insurers that make up the Group and the most important insurance/reinsurance brokers in the international market.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8" w:name="page179"/>
    <w:bookmarkEnd w:id="178"/>
    <w:p>
      <w:pPr>
        <w:spacing w:after="0"/>
        <w:tabs>
          <w:tab w:leader="none" w:pos="560" w:val="left"/>
        </w:tabs>
        <w:rPr>
          <w:sz w:val="20"/>
          <w:szCs w:val="20"/>
          <w:color w:val="auto"/>
        </w:rPr>
      </w:pPr>
      <w:r>
        <w:rPr>
          <w:rFonts w:ascii="Arial" w:cs="Arial" w:eastAsia="Arial" w:hAnsi="Arial"/>
          <w:sz w:val="16"/>
          <w:szCs w:val="16"/>
          <w:b w:val="1"/>
          <w:bCs w:val="1"/>
          <w:color w:val="auto"/>
        </w:rPr>
        <w:t>30.6</w:t>
        <w:tab/>
        <w:t>Cybersecurity -</w:t>
      </w:r>
    </w:p>
    <w:p>
      <w:pPr>
        <w:spacing w:after="0" w:line="182" w:lineRule="exact"/>
        <w:rPr>
          <w:sz w:val="20"/>
          <w:szCs w:val="20"/>
          <w:color w:val="auto"/>
        </w:rPr>
      </w:pPr>
    </w:p>
    <w:p>
      <w:pPr>
        <w:ind w:left="580" w:right="140"/>
        <w:spacing w:after="0" w:line="252" w:lineRule="auto"/>
        <w:rPr>
          <w:sz w:val="20"/>
          <w:szCs w:val="20"/>
          <w:color w:val="auto"/>
        </w:rPr>
      </w:pPr>
      <w:r>
        <w:rPr>
          <w:rFonts w:ascii="Arial" w:cs="Arial" w:eastAsia="Arial" w:hAnsi="Arial"/>
          <w:sz w:val="16"/>
          <w:szCs w:val="16"/>
          <w:color w:val="auto"/>
        </w:rPr>
        <w:t>Credicorp focuses its efforts on the most cost-efficient strategies to reduce the exposure to cybersecurity risk; thus, meeting the Group’s risk appetite. To achieve this, different levels of controls adapted to the different areas and companies potentially exposed are applied. Therefore, it maintains a significant investment program, which allows it to have the necessary technologies and processes to keep the Group’s operations and assets secure.</w:t>
      </w:r>
    </w:p>
    <w:p>
      <w:pPr>
        <w:spacing w:after="0" w:line="144" w:lineRule="exact"/>
        <w:rPr>
          <w:sz w:val="20"/>
          <w:szCs w:val="20"/>
          <w:color w:val="auto"/>
        </w:rPr>
      </w:pPr>
    </w:p>
    <w:p>
      <w:pPr>
        <w:ind w:left="580" w:right="60"/>
        <w:spacing w:after="0" w:line="245" w:lineRule="auto"/>
        <w:rPr>
          <w:sz w:val="20"/>
          <w:szCs w:val="20"/>
          <w:color w:val="auto"/>
        </w:rPr>
      </w:pPr>
      <w:r>
        <w:rPr>
          <w:rFonts w:ascii="Arial" w:cs="Arial" w:eastAsia="Arial" w:hAnsi="Arial"/>
          <w:sz w:val="16"/>
          <w:szCs w:val="16"/>
          <w:color w:val="auto"/>
        </w:rPr>
        <w:t>As part of the Cybersecurity Government, the Group has the CISO Credicorp and a corporate team whose objective is to ensure the deployment and compliance of the Cybersecurity strategy in all companies. The corporate appetite has been defined, which is reviewed annually, and the Strategy and Plan has been established at the corporate level, defining implementation priorities and improvements in accordance with the different realities of the companies. These lines of work include the Cybersecurity Strategy, which is constantly reviewed considering the global scenario, the risk profile, standards, frameworks and regulations, in order to guarantee business continuity, resilience and data privacy, as well as the adoption of the robust cybersecurity framework that allows the adaptation of cybersecurity controls for each of the Group’s companies, adequate management and remediation of vulnerabilities in an early and timely manner.</w:t>
      </w:r>
    </w:p>
    <w:p>
      <w:pPr>
        <w:spacing w:after="0" w:line="151" w:lineRule="exact"/>
        <w:rPr>
          <w:sz w:val="20"/>
          <w:szCs w:val="20"/>
          <w:color w:val="auto"/>
        </w:rPr>
      </w:pPr>
    </w:p>
    <w:p>
      <w:pPr>
        <w:ind w:left="580" w:right="480"/>
        <w:spacing w:after="0" w:line="280" w:lineRule="auto"/>
        <w:rPr>
          <w:sz w:val="20"/>
          <w:szCs w:val="20"/>
          <w:color w:val="auto"/>
        </w:rPr>
      </w:pPr>
      <w:r>
        <w:rPr>
          <w:rFonts w:ascii="Arial" w:cs="Arial" w:eastAsia="Arial" w:hAnsi="Arial"/>
          <w:sz w:val="16"/>
          <w:szCs w:val="16"/>
          <w:color w:val="auto"/>
        </w:rPr>
        <w:t>There is an awareness program, constant training of employees to generate a culture of cybersecurity awareness in all Group companies and cybersecurity indicators, which ensure alignment between the operations and business strategy of the Group’s companies.</w:t>
      </w:r>
    </w:p>
    <w:p>
      <w:pPr>
        <w:spacing w:after="0" w:line="120" w:lineRule="exact"/>
        <w:rPr>
          <w:sz w:val="20"/>
          <w:szCs w:val="20"/>
          <w:color w:val="auto"/>
        </w:rPr>
      </w:pPr>
    </w:p>
    <w:p>
      <w:pPr>
        <w:ind w:left="580" w:right="720"/>
        <w:spacing w:after="0" w:line="280" w:lineRule="auto"/>
        <w:rPr>
          <w:sz w:val="20"/>
          <w:szCs w:val="20"/>
          <w:color w:val="auto"/>
        </w:rPr>
      </w:pPr>
      <w:r>
        <w:rPr>
          <w:rFonts w:ascii="Arial" w:cs="Arial" w:eastAsia="Arial" w:hAnsi="Arial"/>
          <w:sz w:val="16"/>
          <w:szCs w:val="16"/>
          <w:color w:val="auto"/>
        </w:rPr>
        <w:t>Third-party governance allows us to ensure adherence and compliance with the Group’s policies, as well as the implementation of security technologies, to comprehensively secure all business processes.</w:t>
      </w:r>
    </w:p>
    <w:p>
      <w:pPr>
        <w:spacing w:after="0" w:line="120" w:lineRule="exact"/>
        <w:rPr>
          <w:sz w:val="20"/>
          <w:szCs w:val="20"/>
          <w:color w:val="auto"/>
        </w:rPr>
      </w:pPr>
    </w:p>
    <w:p>
      <w:pPr>
        <w:jc w:val="both"/>
        <w:ind w:left="580"/>
        <w:spacing w:after="0" w:line="259" w:lineRule="auto"/>
        <w:rPr>
          <w:sz w:val="20"/>
          <w:szCs w:val="20"/>
          <w:color w:val="auto"/>
        </w:rPr>
      </w:pPr>
      <w:r>
        <w:rPr>
          <w:rFonts w:ascii="Arial" w:cs="Arial" w:eastAsia="Arial" w:hAnsi="Arial"/>
          <w:sz w:val="16"/>
          <w:szCs w:val="16"/>
          <w:color w:val="auto"/>
        </w:rPr>
        <w:t>Finally, the management of information security of information assets is carried out through a systemic process, documented and known by the entire organization under the best practices and regulatory requirements. Guidelines are designed and developed based on policies and procedures to ensure availability, privacy and integrity strategies.</w:t>
      </w:r>
    </w:p>
    <w:p>
      <w:pPr>
        <w:spacing w:after="0" w:line="1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30.7</w:t>
        <w:tab/>
        <w:t>Corporate Security and Cybercrime -</w:t>
      </w:r>
    </w:p>
    <w:p>
      <w:pPr>
        <w:spacing w:after="0" w:line="183" w:lineRule="exact"/>
        <w:rPr>
          <w:sz w:val="20"/>
          <w:szCs w:val="20"/>
          <w:color w:val="auto"/>
        </w:rPr>
      </w:pPr>
    </w:p>
    <w:p>
      <w:pPr>
        <w:ind w:left="580" w:right="200"/>
        <w:spacing w:after="0" w:line="280" w:lineRule="auto"/>
        <w:rPr>
          <w:sz w:val="20"/>
          <w:szCs w:val="20"/>
          <w:color w:val="auto"/>
        </w:rPr>
      </w:pPr>
      <w:r>
        <w:rPr>
          <w:rFonts w:ascii="Arial" w:cs="Arial" w:eastAsia="Arial" w:hAnsi="Arial"/>
          <w:sz w:val="16"/>
          <w:szCs w:val="16"/>
          <w:color w:val="auto"/>
        </w:rPr>
        <w:t>As part of the management of non-financial risks, the Corporate Security &amp; Cyber Crime Area is responsible for detecting and responding to fraud and security incidents.</w:t>
      </w:r>
    </w:p>
    <w:p>
      <w:pPr>
        <w:spacing w:after="0" w:line="120" w:lineRule="exact"/>
        <w:rPr>
          <w:sz w:val="20"/>
          <w:szCs w:val="20"/>
          <w:color w:val="auto"/>
        </w:rPr>
      </w:pPr>
    </w:p>
    <w:p>
      <w:pPr>
        <w:ind w:left="580" w:right="40"/>
        <w:spacing w:after="0" w:line="259" w:lineRule="auto"/>
        <w:rPr>
          <w:sz w:val="20"/>
          <w:szCs w:val="20"/>
          <w:color w:val="auto"/>
        </w:rPr>
      </w:pPr>
      <w:r>
        <w:rPr>
          <w:rFonts w:ascii="Arial" w:cs="Arial" w:eastAsia="Arial" w:hAnsi="Arial"/>
          <w:sz w:val="16"/>
          <w:szCs w:val="16"/>
          <w:color w:val="auto"/>
        </w:rPr>
        <w:t>These tasks are carried out through specialized teams of investigations, cybercrime, forensic computing, internal fraud risk assessment, inspections, physical and electronic security, disaster risk management and strategic intelligence activities, which allow the safety of collaborators to be safeguarded, clients, suppliers and assets of the Group; as well as strengthening the organization’s resilience and rapid response capacity.</w:t>
      </w:r>
    </w:p>
    <w:p>
      <w:pPr>
        <w:spacing w:after="0" w:line="137" w:lineRule="exact"/>
        <w:rPr>
          <w:sz w:val="20"/>
          <w:szCs w:val="20"/>
          <w:color w:val="auto"/>
        </w:rPr>
      </w:pPr>
    </w:p>
    <w:p>
      <w:pPr>
        <w:ind w:left="580" w:right="60"/>
        <w:spacing w:after="0" w:line="254" w:lineRule="auto"/>
        <w:rPr>
          <w:sz w:val="20"/>
          <w:szCs w:val="20"/>
          <w:color w:val="auto"/>
        </w:rPr>
      </w:pPr>
      <w:r>
        <w:rPr>
          <w:rFonts w:ascii="Arial" w:cs="Arial" w:eastAsia="Arial" w:hAnsi="Arial"/>
          <w:sz w:val="16"/>
          <w:szCs w:val="16"/>
          <w:color w:val="auto"/>
        </w:rPr>
        <w:t>To this end, the designed strategy includes the use of cutting-edge technological tools in video surveillance, digital video surveillance and advanced risk profile analysis models, among other fronts. Likewise, there is highly specialized and trained talent on these fronts that allows the appropriate use of artificial intelligence, electronics, advanced analytics and cyber forensics, achieving high standards of efficiency and effectiveness in management.</w:t>
      </w:r>
    </w:p>
    <w:p>
      <w:pPr>
        <w:spacing w:after="0" w:line="332" w:lineRule="exact"/>
        <w:rPr>
          <w:sz w:val="20"/>
          <w:szCs w:val="20"/>
          <w:color w:val="auto"/>
        </w:rPr>
      </w:pPr>
    </w:p>
    <w:p>
      <w:pPr>
        <w:ind w:left="580" w:right="120"/>
        <w:spacing w:after="0" w:line="259" w:lineRule="auto"/>
        <w:rPr>
          <w:sz w:val="20"/>
          <w:szCs w:val="20"/>
          <w:color w:val="auto"/>
        </w:rPr>
      </w:pPr>
      <w:r>
        <w:rPr>
          <w:rFonts w:ascii="Arial" w:cs="Arial" w:eastAsia="Arial" w:hAnsi="Arial"/>
          <w:sz w:val="16"/>
          <w:szCs w:val="16"/>
          <w:color w:val="auto"/>
        </w:rPr>
        <w:t>Finally, The Group contributes to the security of the Financial System through union activities that it develops at the local level in the Association of Banks of Peru (ASBANC) and at the Latin American level in the Committee of Security Experts of the Latin American Federation of Banks (FELABAN).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9" w:name="page180"/>
    <w:bookmarkEnd w:id="179"/>
    <w:p>
      <w:pPr>
        <w:spacing w:after="0"/>
        <w:tabs>
          <w:tab w:leader="none" w:pos="560" w:val="left"/>
        </w:tabs>
        <w:rPr>
          <w:sz w:val="20"/>
          <w:szCs w:val="20"/>
          <w:color w:val="auto"/>
        </w:rPr>
      </w:pPr>
      <w:r>
        <w:rPr>
          <w:rFonts w:ascii="Arial" w:cs="Arial" w:eastAsia="Arial" w:hAnsi="Arial"/>
          <w:sz w:val="16"/>
          <w:szCs w:val="16"/>
          <w:b w:val="1"/>
          <w:bCs w:val="1"/>
          <w:color w:val="auto"/>
        </w:rPr>
        <w:t>30.8</w:t>
        <w:tab/>
        <w:t>Model Risk -</w:t>
      </w:r>
    </w:p>
    <w:p>
      <w:pPr>
        <w:spacing w:after="0" w:line="184" w:lineRule="exact"/>
        <w:rPr>
          <w:sz w:val="20"/>
          <w:szCs w:val="20"/>
          <w:color w:val="auto"/>
        </w:rPr>
      </w:pPr>
    </w:p>
    <w:p>
      <w:pPr>
        <w:ind w:left="580" w:right="500"/>
        <w:spacing w:after="0" w:line="280" w:lineRule="auto"/>
        <w:rPr>
          <w:sz w:val="20"/>
          <w:szCs w:val="20"/>
          <w:color w:val="auto"/>
        </w:rPr>
      </w:pPr>
      <w:r>
        <w:rPr>
          <w:rFonts w:ascii="Arial" w:cs="Arial" w:eastAsia="Arial" w:hAnsi="Arial"/>
          <w:sz w:val="16"/>
          <w:szCs w:val="16"/>
          <w:color w:val="auto"/>
        </w:rPr>
        <w:t>The Group uses models for different purposes such as credit admission, capital calculation, behavior, provisions, market risk, liquidity, among others.</w:t>
      </w:r>
    </w:p>
    <w:p>
      <w:pPr>
        <w:spacing w:after="0" w:line="120" w:lineRule="exact"/>
        <w:rPr>
          <w:sz w:val="20"/>
          <w:szCs w:val="20"/>
          <w:color w:val="auto"/>
        </w:rPr>
      </w:pPr>
    </w:p>
    <w:p>
      <w:pPr>
        <w:ind w:left="580" w:right="220"/>
        <w:spacing w:after="0" w:line="259" w:lineRule="auto"/>
        <w:rPr>
          <w:sz w:val="20"/>
          <w:szCs w:val="20"/>
          <w:color w:val="auto"/>
        </w:rPr>
      </w:pPr>
      <w:r>
        <w:rPr>
          <w:rFonts w:ascii="Arial" w:cs="Arial" w:eastAsia="Arial" w:hAnsi="Arial"/>
          <w:sz w:val="16"/>
          <w:szCs w:val="16"/>
          <w:color w:val="auto"/>
        </w:rPr>
        <w:t>Model risk is defined as the probability of loss resulting from decisions (credit, market, among others) based on the use of poorly designed and/or poorly implemented models. The sources that generate this risk are mainly: deficiencies in data, errors in the model (from design to implementation), use of the model.</w:t>
      </w:r>
    </w:p>
    <w:p>
      <w:pPr>
        <w:spacing w:after="0" w:line="137" w:lineRule="exact"/>
        <w:rPr>
          <w:sz w:val="20"/>
          <w:szCs w:val="20"/>
          <w:color w:val="auto"/>
        </w:rPr>
      </w:pPr>
    </w:p>
    <w:p>
      <w:pPr>
        <w:ind w:left="580" w:right="180"/>
        <w:spacing w:after="0" w:line="259" w:lineRule="auto"/>
        <w:rPr>
          <w:sz w:val="20"/>
          <w:szCs w:val="20"/>
          <w:color w:val="auto"/>
        </w:rPr>
      </w:pPr>
      <w:r>
        <w:rPr>
          <w:rFonts w:ascii="Arial" w:cs="Arial" w:eastAsia="Arial" w:hAnsi="Arial"/>
          <w:sz w:val="16"/>
          <w:szCs w:val="16"/>
          <w:color w:val="auto"/>
        </w:rPr>
        <w:t>The management of model risk is proportional to the importance of each model. In this sense, a concept of “tiering” (measurement system that orders the models depending to the importance according to the impact on the business) is defined as the main attribute to synthesize the level of importance or relevance of a model, from which is determined the intensity of the model risk management processes to be followed.</w:t>
      </w:r>
    </w:p>
    <w:p>
      <w:pPr>
        <w:spacing w:after="0" w:line="137" w:lineRule="exact"/>
        <w:rPr>
          <w:sz w:val="20"/>
          <w:szCs w:val="20"/>
          <w:color w:val="auto"/>
        </w:rPr>
      </w:pPr>
    </w:p>
    <w:p>
      <w:pPr>
        <w:jc w:val="both"/>
        <w:ind w:left="580" w:right="60"/>
        <w:spacing w:after="0" w:line="259" w:lineRule="auto"/>
        <w:rPr>
          <w:sz w:val="20"/>
          <w:szCs w:val="20"/>
          <w:color w:val="auto"/>
        </w:rPr>
      </w:pPr>
      <w:r>
        <w:rPr>
          <w:rFonts w:ascii="Arial" w:cs="Arial" w:eastAsia="Arial" w:hAnsi="Arial"/>
          <w:sz w:val="16"/>
          <w:szCs w:val="16"/>
          <w:color w:val="auto"/>
        </w:rPr>
        <w:t>Model risk management is structured around a set of processes known as the life cycle of the model. The definition of phases of the life cycle of the model in the Group is detailed below: Identification, Planning, Development, Internal Validation, Approval, Implementation and use, and Monitoring and control.</w:t>
      </w:r>
    </w:p>
    <w:p>
      <w:pPr>
        <w:spacing w:after="0" w:line="1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30.9</w:t>
        <w:tab/>
        <w:t>Risk of the insurance activity -</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main risk the Group faces under insurance contracts is that the real cost of claims and payments or the timing of them, differ from expectations.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is influenced by the frequency of claims, the severity of the claims, the real benefits paid and the subsequent development of long-term claims.</w:t>
      </w:r>
    </w:p>
    <w:p>
      <w:pPr>
        <w:spacing w:after="0" w:line="167" w:lineRule="exact"/>
        <w:rPr>
          <w:sz w:val="20"/>
          <w:szCs w:val="20"/>
          <w:color w:val="auto"/>
        </w:rPr>
      </w:pPr>
    </w:p>
    <w:p>
      <w:pPr>
        <w:ind w:left="580" w:right="60"/>
        <w:spacing w:after="0" w:line="252" w:lineRule="auto"/>
        <w:rPr>
          <w:sz w:val="20"/>
          <w:szCs w:val="20"/>
          <w:color w:val="auto"/>
        </w:rPr>
      </w:pPr>
      <w:r>
        <w:rPr>
          <w:rFonts w:ascii="Arial" w:cs="Arial" w:eastAsia="Arial" w:hAnsi="Arial"/>
          <w:sz w:val="16"/>
          <w:szCs w:val="16"/>
          <w:color w:val="auto"/>
        </w:rPr>
        <w:t>Risk exposure is mitigated by diversification through a large portfolio of insurance contracts and by having different lines of business. Risks are also mitigated by careful selection and implementation of strategic underwriting guidelines, as well as the use of reinsurance agreements. Reinsurance underwriting is diversified in such a way that the Group is not dependent on any particular reinsurer; likewise, the Group’s operations are not dependent on any particular reinsurance contract.</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Life insurance contracts –</w:t>
      </w:r>
    </w:p>
    <w:p>
      <w:pPr>
        <w:spacing w:after="0" w:line="183" w:lineRule="exact"/>
        <w:rPr>
          <w:sz w:val="20"/>
          <w:szCs w:val="20"/>
          <w:color w:val="auto"/>
        </w:rPr>
      </w:pPr>
    </w:p>
    <w:p>
      <w:pPr>
        <w:jc w:val="both"/>
        <w:ind w:left="580"/>
        <w:spacing w:after="0" w:line="259" w:lineRule="auto"/>
        <w:rPr>
          <w:sz w:val="20"/>
          <w:szCs w:val="20"/>
          <w:color w:val="auto"/>
        </w:rPr>
      </w:pPr>
      <w:r>
        <w:rPr>
          <w:rFonts w:ascii="Arial" w:cs="Arial" w:eastAsia="Arial" w:hAnsi="Arial"/>
          <w:sz w:val="16"/>
          <w:szCs w:val="16"/>
          <w:color w:val="auto"/>
        </w:rPr>
        <w:t>The main risks that the Group is exposed to are mortality, morbidity, longevity, investment yield and flow, losses arising from policies due to the expense incurred being different than expected, and the policyholder decision; all of which, do not vary significantly in relation to the location of the risk insured by the Group, type of risk insured or industry.</w:t>
      </w:r>
    </w:p>
    <w:p>
      <w:pPr>
        <w:spacing w:after="0" w:line="137" w:lineRule="exact"/>
        <w:rPr>
          <w:sz w:val="20"/>
          <w:szCs w:val="20"/>
          <w:color w:val="auto"/>
        </w:rPr>
      </w:pPr>
    </w:p>
    <w:p>
      <w:pPr>
        <w:ind w:left="580" w:right="160"/>
        <w:spacing w:after="0" w:line="249" w:lineRule="auto"/>
        <w:rPr>
          <w:sz w:val="20"/>
          <w:szCs w:val="20"/>
          <w:color w:val="auto"/>
        </w:rPr>
      </w:pPr>
      <w:r>
        <w:rPr>
          <w:rFonts w:ascii="Arial" w:cs="Arial" w:eastAsia="Arial" w:hAnsi="Arial"/>
          <w:sz w:val="16"/>
          <w:szCs w:val="16"/>
          <w:color w:val="auto"/>
        </w:rPr>
        <w:t>The Group’s underwriting strategy is designed to ensure that risks are well diversified in terms of type of risk and level of insured benefits. This is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145" w:lineRule="exact"/>
        <w:rPr>
          <w:sz w:val="20"/>
          <w:szCs w:val="20"/>
          <w:color w:val="auto"/>
        </w:rPr>
      </w:pPr>
    </w:p>
    <w:p>
      <w:pPr>
        <w:ind w:left="580" w:right="220"/>
        <w:spacing w:after="0" w:line="280" w:lineRule="auto"/>
        <w:rPr>
          <w:sz w:val="20"/>
          <w:szCs w:val="20"/>
          <w:color w:val="auto"/>
        </w:rPr>
      </w:pPr>
      <w:r>
        <w:rPr>
          <w:rFonts w:ascii="Arial" w:cs="Arial" w:eastAsia="Arial" w:hAnsi="Arial"/>
          <w:sz w:val="16"/>
          <w:szCs w:val="16"/>
          <w:color w:val="auto"/>
        </w:rPr>
        <w:t>For contracts where death or disability is the insured risk, the significant factors that could increase the overall frequency of claims are epidemics, widespread changes in lifestyle and natural disasters, resulting in more claims than expected.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0" w:name="page181"/>
    <w:bookmarkEnd w:id="180"/>
    <w:p>
      <w:pPr>
        <w:ind w:right="580"/>
        <w:spacing w:after="0" w:line="278" w:lineRule="auto"/>
        <w:rPr>
          <w:sz w:val="20"/>
          <w:szCs w:val="20"/>
          <w:color w:val="auto"/>
        </w:rPr>
      </w:pPr>
      <w:r>
        <w:rPr>
          <w:rFonts w:ascii="Arial" w:cs="Arial" w:eastAsia="Arial" w:hAnsi="Arial"/>
          <w:sz w:val="16"/>
          <w:szCs w:val="16"/>
          <w:color w:val="auto"/>
        </w:rPr>
        <w:t>For retirement, survival and disability annuities contracts, the most significant factor is continuing improvement in medical science and social conditions that increase longevity.</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Non-life insurance contracts (general insurance and healthcare) –</w:t>
      </w:r>
    </w:p>
    <w:p>
      <w:pPr>
        <w:spacing w:after="0" w:line="183"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Group mainly issues the following types of non-life general insurance contracts: automobile, technical branches, business and healthcare insurances. Healthcare contracts provide medical expense cover to policyholders. Risks under non-life insurance policies usually cover 12 months.</w:t>
      </w:r>
    </w:p>
    <w:p>
      <w:pPr>
        <w:spacing w:after="0" w:line="12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20"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The above risk exposures are mitigated by diversification across a large portfolio of insurance contracts and by having different lines of business. The sensitivity of risk is improved by careful selection and implementation of underwriting strategies of insurance contracts, which are designed to ensure that risks are diversified in terms of type of risks and level of insured benefits. This is achieved, in various cases, through diversification across industry sectors and geographic location.</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Furthermore, strict claim review policies to assess all new and ongoing claims and in process of settlement,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4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Group has also limited its exposure by imposing maximum claim amounts on certain contracts as well as the use of reinsurance arrangements in order to limit its exposure to catastrophic events.</w:t>
      </w:r>
    </w:p>
    <w:p>
      <w:pPr>
        <w:spacing w:after="0" w:line="279"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41275</wp:posOffset>
            </wp:positionV>
            <wp:extent cx="714565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60"/>
          </w:cols>
          <w:pgMar w:left="900" w:top="124" w:right="339" w:bottom="1440" w:gutter="0" w:footer="0" w:header="0"/>
        </w:sectPr>
      </w:pPr>
    </w:p>
    <w:bookmarkStart w:id="181" w:name="page182"/>
    <w:bookmarkEnd w:id="181"/>
    <w:p>
      <w:pPr>
        <w:spacing w:after="0"/>
        <w:rPr>
          <w:sz w:val="20"/>
          <w:szCs w:val="20"/>
          <w:color w:val="auto"/>
        </w:rPr>
      </w:pPr>
      <w:r>
        <w:rPr>
          <w:rFonts w:ascii="Arial" w:cs="Arial" w:eastAsia="Arial" w:hAnsi="Arial"/>
          <w:sz w:val="16"/>
          <w:szCs w:val="16"/>
          <w:color w:val="auto"/>
        </w:rPr>
        <w:t>Evolution of accidents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estimates of accumulated claims incurred as of December 31,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1"/>
                <w:szCs w:val="11"/>
                <w:color w:val="auto"/>
              </w:rPr>
            </w:pPr>
          </w:p>
        </w:tc>
        <w:tc>
          <w:tcPr>
            <w:tcW w:w="900" w:type="dxa"/>
            <w:vAlign w:val="bottom"/>
            <w:gridSpan w:val="2"/>
          </w:tcPr>
          <w:p>
            <w:pPr>
              <w:jc w:val="right"/>
              <w:ind w:right="243"/>
              <w:spacing w:after="0"/>
              <w:rPr>
                <w:sz w:val="20"/>
                <w:szCs w:val="20"/>
                <w:color w:val="auto"/>
              </w:rPr>
            </w:pPr>
            <w:r>
              <w:rPr>
                <w:rFonts w:ascii="Arial" w:cs="Arial" w:eastAsia="Arial" w:hAnsi="Arial"/>
                <w:sz w:val="11"/>
                <w:szCs w:val="11"/>
                <w:b w:val="1"/>
                <w:bCs w:val="1"/>
                <w:color w:val="auto"/>
              </w:rPr>
              <w:t>2014</w:t>
            </w:r>
          </w:p>
        </w:tc>
        <w:tc>
          <w:tcPr>
            <w:tcW w:w="760" w:type="dxa"/>
            <w:vAlign w:val="bottom"/>
          </w:tcPr>
          <w:p>
            <w:pPr>
              <w:jc w:val="right"/>
              <w:ind w:right="183"/>
              <w:spacing w:after="0"/>
              <w:rPr>
                <w:sz w:val="20"/>
                <w:szCs w:val="20"/>
                <w:color w:val="auto"/>
              </w:rPr>
            </w:pPr>
            <w:r>
              <w:rPr>
                <w:rFonts w:ascii="Arial" w:cs="Arial" w:eastAsia="Arial" w:hAnsi="Arial"/>
                <w:sz w:val="11"/>
                <w:szCs w:val="11"/>
                <w:b w:val="1"/>
                <w:bCs w:val="1"/>
                <w:color w:val="auto"/>
              </w:rPr>
              <w:t>2015</w:t>
            </w:r>
          </w:p>
        </w:tc>
        <w:tc>
          <w:tcPr>
            <w:tcW w:w="780" w:type="dxa"/>
            <w:vAlign w:val="bottom"/>
          </w:tcPr>
          <w:p>
            <w:pPr>
              <w:jc w:val="right"/>
              <w:ind w:right="183"/>
              <w:spacing w:after="0"/>
              <w:rPr>
                <w:sz w:val="20"/>
                <w:szCs w:val="20"/>
                <w:color w:val="auto"/>
              </w:rPr>
            </w:pPr>
            <w:r>
              <w:rPr>
                <w:rFonts w:ascii="Arial" w:cs="Arial" w:eastAsia="Arial" w:hAnsi="Arial"/>
                <w:sz w:val="11"/>
                <w:szCs w:val="11"/>
                <w:b w:val="1"/>
                <w:bCs w:val="1"/>
                <w:color w:val="auto"/>
              </w:rPr>
              <w:t>2016</w:t>
            </w:r>
          </w:p>
        </w:tc>
        <w:tc>
          <w:tcPr>
            <w:tcW w:w="800" w:type="dxa"/>
            <w:vAlign w:val="bottom"/>
          </w:tcPr>
          <w:p>
            <w:pPr>
              <w:jc w:val="right"/>
              <w:ind w:right="203"/>
              <w:spacing w:after="0"/>
              <w:rPr>
                <w:sz w:val="20"/>
                <w:szCs w:val="20"/>
                <w:color w:val="auto"/>
              </w:rPr>
            </w:pPr>
            <w:r>
              <w:rPr>
                <w:rFonts w:ascii="Arial" w:cs="Arial" w:eastAsia="Arial" w:hAnsi="Arial"/>
                <w:sz w:val="11"/>
                <w:szCs w:val="11"/>
                <w:b w:val="1"/>
                <w:bCs w:val="1"/>
                <w:color w:val="auto"/>
              </w:rPr>
              <w:t>2017</w:t>
            </w:r>
          </w:p>
        </w:tc>
        <w:tc>
          <w:tcPr>
            <w:tcW w:w="780" w:type="dxa"/>
            <w:vAlign w:val="bottom"/>
          </w:tcPr>
          <w:p>
            <w:pPr>
              <w:jc w:val="right"/>
              <w:ind w:right="203"/>
              <w:spacing w:after="0"/>
              <w:rPr>
                <w:sz w:val="20"/>
                <w:szCs w:val="20"/>
                <w:color w:val="auto"/>
              </w:rPr>
            </w:pPr>
            <w:r>
              <w:rPr>
                <w:rFonts w:ascii="Arial" w:cs="Arial" w:eastAsia="Arial" w:hAnsi="Arial"/>
                <w:sz w:val="11"/>
                <w:szCs w:val="11"/>
                <w:b w:val="1"/>
                <w:bCs w:val="1"/>
                <w:color w:val="auto"/>
              </w:rPr>
              <w:t>2018</w:t>
            </w:r>
          </w:p>
        </w:tc>
        <w:tc>
          <w:tcPr>
            <w:tcW w:w="780" w:type="dxa"/>
            <w:vAlign w:val="bottom"/>
          </w:tcPr>
          <w:p>
            <w:pPr>
              <w:jc w:val="right"/>
              <w:ind w:right="203"/>
              <w:spacing w:after="0"/>
              <w:rPr>
                <w:sz w:val="20"/>
                <w:szCs w:val="20"/>
                <w:color w:val="auto"/>
              </w:rPr>
            </w:pPr>
            <w:r>
              <w:rPr>
                <w:rFonts w:ascii="Arial" w:cs="Arial" w:eastAsia="Arial" w:hAnsi="Arial"/>
                <w:sz w:val="11"/>
                <w:szCs w:val="11"/>
                <w:b w:val="1"/>
                <w:bCs w:val="1"/>
                <w:color w:val="auto"/>
              </w:rPr>
              <w:t>2019</w:t>
            </w:r>
          </w:p>
        </w:tc>
        <w:tc>
          <w:tcPr>
            <w:tcW w:w="780" w:type="dxa"/>
            <w:vAlign w:val="bottom"/>
          </w:tcPr>
          <w:p>
            <w:pPr>
              <w:jc w:val="right"/>
              <w:ind w:right="203"/>
              <w:spacing w:after="0"/>
              <w:rPr>
                <w:sz w:val="20"/>
                <w:szCs w:val="20"/>
                <w:color w:val="auto"/>
              </w:rPr>
            </w:pPr>
            <w:r>
              <w:rPr>
                <w:rFonts w:ascii="Arial" w:cs="Arial" w:eastAsia="Arial" w:hAnsi="Arial"/>
                <w:sz w:val="11"/>
                <w:szCs w:val="11"/>
                <w:b w:val="1"/>
                <w:bCs w:val="1"/>
                <w:color w:val="auto"/>
              </w:rPr>
              <w:t>2020</w:t>
            </w:r>
          </w:p>
        </w:tc>
        <w:tc>
          <w:tcPr>
            <w:tcW w:w="780" w:type="dxa"/>
            <w:vAlign w:val="bottom"/>
          </w:tcPr>
          <w:p>
            <w:pPr>
              <w:jc w:val="right"/>
              <w:ind w:right="203"/>
              <w:spacing w:after="0"/>
              <w:rPr>
                <w:sz w:val="20"/>
                <w:szCs w:val="20"/>
                <w:color w:val="auto"/>
              </w:rPr>
            </w:pPr>
            <w:r>
              <w:rPr>
                <w:rFonts w:ascii="Arial" w:cs="Arial" w:eastAsia="Arial" w:hAnsi="Arial"/>
                <w:sz w:val="11"/>
                <w:szCs w:val="11"/>
                <w:b w:val="1"/>
                <w:bCs w:val="1"/>
                <w:color w:val="auto"/>
              </w:rPr>
              <w:t>2021</w:t>
            </w:r>
          </w:p>
        </w:tc>
        <w:tc>
          <w:tcPr>
            <w:tcW w:w="780" w:type="dxa"/>
            <w:vAlign w:val="bottom"/>
          </w:tcPr>
          <w:p>
            <w:pPr>
              <w:jc w:val="right"/>
              <w:ind w:right="203"/>
              <w:spacing w:after="0"/>
              <w:rPr>
                <w:sz w:val="20"/>
                <w:szCs w:val="20"/>
                <w:color w:val="auto"/>
              </w:rPr>
            </w:pPr>
            <w:r>
              <w:rPr>
                <w:rFonts w:ascii="Arial" w:cs="Arial" w:eastAsia="Arial" w:hAnsi="Arial"/>
                <w:sz w:val="11"/>
                <w:szCs w:val="11"/>
                <w:b w:val="1"/>
                <w:bCs w:val="1"/>
                <w:color w:val="auto"/>
              </w:rPr>
              <w:t>2022</w:t>
            </w:r>
          </w:p>
        </w:tc>
        <w:tc>
          <w:tcPr>
            <w:tcW w:w="760" w:type="dxa"/>
            <w:vAlign w:val="bottom"/>
          </w:tcPr>
          <w:p>
            <w:pPr>
              <w:jc w:val="right"/>
              <w:ind w:right="183"/>
              <w:spacing w:after="0"/>
              <w:rPr>
                <w:sz w:val="20"/>
                <w:szCs w:val="20"/>
                <w:color w:val="auto"/>
              </w:rPr>
            </w:pPr>
            <w:r>
              <w:rPr>
                <w:rFonts w:ascii="Arial" w:cs="Arial" w:eastAsia="Arial" w:hAnsi="Arial"/>
                <w:sz w:val="11"/>
                <w:szCs w:val="11"/>
                <w:b w:val="1"/>
                <w:bCs w:val="1"/>
                <w:color w:val="auto"/>
              </w:rPr>
              <w:t>2023</w:t>
            </w:r>
          </w:p>
        </w:tc>
        <w:tc>
          <w:tcPr>
            <w:tcW w:w="780" w:type="dxa"/>
            <w:vAlign w:val="bottom"/>
          </w:tcPr>
          <w:p>
            <w:pPr>
              <w:jc w:val="right"/>
              <w:ind w:right="16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7"/>
        </w:trPr>
        <w:tc>
          <w:tcPr>
            <w:tcW w:w="2580" w:type="dxa"/>
            <w:vAlign w:val="bottom"/>
            <w:vMerge w:val="restart"/>
          </w:tcPr>
          <w:p>
            <w:pPr>
              <w:spacing w:after="0"/>
              <w:rPr>
                <w:sz w:val="20"/>
                <w:szCs w:val="20"/>
                <w:color w:val="auto"/>
              </w:rPr>
            </w:pPr>
            <w:r>
              <w:rPr>
                <w:rFonts w:ascii="Arial" w:cs="Arial" w:eastAsia="Arial" w:hAnsi="Arial"/>
                <w:sz w:val="11"/>
                <w:szCs w:val="11"/>
                <w:b w:val="1"/>
                <w:bCs w:val="1"/>
                <w:color w:val="auto"/>
              </w:rPr>
              <w:t>Gross estimates of the</w:t>
            </w: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S/(000)</w:t>
            </w:r>
          </w:p>
        </w:tc>
        <w:tc>
          <w:tcPr>
            <w:tcW w:w="760" w:type="dxa"/>
            <w:vAlign w:val="bottom"/>
            <w:tcBorders>
              <w:top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S/(000)</w:t>
            </w:r>
          </w:p>
        </w:tc>
        <w:tc>
          <w:tcPr>
            <w:tcW w:w="780" w:type="dxa"/>
            <w:vAlign w:val="bottom"/>
            <w:tcBorders>
              <w:top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S/(000)</w:t>
            </w:r>
          </w:p>
        </w:tc>
        <w:tc>
          <w:tcPr>
            <w:tcW w:w="800" w:type="dxa"/>
            <w:vAlign w:val="bottom"/>
            <w:tcBorders>
              <w:top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S/(000)</w:t>
            </w:r>
          </w:p>
        </w:tc>
        <w:tc>
          <w:tcPr>
            <w:tcW w:w="780" w:type="dxa"/>
            <w:vAlign w:val="bottom"/>
            <w:tcBorders>
              <w:top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S/(000)</w:t>
            </w:r>
          </w:p>
        </w:tc>
        <w:tc>
          <w:tcPr>
            <w:tcW w:w="780" w:type="dxa"/>
            <w:vAlign w:val="bottom"/>
            <w:tcBorders>
              <w:top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S/(000)</w:t>
            </w:r>
          </w:p>
        </w:tc>
        <w:tc>
          <w:tcPr>
            <w:tcW w:w="780" w:type="dxa"/>
            <w:vAlign w:val="bottom"/>
            <w:tcBorders>
              <w:top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S/(000)</w:t>
            </w:r>
          </w:p>
        </w:tc>
        <w:tc>
          <w:tcPr>
            <w:tcW w:w="780" w:type="dxa"/>
            <w:vAlign w:val="bottom"/>
            <w:tcBorders>
              <w:top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S/(000)</w:t>
            </w:r>
          </w:p>
        </w:tc>
        <w:tc>
          <w:tcPr>
            <w:tcW w:w="780" w:type="dxa"/>
            <w:vAlign w:val="bottom"/>
            <w:tcBorders>
              <w:top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S/(000)</w:t>
            </w:r>
          </w:p>
        </w:tc>
        <w:tc>
          <w:tcPr>
            <w:tcW w:w="760" w:type="dxa"/>
            <w:vAlign w:val="bottom"/>
            <w:tcBorders>
              <w:top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S/(000)</w:t>
            </w:r>
          </w:p>
        </w:tc>
        <w:tc>
          <w:tcPr>
            <w:tcW w:w="780" w:type="dxa"/>
            <w:vAlign w:val="bottom"/>
            <w:tcBorders>
              <w:top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S/(000)</w:t>
            </w:r>
          </w:p>
        </w:tc>
        <w:tc>
          <w:tcPr>
            <w:tcW w:w="0" w:type="dxa"/>
            <w:vAlign w:val="bottom"/>
          </w:tcPr>
          <w:p>
            <w:pPr>
              <w:spacing w:after="0"/>
              <w:rPr>
                <w:sz w:val="1"/>
                <w:szCs w:val="1"/>
                <w:color w:val="auto"/>
              </w:rPr>
            </w:pPr>
          </w:p>
        </w:tc>
      </w:tr>
      <w:tr>
        <w:trPr>
          <w:trHeight w:val="74"/>
        </w:trPr>
        <w:tc>
          <w:tcPr>
            <w:tcW w:w="2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58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undiscounted amount of the</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8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claims:</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At the end of the claim year</w:t>
            </w:r>
          </w:p>
        </w:tc>
        <w:tc>
          <w:tcPr>
            <w:tcW w:w="900" w:type="dxa"/>
            <w:vAlign w:val="bottom"/>
            <w:gridSpan w:val="2"/>
          </w:tcPr>
          <w:p>
            <w:pPr>
              <w:jc w:val="right"/>
              <w:ind w:right="143"/>
              <w:spacing w:after="0" w:line="122" w:lineRule="exact"/>
              <w:rPr>
                <w:sz w:val="20"/>
                <w:szCs w:val="20"/>
                <w:color w:val="auto"/>
              </w:rPr>
            </w:pPr>
            <w:r>
              <w:rPr>
                <w:rFonts w:ascii="Arial" w:cs="Arial" w:eastAsia="Arial" w:hAnsi="Arial"/>
                <w:sz w:val="11"/>
                <w:szCs w:val="11"/>
                <w:color w:val="auto"/>
              </w:rPr>
              <w:t>1,397,461</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963,490</w:t>
            </w: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1,039,516</w:t>
            </w:r>
          </w:p>
        </w:tc>
        <w:tc>
          <w:tcPr>
            <w:tcW w:w="80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1,628,377</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1,154,065</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1,450,470</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1,538,564</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2,000,372</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1,687,397</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1,724,774</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14,584,486</w:t>
            </w: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1 year later</w:t>
            </w:r>
          </w:p>
        </w:tc>
        <w:tc>
          <w:tcPr>
            <w:tcW w:w="900" w:type="dxa"/>
            <w:vAlign w:val="bottom"/>
            <w:gridSpan w:val="2"/>
          </w:tcPr>
          <w:p>
            <w:pPr>
              <w:jc w:val="right"/>
              <w:ind w:right="143"/>
              <w:spacing w:after="0" w:line="122" w:lineRule="exact"/>
              <w:rPr>
                <w:sz w:val="20"/>
                <w:szCs w:val="20"/>
                <w:color w:val="auto"/>
              </w:rPr>
            </w:pPr>
            <w:r>
              <w:rPr>
                <w:rFonts w:ascii="Arial" w:cs="Arial" w:eastAsia="Arial" w:hAnsi="Arial"/>
                <w:sz w:val="11"/>
                <w:szCs w:val="11"/>
                <w:color w:val="auto"/>
              </w:rPr>
              <w:t>1,027</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3,453</w:t>
            </w: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3,475</w:t>
            </w:r>
          </w:p>
        </w:tc>
        <w:tc>
          <w:tcPr>
            <w:tcW w:w="80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1,693</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6,872</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9,523</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38,655</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137,774</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317,513</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614,260</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1,134,245</w:t>
            </w: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2 years later</w:t>
            </w:r>
          </w:p>
        </w:tc>
        <w:tc>
          <w:tcPr>
            <w:tcW w:w="900" w:type="dxa"/>
            <w:vAlign w:val="bottom"/>
            <w:gridSpan w:val="2"/>
          </w:tcPr>
          <w:p>
            <w:pPr>
              <w:jc w:val="right"/>
              <w:ind w:right="143"/>
              <w:spacing w:after="0" w:line="122" w:lineRule="exact"/>
              <w:rPr>
                <w:sz w:val="20"/>
                <w:szCs w:val="20"/>
                <w:color w:val="auto"/>
              </w:rPr>
            </w:pPr>
            <w:r>
              <w:rPr>
                <w:rFonts w:ascii="Arial" w:cs="Arial" w:eastAsia="Arial" w:hAnsi="Arial"/>
                <w:sz w:val="11"/>
                <w:szCs w:val="11"/>
                <w:color w:val="auto"/>
              </w:rPr>
              <w:t>129</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577</w:t>
            </w: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3,441</w:t>
            </w:r>
          </w:p>
        </w:tc>
        <w:tc>
          <w:tcPr>
            <w:tcW w:w="80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4,265</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8,398</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5,701</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13,276</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71,537</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197,750</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191,387</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496,461</w:t>
            </w: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3 years later</w:t>
            </w:r>
          </w:p>
        </w:tc>
        <w:tc>
          <w:tcPr>
            <w:tcW w:w="140" w:type="dxa"/>
            <w:vAlign w:val="bottom"/>
          </w:tcPr>
          <w:p>
            <w:pPr>
              <w:spacing w:after="0"/>
              <w:rPr>
                <w:sz w:val="10"/>
                <w:szCs w:val="10"/>
                <w:color w:val="auto"/>
              </w:rPr>
            </w:pPr>
          </w:p>
        </w:tc>
        <w:tc>
          <w:tcPr>
            <w:tcW w:w="7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53</w:t>
            </w: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505</w:t>
            </w:r>
          </w:p>
        </w:tc>
        <w:tc>
          <w:tcPr>
            <w:tcW w:w="80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3,902</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4,665</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2,263</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5,093</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22,757</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89,213</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99,775</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228,226</w:t>
            </w: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4 years later</w:t>
            </w:r>
          </w:p>
        </w:tc>
        <w:tc>
          <w:tcPr>
            <w:tcW w:w="140" w:type="dxa"/>
            <w:vAlign w:val="bottom"/>
          </w:tcPr>
          <w:p>
            <w:pPr>
              <w:spacing w:after="0"/>
              <w:rPr>
                <w:sz w:val="10"/>
                <w:szCs w:val="10"/>
                <w:color w:val="auto"/>
              </w:rPr>
            </w:pPr>
          </w:p>
        </w:tc>
        <w:tc>
          <w:tcPr>
            <w:tcW w:w="7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81</w:t>
            </w:r>
          </w:p>
        </w:tc>
        <w:tc>
          <w:tcPr>
            <w:tcW w:w="80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278</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3,148</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4,684</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2,712</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7,511</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24,184</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44,274</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86,872</w:t>
            </w: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5 years later</w:t>
            </w:r>
          </w:p>
        </w:tc>
        <w:tc>
          <w:tcPr>
            <w:tcW w:w="140" w:type="dxa"/>
            <w:vAlign w:val="bottom"/>
          </w:tcPr>
          <w:p>
            <w:pPr>
              <w:spacing w:after="0"/>
              <w:rPr>
                <w:sz w:val="10"/>
                <w:szCs w:val="10"/>
                <w:color w:val="auto"/>
              </w:rPr>
            </w:pPr>
          </w:p>
        </w:tc>
        <w:tc>
          <w:tcPr>
            <w:tcW w:w="7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28</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262</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4,008</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5,379</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2,762</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7,492</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15,491</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35,422</w:t>
            </w: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6 years later</w:t>
            </w:r>
          </w:p>
        </w:tc>
        <w:tc>
          <w:tcPr>
            <w:tcW w:w="140" w:type="dxa"/>
            <w:vAlign w:val="bottom"/>
          </w:tcPr>
          <w:p>
            <w:pPr>
              <w:spacing w:after="0"/>
              <w:rPr>
                <w:sz w:val="10"/>
                <w:szCs w:val="10"/>
                <w:color w:val="auto"/>
              </w:rPr>
            </w:pPr>
          </w:p>
        </w:tc>
        <w:tc>
          <w:tcPr>
            <w:tcW w:w="7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40</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438</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4,331</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7,395</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2,405</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4,663</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19,272</w:t>
            </w: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7 years later</w:t>
            </w:r>
          </w:p>
        </w:tc>
        <w:tc>
          <w:tcPr>
            <w:tcW w:w="140" w:type="dxa"/>
            <w:vAlign w:val="bottom"/>
          </w:tcPr>
          <w:p>
            <w:pPr>
              <w:spacing w:after="0"/>
              <w:rPr>
                <w:sz w:val="10"/>
                <w:szCs w:val="10"/>
                <w:color w:val="auto"/>
              </w:rPr>
            </w:pPr>
          </w:p>
        </w:tc>
        <w:tc>
          <w:tcPr>
            <w:tcW w:w="7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93</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358</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5,953</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6,962</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6,197</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19,563</w:t>
            </w: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8 years later</w:t>
            </w:r>
          </w:p>
        </w:tc>
        <w:tc>
          <w:tcPr>
            <w:tcW w:w="140" w:type="dxa"/>
            <w:vAlign w:val="bottom"/>
          </w:tcPr>
          <w:p>
            <w:pPr>
              <w:spacing w:after="0"/>
              <w:rPr>
                <w:sz w:val="10"/>
                <w:szCs w:val="10"/>
                <w:color w:val="auto"/>
              </w:rPr>
            </w:pPr>
          </w:p>
        </w:tc>
        <w:tc>
          <w:tcPr>
            <w:tcW w:w="7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42</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66</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4,639</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9,695</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14,442</w:t>
            </w:r>
          </w:p>
        </w:tc>
        <w:tc>
          <w:tcPr>
            <w:tcW w:w="0" w:type="dxa"/>
            <w:vAlign w:val="bottom"/>
          </w:tcPr>
          <w:p>
            <w:pPr>
              <w:spacing w:after="0"/>
              <w:rPr>
                <w:sz w:val="1"/>
                <w:szCs w:val="1"/>
                <w:color w:val="auto"/>
              </w:rPr>
            </w:pPr>
          </w:p>
        </w:tc>
      </w:tr>
      <w:tr>
        <w:trPr>
          <w:trHeight w:val="130"/>
        </w:trPr>
        <w:tc>
          <w:tcPr>
            <w:tcW w:w="2580" w:type="dxa"/>
            <w:vAlign w:val="bottom"/>
          </w:tcPr>
          <w:p>
            <w:pPr>
              <w:spacing w:after="0" w:line="122" w:lineRule="exact"/>
              <w:rPr>
                <w:sz w:val="20"/>
                <w:szCs w:val="20"/>
                <w:color w:val="auto"/>
              </w:rPr>
            </w:pPr>
            <w:r>
              <w:rPr>
                <w:rFonts w:ascii="Arial" w:cs="Arial" w:eastAsia="Arial" w:hAnsi="Arial"/>
                <w:sz w:val="11"/>
                <w:szCs w:val="11"/>
                <w:color w:val="auto"/>
              </w:rPr>
              <w:t>9 years later</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line="122" w:lineRule="exact"/>
              <w:rPr>
                <w:sz w:val="20"/>
                <w:szCs w:val="20"/>
                <w:color w:val="auto"/>
              </w:rPr>
            </w:pPr>
            <w:r>
              <w:rPr>
                <w:rFonts w:ascii="Arial" w:cs="Arial" w:eastAsia="Arial" w:hAnsi="Arial"/>
                <w:sz w:val="11"/>
                <w:szCs w:val="11"/>
                <w:color w:val="auto"/>
              </w:rPr>
              <w:t>29</w:t>
            </w:r>
          </w:p>
        </w:tc>
        <w:tc>
          <w:tcPr>
            <w:tcW w:w="780" w:type="dxa"/>
            <w:vAlign w:val="bottom"/>
            <w:tcBorders>
              <w:bottom w:val="single" w:sz="8" w:color="auto"/>
            </w:tcBorders>
          </w:tcPr>
          <w:p>
            <w:pPr>
              <w:jc w:val="right"/>
              <w:ind w:right="103"/>
              <w:spacing w:after="0" w:line="122" w:lineRule="exact"/>
              <w:rPr>
                <w:sz w:val="20"/>
                <w:szCs w:val="20"/>
                <w:color w:val="auto"/>
              </w:rPr>
            </w:pPr>
            <w:r>
              <w:rPr>
                <w:rFonts w:ascii="Arial" w:cs="Arial" w:eastAsia="Arial" w:hAnsi="Arial"/>
                <w:sz w:val="11"/>
                <w:szCs w:val="11"/>
                <w:color w:val="auto"/>
              </w:rPr>
              <w:t>356</w:t>
            </w:r>
          </w:p>
        </w:tc>
        <w:tc>
          <w:tcPr>
            <w:tcW w:w="760" w:type="dxa"/>
            <w:vAlign w:val="bottom"/>
            <w:tcBorders>
              <w:bottom w:val="single" w:sz="8" w:color="auto"/>
            </w:tcBorders>
          </w:tcPr>
          <w:p>
            <w:pPr>
              <w:jc w:val="right"/>
              <w:ind w:right="83"/>
              <w:spacing w:after="0" w:line="122" w:lineRule="exact"/>
              <w:rPr>
                <w:sz w:val="20"/>
                <w:szCs w:val="20"/>
                <w:color w:val="auto"/>
              </w:rPr>
            </w:pPr>
            <w:r>
              <w:rPr>
                <w:rFonts w:ascii="Arial" w:cs="Arial" w:eastAsia="Arial" w:hAnsi="Arial"/>
                <w:sz w:val="11"/>
                <w:szCs w:val="11"/>
                <w:color w:val="auto"/>
              </w:rPr>
              <w:t>1,648</w:t>
            </w:r>
          </w:p>
        </w:tc>
        <w:tc>
          <w:tcPr>
            <w:tcW w:w="780" w:type="dxa"/>
            <w:vAlign w:val="bottom"/>
            <w:tcBorders>
              <w:bottom w:val="single" w:sz="8" w:color="auto"/>
            </w:tcBorders>
          </w:tcPr>
          <w:p>
            <w:pPr>
              <w:jc w:val="right"/>
              <w:ind w:right="63"/>
              <w:spacing w:after="0" w:line="122" w:lineRule="exact"/>
              <w:rPr>
                <w:sz w:val="20"/>
                <w:szCs w:val="20"/>
                <w:color w:val="auto"/>
              </w:rPr>
            </w:pPr>
            <w:r>
              <w:rPr>
                <w:rFonts w:ascii="Arial" w:cs="Arial" w:eastAsia="Arial" w:hAnsi="Arial"/>
                <w:sz w:val="11"/>
                <w:szCs w:val="11"/>
                <w:color w:val="auto"/>
              </w:rPr>
              <w:t>2,033</w:t>
            </w:r>
          </w:p>
        </w:tc>
        <w:tc>
          <w:tcPr>
            <w:tcW w:w="0" w:type="dxa"/>
            <w:vAlign w:val="bottom"/>
          </w:tcPr>
          <w:p>
            <w:pPr>
              <w:spacing w:after="0"/>
              <w:rPr>
                <w:sz w:val="1"/>
                <w:szCs w:val="1"/>
                <w:color w:val="auto"/>
              </w:rPr>
            </w:pPr>
          </w:p>
        </w:tc>
      </w:tr>
      <w:tr>
        <w:trPr>
          <w:trHeight w:val="98"/>
        </w:trPr>
        <w:tc>
          <w:tcPr>
            <w:tcW w:w="2580" w:type="dxa"/>
            <w:vAlign w:val="bottom"/>
          </w:tcPr>
          <w:p>
            <w:pPr>
              <w:spacing w:after="0" w:line="98" w:lineRule="exact"/>
              <w:rPr>
                <w:sz w:val="20"/>
                <w:szCs w:val="20"/>
                <w:color w:val="auto"/>
              </w:rPr>
            </w:pPr>
            <w:r>
              <w:rPr>
                <w:rFonts w:ascii="Arial" w:cs="Arial" w:eastAsia="Arial" w:hAnsi="Arial"/>
                <w:sz w:val="11"/>
                <w:szCs w:val="11"/>
                <w:b w:val="1"/>
                <w:bCs w:val="1"/>
                <w:color w:val="auto"/>
              </w:rPr>
              <w:t>Accumulated gross claims</w:t>
            </w:r>
          </w:p>
        </w:tc>
        <w:tc>
          <w:tcPr>
            <w:tcW w:w="900" w:type="dxa"/>
            <w:vAlign w:val="bottom"/>
            <w:gridSpan w:val="2"/>
          </w:tcPr>
          <w:p>
            <w:pPr>
              <w:jc w:val="right"/>
              <w:ind w:right="143"/>
              <w:spacing w:after="0" w:line="98" w:lineRule="exact"/>
              <w:rPr>
                <w:sz w:val="20"/>
                <w:szCs w:val="20"/>
                <w:color w:val="auto"/>
              </w:rPr>
            </w:pPr>
            <w:r>
              <w:rPr>
                <w:rFonts w:ascii="Arial" w:cs="Arial" w:eastAsia="Arial" w:hAnsi="Arial"/>
                <w:sz w:val="11"/>
                <w:szCs w:val="11"/>
                <w:b w:val="1"/>
                <w:bCs w:val="1"/>
                <w:color w:val="auto"/>
              </w:rPr>
              <w:t>1,398,617</w:t>
            </w:r>
          </w:p>
        </w:tc>
        <w:tc>
          <w:tcPr>
            <w:tcW w:w="760" w:type="dxa"/>
            <w:vAlign w:val="bottom"/>
          </w:tcPr>
          <w:p>
            <w:pPr>
              <w:jc w:val="right"/>
              <w:ind w:right="83"/>
              <w:spacing w:after="0" w:line="98" w:lineRule="exact"/>
              <w:rPr>
                <w:sz w:val="20"/>
                <w:szCs w:val="20"/>
                <w:color w:val="auto"/>
              </w:rPr>
            </w:pPr>
            <w:r>
              <w:rPr>
                <w:rFonts w:ascii="Arial" w:cs="Arial" w:eastAsia="Arial" w:hAnsi="Arial"/>
                <w:sz w:val="11"/>
                <w:szCs w:val="11"/>
                <w:b w:val="1"/>
                <w:bCs w:val="1"/>
                <w:color w:val="auto"/>
              </w:rPr>
              <w:t>967,573</w:t>
            </w:r>
          </w:p>
        </w:tc>
        <w:tc>
          <w:tcPr>
            <w:tcW w:w="780" w:type="dxa"/>
            <w:vAlign w:val="bottom"/>
          </w:tcPr>
          <w:p>
            <w:pPr>
              <w:jc w:val="right"/>
              <w:ind w:right="83"/>
              <w:spacing w:after="0" w:line="98" w:lineRule="exact"/>
              <w:rPr>
                <w:sz w:val="20"/>
                <w:szCs w:val="20"/>
                <w:color w:val="auto"/>
              </w:rPr>
            </w:pPr>
            <w:r>
              <w:rPr>
                <w:rFonts w:ascii="Arial" w:cs="Arial" w:eastAsia="Arial" w:hAnsi="Arial"/>
                <w:sz w:val="11"/>
                <w:szCs w:val="11"/>
                <w:b w:val="1"/>
                <w:bCs w:val="1"/>
                <w:color w:val="auto"/>
              </w:rPr>
              <w:t>1,047,018</w:t>
            </w:r>
          </w:p>
        </w:tc>
        <w:tc>
          <w:tcPr>
            <w:tcW w:w="80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1,638,543</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1,177,450</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1,477,180</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1,608,410</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2,256,156</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2,337,911</w:t>
            </w:r>
          </w:p>
        </w:tc>
        <w:tc>
          <w:tcPr>
            <w:tcW w:w="760" w:type="dxa"/>
            <w:vAlign w:val="bottom"/>
          </w:tcPr>
          <w:p>
            <w:pPr>
              <w:jc w:val="right"/>
              <w:ind w:right="83"/>
              <w:spacing w:after="0" w:line="98" w:lineRule="exact"/>
              <w:rPr>
                <w:sz w:val="20"/>
                <w:szCs w:val="20"/>
                <w:color w:val="auto"/>
              </w:rPr>
            </w:pPr>
            <w:r>
              <w:rPr>
                <w:rFonts w:ascii="Arial" w:cs="Arial" w:eastAsia="Arial" w:hAnsi="Arial"/>
                <w:sz w:val="11"/>
                <w:szCs w:val="11"/>
                <w:b w:val="1"/>
                <w:bCs w:val="1"/>
                <w:color w:val="auto"/>
              </w:rPr>
              <w:t>2,712,164</w:t>
            </w:r>
          </w:p>
        </w:tc>
        <w:tc>
          <w:tcPr>
            <w:tcW w:w="780" w:type="dxa"/>
            <w:vAlign w:val="bottom"/>
          </w:tcPr>
          <w:p>
            <w:pPr>
              <w:jc w:val="right"/>
              <w:ind w:right="63"/>
              <w:spacing w:after="0" w:line="98" w:lineRule="exact"/>
              <w:rPr>
                <w:sz w:val="20"/>
                <w:szCs w:val="20"/>
                <w:color w:val="auto"/>
              </w:rPr>
            </w:pPr>
            <w:r>
              <w:rPr>
                <w:rFonts w:ascii="Arial" w:cs="Arial" w:eastAsia="Arial" w:hAnsi="Arial"/>
                <w:sz w:val="11"/>
                <w:szCs w:val="11"/>
                <w:b w:val="1"/>
                <w:bCs w:val="1"/>
                <w:color w:val="auto"/>
              </w:rPr>
              <w:t>16,621,022</w:t>
            </w:r>
          </w:p>
        </w:tc>
        <w:tc>
          <w:tcPr>
            <w:tcW w:w="0" w:type="dxa"/>
            <w:vAlign w:val="bottom"/>
          </w:tcPr>
          <w:p>
            <w:pPr>
              <w:spacing w:after="0"/>
              <w:rPr>
                <w:sz w:val="1"/>
                <w:szCs w:val="1"/>
                <w:color w:val="auto"/>
              </w:rPr>
            </w:pPr>
          </w:p>
        </w:tc>
      </w:tr>
      <w:tr>
        <w:trPr>
          <w:trHeight w:val="119"/>
        </w:trPr>
        <w:tc>
          <w:tcPr>
            <w:tcW w:w="2580" w:type="dxa"/>
            <w:vAlign w:val="bottom"/>
          </w:tcPr>
          <w:p>
            <w:pPr>
              <w:ind w:left="140"/>
              <w:spacing w:after="0" w:line="119" w:lineRule="exact"/>
              <w:rPr>
                <w:sz w:val="20"/>
                <w:szCs w:val="20"/>
                <w:color w:val="auto"/>
              </w:rPr>
            </w:pPr>
            <w:r>
              <w:rPr>
                <w:rFonts w:ascii="Arial" w:cs="Arial" w:eastAsia="Arial" w:hAnsi="Arial"/>
                <w:sz w:val="11"/>
                <w:szCs w:val="11"/>
                <w:b w:val="1"/>
                <w:bCs w:val="1"/>
                <w:color w:val="auto"/>
              </w:rPr>
              <w:t>and other directly attributable</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8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expenses paid for the year of</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8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occurrence.</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Liabilities / Gross Obligations</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80" w:type="dxa"/>
            <w:vAlign w:val="bottom"/>
          </w:tcPr>
          <w:p>
            <w:pPr>
              <w:ind w:left="140"/>
              <w:spacing w:after="0" w:line="122" w:lineRule="exact"/>
              <w:rPr>
                <w:sz w:val="20"/>
                <w:szCs w:val="20"/>
                <w:color w:val="auto"/>
              </w:rPr>
            </w:pPr>
            <w:r>
              <w:rPr>
                <w:rFonts w:ascii="Arial" w:cs="Arial" w:eastAsia="Arial" w:hAnsi="Arial"/>
                <w:sz w:val="11"/>
                <w:szCs w:val="11"/>
                <w:color w:val="auto"/>
              </w:rPr>
              <w:t>accumulated by claims</w:t>
            </w:r>
          </w:p>
        </w:tc>
        <w:tc>
          <w:tcPr>
            <w:tcW w:w="900" w:type="dxa"/>
            <w:vAlign w:val="bottom"/>
            <w:gridSpan w:val="2"/>
          </w:tcPr>
          <w:p>
            <w:pPr>
              <w:jc w:val="right"/>
              <w:ind w:right="143"/>
              <w:spacing w:after="0" w:line="122" w:lineRule="exact"/>
              <w:rPr>
                <w:sz w:val="20"/>
                <w:szCs w:val="20"/>
                <w:color w:val="auto"/>
              </w:rPr>
            </w:pPr>
            <w:r>
              <w:rPr>
                <w:rFonts w:ascii="Arial" w:cs="Arial" w:eastAsia="Arial" w:hAnsi="Arial"/>
                <w:sz w:val="11"/>
                <w:szCs w:val="11"/>
                <w:color w:val="auto"/>
              </w:rPr>
              <w:t>3,672</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6,335</w:t>
            </w: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8,955</w:t>
            </w:r>
          </w:p>
        </w:tc>
        <w:tc>
          <w:tcPr>
            <w:tcW w:w="80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13,396</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30,289</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34,361</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81,747</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321,842</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839,516</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1,421,449</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2,761,562</w:t>
            </w: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Discount event</w:t>
            </w:r>
          </w:p>
        </w:tc>
        <w:tc>
          <w:tcPr>
            <w:tcW w:w="900" w:type="dxa"/>
            <w:vAlign w:val="bottom"/>
            <w:gridSpan w:val="2"/>
          </w:tcPr>
          <w:p>
            <w:pPr>
              <w:jc w:val="right"/>
              <w:ind w:right="103"/>
              <w:spacing w:after="0" w:line="122" w:lineRule="exact"/>
              <w:rPr>
                <w:sz w:val="20"/>
                <w:szCs w:val="20"/>
                <w:color w:val="auto"/>
              </w:rPr>
            </w:pPr>
            <w:r>
              <w:rPr>
                <w:rFonts w:ascii="Arial" w:cs="Arial" w:eastAsia="Arial" w:hAnsi="Arial"/>
                <w:sz w:val="11"/>
                <w:szCs w:val="11"/>
                <w:color w:val="auto"/>
              </w:rPr>
              <w:t>(527)</w:t>
            </w:r>
          </w:p>
        </w:tc>
        <w:tc>
          <w:tcPr>
            <w:tcW w:w="760" w:type="dxa"/>
            <w:vAlign w:val="bottom"/>
          </w:tcPr>
          <w:p>
            <w:pPr>
              <w:jc w:val="right"/>
              <w:ind w:right="63"/>
              <w:spacing w:after="0" w:line="122" w:lineRule="exact"/>
              <w:rPr>
                <w:sz w:val="20"/>
                <w:szCs w:val="20"/>
                <w:color w:val="auto"/>
              </w:rPr>
            </w:pPr>
            <w:r>
              <w:rPr>
                <w:rFonts w:ascii="Arial" w:cs="Arial" w:eastAsia="Arial" w:hAnsi="Arial"/>
                <w:sz w:val="11"/>
                <w:szCs w:val="11"/>
                <w:color w:val="auto"/>
              </w:rPr>
              <w:t>(775)</w:t>
            </w:r>
          </w:p>
        </w:tc>
        <w:tc>
          <w:tcPr>
            <w:tcW w:w="7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(1,207)</w:t>
            </w:r>
          </w:p>
        </w:tc>
        <w:tc>
          <w:tcPr>
            <w:tcW w:w="800" w:type="dxa"/>
            <w:vAlign w:val="bottom"/>
          </w:tcPr>
          <w:p>
            <w:pPr>
              <w:jc w:val="right"/>
              <w:ind w:right="63"/>
              <w:spacing w:after="0" w:line="122" w:lineRule="exact"/>
              <w:rPr>
                <w:sz w:val="20"/>
                <w:szCs w:val="20"/>
                <w:color w:val="auto"/>
              </w:rPr>
            </w:pPr>
            <w:r>
              <w:rPr>
                <w:rFonts w:ascii="Arial" w:cs="Arial" w:eastAsia="Arial" w:hAnsi="Arial"/>
                <w:sz w:val="11"/>
                <w:szCs w:val="11"/>
                <w:color w:val="auto"/>
              </w:rPr>
              <w:t>(1,687)</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(2,890)</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(3,597)</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(7,361)</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(27,666)</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(64,783)</w:t>
            </w:r>
          </w:p>
        </w:tc>
        <w:tc>
          <w:tcPr>
            <w:tcW w:w="760" w:type="dxa"/>
            <w:vAlign w:val="bottom"/>
          </w:tcPr>
          <w:p>
            <w:pPr>
              <w:jc w:val="right"/>
              <w:ind w:right="43"/>
              <w:spacing w:after="0" w:line="122" w:lineRule="exact"/>
              <w:rPr>
                <w:sz w:val="20"/>
                <w:szCs w:val="20"/>
                <w:color w:val="auto"/>
              </w:rPr>
            </w:pPr>
            <w:r>
              <w:rPr>
                <w:rFonts w:ascii="Arial" w:cs="Arial" w:eastAsia="Arial" w:hAnsi="Arial"/>
                <w:sz w:val="11"/>
                <w:szCs w:val="11"/>
                <w:color w:val="auto"/>
              </w:rPr>
              <w:t>(83,109)</w:t>
            </w:r>
          </w:p>
        </w:tc>
        <w:tc>
          <w:tcPr>
            <w:tcW w:w="780" w:type="dxa"/>
            <w:vAlign w:val="bottom"/>
          </w:tcPr>
          <w:p>
            <w:pPr>
              <w:jc w:val="right"/>
              <w:ind w:right="23"/>
              <w:spacing w:after="0" w:line="122" w:lineRule="exact"/>
              <w:rPr>
                <w:sz w:val="20"/>
                <w:szCs w:val="20"/>
                <w:color w:val="auto"/>
              </w:rPr>
            </w:pPr>
            <w:r>
              <w:rPr>
                <w:rFonts w:ascii="Arial" w:cs="Arial" w:eastAsia="Arial" w:hAnsi="Arial"/>
                <w:sz w:val="11"/>
                <w:szCs w:val="11"/>
                <w:color w:val="auto"/>
              </w:rPr>
              <w:t>(193,602)</w:t>
            </w: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Effect of Risk Adjustment for non-financial risk</w:t>
            </w:r>
          </w:p>
        </w:tc>
        <w:tc>
          <w:tcPr>
            <w:tcW w:w="140" w:type="dxa"/>
            <w:vAlign w:val="bottom"/>
          </w:tcPr>
          <w:p>
            <w:pPr>
              <w:spacing w:after="0"/>
              <w:rPr>
                <w:sz w:val="10"/>
                <w:szCs w:val="10"/>
                <w:color w:val="auto"/>
              </w:rPr>
            </w:pPr>
          </w:p>
        </w:tc>
        <w:tc>
          <w:tcPr>
            <w:tcW w:w="76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83"/>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21,590</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21,590</w:t>
            </w:r>
          </w:p>
        </w:tc>
        <w:tc>
          <w:tcPr>
            <w:tcW w:w="0" w:type="dxa"/>
            <w:vAlign w:val="bottom"/>
          </w:tcPr>
          <w:p>
            <w:pPr>
              <w:spacing w:after="0"/>
              <w:rPr>
                <w:sz w:val="1"/>
                <w:szCs w:val="1"/>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Gross LIC of the Temporary</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580" w:type="dxa"/>
            <w:vAlign w:val="bottom"/>
          </w:tcPr>
          <w:p>
            <w:pPr>
              <w:ind w:left="140"/>
              <w:spacing w:after="0"/>
              <w:rPr>
                <w:sz w:val="20"/>
                <w:szCs w:val="20"/>
                <w:color w:val="auto"/>
              </w:rPr>
            </w:pPr>
            <w:r>
              <w:rPr>
                <w:rFonts w:ascii="Arial" w:cs="Arial" w:eastAsia="Arial" w:hAnsi="Arial"/>
                <w:sz w:val="11"/>
                <w:szCs w:val="11"/>
                <w:color w:val="auto"/>
              </w:rPr>
              <w:t>Regime and Definitive Regime</w:t>
            </w:r>
          </w:p>
        </w:tc>
        <w:tc>
          <w:tcPr>
            <w:tcW w:w="90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1"/>
                <w:szCs w:val="11"/>
                <w:color w:val="auto"/>
              </w:rPr>
              <w:t>3,145</w:t>
            </w: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5,560</w:t>
            </w: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7,748</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11,709</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27,399</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30,764</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74,386</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294,176</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774,733</w:t>
            </w: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1,359,929</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2,589,549</w:t>
            </w:r>
          </w:p>
        </w:tc>
        <w:tc>
          <w:tcPr>
            <w:tcW w:w="0" w:type="dxa"/>
            <w:vAlign w:val="bottom"/>
          </w:tcPr>
          <w:p>
            <w:pPr>
              <w:spacing w:after="0"/>
              <w:rPr>
                <w:sz w:val="1"/>
                <w:szCs w:val="1"/>
                <w:color w:val="auto"/>
              </w:rPr>
            </w:pPr>
          </w:p>
        </w:tc>
      </w:tr>
      <w:tr>
        <w:trPr>
          <w:trHeight w:val="98"/>
        </w:trPr>
        <w:tc>
          <w:tcPr>
            <w:tcW w:w="2580" w:type="dxa"/>
            <w:vAlign w:val="bottom"/>
          </w:tcPr>
          <w:p>
            <w:pPr>
              <w:spacing w:after="0" w:line="98" w:lineRule="exact"/>
              <w:rPr>
                <w:sz w:val="20"/>
                <w:szCs w:val="20"/>
                <w:color w:val="auto"/>
              </w:rPr>
            </w:pPr>
            <w:r>
              <w:rPr>
                <w:rFonts w:ascii="Arial" w:cs="Arial" w:eastAsia="Arial" w:hAnsi="Arial"/>
                <w:sz w:val="11"/>
                <w:szCs w:val="11"/>
                <w:b w:val="1"/>
                <w:bCs w:val="1"/>
                <w:color w:val="auto"/>
              </w:rPr>
              <w:t>Gross provision for incurred</w:t>
            </w:r>
          </w:p>
        </w:tc>
        <w:tc>
          <w:tcPr>
            <w:tcW w:w="900" w:type="dxa"/>
            <w:vAlign w:val="bottom"/>
            <w:gridSpan w:val="2"/>
          </w:tcPr>
          <w:p>
            <w:pPr>
              <w:jc w:val="right"/>
              <w:ind w:right="143"/>
              <w:spacing w:after="0" w:line="98" w:lineRule="exact"/>
              <w:rPr>
                <w:sz w:val="20"/>
                <w:szCs w:val="20"/>
                <w:color w:val="auto"/>
              </w:rPr>
            </w:pPr>
            <w:r>
              <w:rPr>
                <w:rFonts w:ascii="Arial" w:cs="Arial" w:eastAsia="Arial" w:hAnsi="Arial"/>
                <w:sz w:val="11"/>
                <w:szCs w:val="11"/>
                <w:b w:val="1"/>
                <w:bCs w:val="1"/>
                <w:color w:val="auto"/>
              </w:rPr>
              <w:t>6,290</w:t>
            </w:r>
          </w:p>
        </w:tc>
        <w:tc>
          <w:tcPr>
            <w:tcW w:w="760" w:type="dxa"/>
            <w:vAlign w:val="bottom"/>
          </w:tcPr>
          <w:p>
            <w:pPr>
              <w:jc w:val="right"/>
              <w:ind w:right="83"/>
              <w:spacing w:after="0" w:line="98" w:lineRule="exact"/>
              <w:rPr>
                <w:sz w:val="20"/>
                <w:szCs w:val="20"/>
                <w:color w:val="auto"/>
              </w:rPr>
            </w:pPr>
            <w:r>
              <w:rPr>
                <w:rFonts w:ascii="Arial" w:cs="Arial" w:eastAsia="Arial" w:hAnsi="Arial"/>
                <w:sz w:val="11"/>
                <w:szCs w:val="11"/>
                <w:b w:val="1"/>
                <w:bCs w:val="1"/>
                <w:color w:val="auto"/>
              </w:rPr>
              <w:t>11,120</w:t>
            </w:r>
          </w:p>
        </w:tc>
        <w:tc>
          <w:tcPr>
            <w:tcW w:w="780" w:type="dxa"/>
            <w:vAlign w:val="bottom"/>
          </w:tcPr>
          <w:p>
            <w:pPr>
              <w:jc w:val="right"/>
              <w:ind w:right="83"/>
              <w:spacing w:after="0" w:line="98" w:lineRule="exact"/>
              <w:rPr>
                <w:sz w:val="20"/>
                <w:szCs w:val="20"/>
                <w:color w:val="auto"/>
              </w:rPr>
            </w:pPr>
            <w:r>
              <w:rPr>
                <w:rFonts w:ascii="Arial" w:cs="Arial" w:eastAsia="Arial" w:hAnsi="Arial"/>
                <w:sz w:val="11"/>
                <w:szCs w:val="11"/>
                <w:b w:val="1"/>
                <w:bCs w:val="1"/>
                <w:color w:val="auto"/>
              </w:rPr>
              <w:t>15,496</w:t>
            </w:r>
          </w:p>
        </w:tc>
        <w:tc>
          <w:tcPr>
            <w:tcW w:w="80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23,418</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54,798</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61,528</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148,772</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588,352</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1,549,466</w:t>
            </w:r>
          </w:p>
        </w:tc>
        <w:tc>
          <w:tcPr>
            <w:tcW w:w="760" w:type="dxa"/>
            <w:vAlign w:val="bottom"/>
          </w:tcPr>
          <w:p>
            <w:pPr>
              <w:jc w:val="right"/>
              <w:ind w:right="83"/>
              <w:spacing w:after="0" w:line="98" w:lineRule="exact"/>
              <w:rPr>
                <w:sz w:val="20"/>
                <w:szCs w:val="20"/>
                <w:color w:val="auto"/>
              </w:rPr>
            </w:pPr>
            <w:r>
              <w:rPr>
                <w:rFonts w:ascii="Arial" w:cs="Arial" w:eastAsia="Arial" w:hAnsi="Arial"/>
                <w:sz w:val="11"/>
                <w:szCs w:val="11"/>
                <w:b w:val="1"/>
                <w:bCs w:val="1"/>
                <w:color w:val="auto"/>
              </w:rPr>
              <w:t>2,719,859</w:t>
            </w:r>
          </w:p>
        </w:tc>
        <w:tc>
          <w:tcPr>
            <w:tcW w:w="780" w:type="dxa"/>
            <w:vAlign w:val="bottom"/>
          </w:tcPr>
          <w:p>
            <w:pPr>
              <w:jc w:val="right"/>
              <w:ind w:right="63"/>
              <w:spacing w:after="0" w:line="98" w:lineRule="exact"/>
              <w:rPr>
                <w:sz w:val="20"/>
                <w:szCs w:val="20"/>
                <w:color w:val="auto"/>
              </w:rPr>
            </w:pPr>
            <w:r>
              <w:rPr>
                <w:rFonts w:ascii="Arial" w:cs="Arial" w:eastAsia="Arial" w:hAnsi="Arial"/>
                <w:sz w:val="11"/>
                <w:szCs w:val="11"/>
                <w:b w:val="1"/>
                <w:bCs w:val="1"/>
                <w:color w:val="auto"/>
              </w:rPr>
              <w:t>5,179,099</w:t>
            </w:r>
          </w:p>
        </w:tc>
        <w:tc>
          <w:tcPr>
            <w:tcW w:w="0" w:type="dxa"/>
            <w:vAlign w:val="bottom"/>
          </w:tcPr>
          <w:p>
            <w:pPr>
              <w:spacing w:after="0"/>
              <w:rPr>
                <w:sz w:val="1"/>
                <w:szCs w:val="1"/>
                <w:color w:val="auto"/>
              </w:rPr>
            </w:pPr>
          </w:p>
        </w:tc>
      </w:tr>
      <w:tr>
        <w:trPr>
          <w:trHeight w:val="155"/>
        </w:trPr>
        <w:tc>
          <w:tcPr>
            <w:tcW w:w="2580" w:type="dxa"/>
            <w:vAlign w:val="bottom"/>
          </w:tcPr>
          <w:p>
            <w:pPr>
              <w:ind w:left="140"/>
              <w:spacing w:after="0"/>
              <w:rPr>
                <w:sz w:val="20"/>
                <w:szCs w:val="20"/>
                <w:color w:val="auto"/>
              </w:rPr>
            </w:pPr>
            <w:r>
              <w:rPr>
                <w:rFonts w:ascii="Arial" w:cs="Arial" w:eastAsia="Arial" w:hAnsi="Arial"/>
                <w:sz w:val="11"/>
                <w:szCs w:val="11"/>
                <w:b w:val="1"/>
                <w:bCs w:val="1"/>
                <w:color w:val="auto"/>
              </w:rPr>
              <w:t>claims.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2" w:name="page183"/>
    <w:bookmarkEnd w:id="182"/>
    <w:p>
      <w:pPr>
        <w:spacing w:after="0"/>
        <w:rPr>
          <w:sz w:val="20"/>
          <w:szCs w:val="20"/>
          <w:color w:val="auto"/>
        </w:rPr>
      </w:pPr>
      <w:r>
        <w:rPr>
          <w:rFonts w:ascii="Arial" w:cs="Arial" w:eastAsia="Arial" w:hAnsi="Arial"/>
          <w:sz w:val="16"/>
          <w:szCs w:val="16"/>
          <w:color w:val="auto"/>
        </w:rPr>
        <w:t>The following table shows the estimates of accumulated claims incurred as of December 31,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20" w:type="dxa"/>
            <w:vAlign w:val="bottom"/>
          </w:tcPr>
          <w:p>
            <w:pPr>
              <w:spacing w:after="0"/>
              <w:rPr>
                <w:sz w:val="11"/>
                <w:szCs w:val="11"/>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2013</w:t>
            </w:r>
          </w:p>
        </w:tc>
        <w:tc>
          <w:tcPr>
            <w:tcW w:w="7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2014</w:t>
            </w:r>
          </w:p>
        </w:tc>
        <w:tc>
          <w:tcPr>
            <w:tcW w:w="7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2015</w:t>
            </w: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2016</w:t>
            </w:r>
          </w:p>
        </w:tc>
        <w:tc>
          <w:tcPr>
            <w:tcW w:w="88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2017</w:t>
            </w: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2018</w:t>
            </w:r>
          </w:p>
        </w:tc>
        <w:tc>
          <w:tcPr>
            <w:tcW w:w="90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2019</w:t>
            </w:r>
          </w:p>
        </w:tc>
        <w:tc>
          <w:tcPr>
            <w:tcW w:w="88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2020</w:t>
            </w: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2022</w:t>
            </w: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7"/>
        </w:trPr>
        <w:tc>
          <w:tcPr>
            <w:tcW w:w="1920" w:type="dxa"/>
            <w:vAlign w:val="bottom"/>
            <w:vMerge w:val="restart"/>
          </w:tcPr>
          <w:p>
            <w:pPr>
              <w:spacing w:after="0"/>
              <w:rPr>
                <w:sz w:val="20"/>
                <w:szCs w:val="20"/>
                <w:color w:val="auto"/>
              </w:rPr>
            </w:pPr>
            <w:r>
              <w:rPr>
                <w:rFonts w:ascii="Arial" w:cs="Arial" w:eastAsia="Arial" w:hAnsi="Arial"/>
                <w:sz w:val="11"/>
                <w:szCs w:val="11"/>
                <w:b w:val="1"/>
                <w:bCs w:val="1"/>
                <w:color w:val="auto"/>
              </w:rPr>
              <w:t>Gross estimates of the</w:t>
            </w:r>
          </w:p>
        </w:tc>
        <w:tc>
          <w:tcPr>
            <w:tcW w:w="780" w:type="dxa"/>
            <w:vAlign w:val="bottom"/>
          </w:tcPr>
          <w:p>
            <w:pPr>
              <w:jc w:val="right"/>
              <w:ind w:right="243"/>
              <w:spacing w:after="0"/>
              <w:rPr>
                <w:sz w:val="20"/>
                <w:szCs w:val="20"/>
                <w:color w:val="auto"/>
              </w:rPr>
            </w:pPr>
            <w:r>
              <w:rPr>
                <w:rFonts w:ascii="Arial" w:cs="Arial" w:eastAsia="Arial" w:hAnsi="Arial"/>
                <w:sz w:val="11"/>
                <w:szCs w:val="11"/>
                <w:b w:val="1"/>
                <w:bCs w:val="1"/>
                <w:color w:val="auto"/>
              </w:rPr>
              <w:t>S/(000)</w:t>
            </w:r>
          </w:p>
        </w:tc>
        <w:tc>
          <w:tcPr>
            <w:tcW w:w="780" w:type="dxa"/>
            <w:vAlign w:val="bottom"/>
          </w:tcPr>
          <w:p>
            <w:pPr>
              <w:jc w:val="right"/>
              <w:ind w:right="203"/>
              <w:spacing w:after="0"/>
              <w:rPr>
                <w:sz w:val="20"/>
                <w:szCs w:val="20"/>
                <w:color w:val="auto"/>
              </w:rPr>
            </w:pPr>
            <w:r>
              <w:rPr>
                <w:rFonts w:ascii="Arial" w:cs="Arial" w:eastAsia="Arial" w:hAnsi="Arial"/>
                <w:sz w:val="11"/>
                <w:szCs w:val="11"/>
                <w:b w:val="1"/>
                <w:bCs w:val="1"/>
                <w:color w:val="auto"/>
              </w:rPr>
              <w:t>S/(000)</w:t>
            </w:r>
          </w:p>
        </w:tc>
        <w:tc>
          <w:tcPr>
            <w:tcW w:w="780" w:type="dxa"/>
            <w:vAlign w:val="bottom"/>
          </w:tcPr>
          <w:p>
            <w:pPr>
              <w:jc w:val="right"/>
              <w:ind w:right="203"/>
              <w:spacing w:after="0"/>
              <w:rPr>
                <w:sz w:val="20"/>
                <w:szCs w:val="20"/>
                <w:color w:val="auto"/>
              </w:rPr>
            </w:pPr>
            <w:r>
              <w:rPr>
                <w:rFonts w:ascii="Arial" w:cs="Arial" w:eastAsia="Arial" w:hAnsi="Arial"/>
                <w:sz w:val="11"/>
                <w:szCs w:val="11"/>
                <w:b w:val="1"/>
                <w:bCs w:val="1"/>
                <w:color w:val="auto"/>
              </w:rPr>
              <w:t>S/(000)</w:t>
            </w:r>
          </w:p>
        </w:tc>
        <w:tc>
          <w:tcPr>
            <w:tcW w:w="840" w:type="dxa"/>
            <w:vAlign w:val="bottom"/>
          </w:tcPr>
          <w:p>
            <w:pPr>
              <w:jc w:val="right"/>
              <w:ind w:right="243"/>
              <w:spacing w:after="0"/>
              <w:rPr>
                <w:sz w:val="20"/>
                <w:szCs w:val="20"/>
                <w:color w:val="auto"/>
              </w:rPr>
            </w:pPr>
            <w:r>
              <w:rPr>
                <w:rFonts w:ascii="Arial" w:cs="Arial" w:eastAsia="Arial" w:hAnsi="Arial"/>
                <w:sz w:val="11"/>
                <w:szCs w:val="11"/>
                <w:b w:val="1"/>
                <w:bCs w:val="1"/>
                <w:color w:val="auto"/>
              </w:rPr>
              <w:t>S/(000)</w:t>
            </w:r>
          </w:p>
        </w:tc>
        <w:tc>
          <w:tcPr>
            <w:tcW w:w="880" w:type="dxa"/>
            <w:vAlign w:val="bottom"/>
          </w:tcPr>
          <w:p>
            <w:pPr>
              <w:jc w:val="center"/>
              <w:ind w:right="43"/>
              <w:spacing w:after="0"/>
              <w:rPr>
                <w:sz w:val="20"/>
                <w:szCs w:val="20"/>
                <w:color w:val="auto"/>
              </w:rPr>
            </w:pPr>
            <w:r>
              <w:rPr>
                <w:rFonts w:ascii="Arial" w:cs="Arial" w:eastAsia="Arial" w:hAnsi="Arial"/>
                <w:sz w:val="11"/>
                <w:szCs w:val="11"/>
                <w:b w:val="1"/>
                <w:bCs w:val="1"/>
                <w:color w:val="auto"/>
              </w:rPr>
              <w:t>S/(000)</w:t>
            </w:r>
          </w:p>
        </w:tc>
        <w:tc>
          <w:tcPr>
            <w:tcW w:w="900" w:type="dxa"/>
            <w:vAlign w:val="bottom"/>
          </w:tcPr>
          <w:p>
            <w:pPr>
              <w:jc w:val="center"/>
              <w:ind w:right="23"/>
              <w:spacing w:after="0"/>
              <w:rPr>
                <w:sz w:val="20"/>
                <w:szCs w:val="20"/>
                <w:color w:val="auto"/>
              </w:rPr>
            </w:pPr>
            <w:r>
              <w:rPr>
                <w:rFonts w:ascii="Arial" w:cs="Arial" w:eastAsia="Arial" w:hAnsi="Arial"/>
                <w:sz w:val="11"/>
                <w:szCs w:val="11"/>
                <w:b w:val="1"/>
                <w:bCs w:val="1"/>
                <w:color w:val="auto"/>
              </w:rPr>
              <w:t>S/(000)</w:t>
            </w:r>
          </w:p>
        </w:tc>
        <w:tc>
          <w:tcPr>
            <w:tcW w:w="900" w:type="dxa"/>
            <w:vAlign w:val="bottom"/>
          </w:tcPr>
          <w:p>
            <w:pPr>
              <w:jc w:val="center"/>
              <w:ind w:right="43"/>
              <w:spacing w:after="0"/>
              <w:rPr>
                <w:sz w:val="20"/>
                <w:szCs w:val="20"/>
                <w:color w:val="auto"/>
              </w:rPr>
            </w:pPr>
            <w:r>
              <w:rPr>
                <w:rFonts w:ascii="Arial" w:cs="Arial" w:eastAsia="Arial" w:hAnsi="Arial"/>
                <w:sz w:val="11"/>
                <w:szCs w:val="11"/>
                <w:b w:val="1"/>
                <w:bCs w:val="1"/>
                <w:color w:val="auto"/>
                <w:w w:val="99"/>
              </w:rPr>
              <w:t>S/(000)</w:t>
            </w:r>
          </w:p>
        </w:tc>
        <w:tc>
          <w:tcPr>
            <w:tcW w:w="880" w:type="dxa"/>
            <w:vAlign w:val="bottom"/>
          </w:tcPr>
          <w:p>
            <w:pPr>
              <w:jc w:val="center"/>
              <w:ind w:right="43"/>
              <w:spacing w:after="0"/>
              <w:rPr>
                <w:sz w:val="20"/>
                <w:szCs w:val="20"/>
                <w:color w:val="auto"/>
              </w:rPr>
            </w:pPr>
            <w:r>
              <w:rPr>
                <w:rFonts w:ascii="Arial" w:cs="Arial" w:eastAsia="Arial" w:hAnsi="Arial"/>
                <w:sz w:val="11"/>
                <w:szCs w:val="11"/>
                <w:b w:val="1"/>
                <w:bCs w:val="1"/>
                <w:color w:val="auto"/>
              </w:rPr>
              <w:t>S/(000)</w:t>
            </w:r>
          </w:p>
        </w:tc>
        <w:tc>
          <w:tcPr>
            <w:tcW w:w="900" w:type="dxa"/>
            <w:vAlign w:val="bottom"/>
          </w:tcPr>
          <w:p>
            <w:pPr>
              <w:jc w:val="center"/>
              <w:ind w:right="23"/>
              <w:spacing w:after="0"/>
              <w:rPr>
                <w:sz w:val="20"/>
                <w:szCs w:val="20"/>
                <w:color w:val="auto"/>
              </w:rPr>
            </w:pPr>
            <w:r>
              <w:rPr>
                <w:rFonts w:ascii="Arial" w:cs="Arial" w:eastAsia="Arial" w:hAnsi="Arial"/>
                <w:sz w:val="11"/>
                <w:szCs w:val="11"/>
                <w:b w:val="1"/>
                <w:bCs w:val="1"/>
                <w:color w:val="auto"/>
              </w:rPr>
              <w:t>S/(000)</w:t>
            </w:r>
          </w:p>
        </w:tc>
        <w:tc>
          <w:tcPr>
            <w:tcW w:w="860" w:type="dxa"/>
            <w:vAlign w:val="bottom"/>
          </w:tcPr>
          <w:p>
            <w:pPr>
              <w:jc w:val="center"/>
              <w:ind w:right="23"/>
              <w:spacing w:after="0"/>
              <w:rPr>
                <w:sz w:val="20"/>
                <w:szCs w:val="20"/>
                <w:color w:val="auto"/>
              </w:rPr>
            </w:pPr>
            <w:r>
              <w:rPr>
                <w:rFonts w:ascii="Arial" w:cs="Arial" w:eastAsia="Arial" w:hAnsi="Arial"/>
                <w:sz w:val="11"/>
                <w:szCs w:val="11"/>
                <w:b w:val="1"/>
                <w:bCs w:val="1"/>
                <w:color w:val="auto"/>
              </w:rPr>
              <w:t>S/(000)</w:t>
            </w:r>
          </w:p>
        </w:tc>
        <w:tc>
          <w:tcPr>
            <w:tcW w:w="840" w:type="dxa"/>
            <w:vAlign w:val="bottom"/>
          </w:tcPr>
          <w:p>
            <w:pPr>
              <w:jc w:val="right"/>
              <w:ind w:right="163"/>
              <w:spacing w:after="0"/>
              <w:rPr>
                <w:sz w:val="20"/>
                <w:szCs w:val="20"/>
                <w:color w:val="auto"/>
              </w:rPr>
            </w:pPr>
            <w:r>
              <w:rPr>
                <w:rFonts w:ascii="Arial" w:cs="Arial" w:eastAsia="Arial" w:hAnsi="Arial"/>
                <w:sz w:val="11"/>
                <w:szCs w:val="11"/>
                <w:b w:val="1"/>
                <w:bCs w:val="1"/>
                <w:color w:val="auto"/>
              </w:rPr>
              <w:t>S/(000)</w:t>
            </w:r>
          </w:p>
        </w:tc>
        <w:tc>
          <w:tcPr>
            <w:tcW w:w="0" w:type="dxa"/>
            <w:vAlign w:val="bottom"/>
          </w:tcPr>
          <w:p>
            <w:pPr>
              <w:spacing w:after="0"/>
              <w:rPr>
                <w:sz w:val="1"/>
                <w:szCs w:val="1"/>
                <w:color w:val="auto"/>
              </w:rPr>
            </w:pPr>
          </w:p>
        </w:tc>
      </w:tr>
      <w:tr>
        <w:trPr>
          <w:trHeight w:val="74"/>
        </w:trPr>
        <w:tc>
          <w:tcPr>
            <w:tcW w:w="19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undiscounted amount of the</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claims:</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At the end of the claim year</w:t>
            </w:r>
          </w:p>
        </w:tc>
        <w:tc>
          <w:tcPr>
            <w:tcW w:w="7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1,141,142</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800,436</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998,136</w:t>
            </w:r>
          </w:p>
        </w:tc>
        <w:tc>
          <w:tcPr>
            <w:tcW w:w="84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1,073,982</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1,698,250</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1,193,707</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1,433,243</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1,538,374</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1,828,421</w:t>
            </w:r>
          </w:p>
        </w:tc>
        <w:tc>
          <w:tcPr>
            <w:tcW w:w="86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2,034,760</w:t>
            </w: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color w:val="auto"/>
              </w:rPr>
              <w:t>13,740,451</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1 year later</w:t>
            </w:r>
          </w:p>
        </w:tc>
        <w:tc>
          <w:tcPr>
            <w:tcW w:w="7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2,967</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2,876</w:t>
            </w:r>
          </w:p>
        </w:tc>
        <w:tc>
          <w:tcPr>
            <w:tcW w:w="84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1,752</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6,463</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7,683</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24,014</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88,496</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203,932</w:t>
            </w:r>
          </w:p>
        </w:tc>
        <w:tc>
          <w:tcPr>
            <w:tcW w:w="86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334,135</w:t>
            </w: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color w:val="auto"/>
              </w:rPr>
              <w:t>672,318</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2 years later</w:t>
            </w:r>
          </w:p>
        </w:tc>
        <w:tc>
          <w:tcPr>
            <w:tcW w:w="7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2,797</w:t>
            </w:r>
          </w:p>
        </w:tc>
        <w:tc>
          <w:tcPr>
            <w:tcW w:w="84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3,113</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8,586</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4,570</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14,697</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63,339</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168,287</w:t>
            </w:r>
          </w:p>
        </w:tc>
        <w:tc>
          <w:tcPr>
            <w:tcW w:w="86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186,582</w:t>
            </w: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color w:val="auto"/>
              </w:rPr>
              <w:t>451,971</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3 years later</w:t>
            </w:r>
          </w:p>
        </w:tc>
        <w:tc>
          <w:tcPr>
            <w:tcW w:w="7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2,578</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4,092</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2,842</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4,127</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29,408</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94,517</w:t>
            </w:r>
          </w:p>
        </w:tc>
        <w:tc>
          <w:tcPr>
            <w:tcW w:w="86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77,225</w:t>
            </w: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color w:val="auto"/>
              </w:rPr>
              <w:t>214,789</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4 years later</w:t>
            </w:r>
          </w:p>
        </w:tc>
        <w:tc>
          <w:tcPr>
            <w:tcW w:w="7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3,178</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3,085</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2,408</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6,004</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44,507</w:t>
            </w:r>
          </w:p>
        </w:tc>
        <w:tc>
          <w:tcPr>
            <w:tcW w:w="86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41,660</w:t>
            </w: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color w:val="auto"/>
              </w:rPr>
              <w:t>100,842</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5 years later</w:t>
            </w:r>
          </w:p>
        </w:tc>
        <w:tc>
          <w:tcPr>
            <w:tcW w:w="7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3,207</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3,298</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3,340</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9,036</w:t>
            </w:r>
          </w:p>
        </w:tc>
        <w:tc>
          <w:tcPr>
            <w:tcW w:w="86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19,976</w:t>
            </w: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color w:val="auto"/>
              </w:rPr>
              <w:t>38,857</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6 years later</w:t>
            </w:r>
          </w:p>
        </w:tc>
        <w:tc>
          <w:tcPr>
            <w:tcW w:w="7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2,041</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4,258</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4,259</w:t>
            </w:r>
          </w:p>
        </w:tc>
        <w:tc>
          <w:tcPr>
            <w:tcW w:w="86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9,282</w:t>
            </w: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color w:val="auto"/>
              </w:rPr>
              <w:t>19,840</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7 years later</w:t>
            </w:r>
          </w:p>
        </w:tc>
        <w:tc>
          <w:tcPr>
            <w:tcW w:w="7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1,888</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5,650</w:t>
            </w:r>
          </w:p>
        </w:tc>
        <w:tc>
          <w:tcPr>
            <w:tcW w:w="86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2,918</w:t>
            </w: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color w:val="auto"/>
              </w:rPr>
              <w:t>10,456</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8 years later</w:t>
            </w:r>
          </w:p>
        </w:tc>
        <w:tc>
          <w:tcPr>
            <w:tcW w:w="7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2,022</w:t>
            </w:r>
          </w:p>
        </w:tc>
        <w:tc>
          <w:tcPr>
            <w:tcW w:w="86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6,941</w:t>
            </w: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color w:val="auto"/>
              </w:rPr>
              <w:t>8,963</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20"/>
                <w:szCs w:val="20"/>
                <w:color w:val="auto"/>
              </w:rPr>
            </w:pPr>
            <w:r>
              <w:rPr>
                <w:rFonts w:ascii="Arial" w:cs="Arial" w:eastAsia="Arial" w:hAnsi="Arial"/>
                <w:sz w:val="11"/>
                <w:szCs w:val="11"/>
                <w:color w:val="auto"/>
              </w:rPr>
              <w:t>9 years later</w:t>
            </w:r>
          </w:p>
        </w:tc>
        <w:tc>
          <w:tcPr>
            <w:tcW w:w="7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6,312</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6,312</w:t>
            </w:r>
          </w:p>
        </w:tc>
        <w:tc>
          <w:tcPr>
            <w:tcW w:w="0" w:type="dxa"/>
            <w:vAlign w:val="bottom"/>
          </w:tcPr>
          <w:p>
            <w:pPr>
              <w:spacing w:after="0"/>
              <w:rPr>
                <w:sz w:val="1"/>
                <w:szCs w:val="1"/>
                <w:color w:val="auto"/>
              </w:rPr>
            </w:pPr>
          </w:p>
        </w:tc>
      </w:tr>
      <w:tr>
        <w:trPr>
          <w:trHeight w:val="98"/>
        </w:trPr>
        <w:tc>
          <w:tcPr>
            <w:tcW w:w="1920" w:type="dxa"/>
            <w:vAlign w:val="bottom"/>
          </w:tcPr>
          <w:p>
            <w:pPr>
              <w:spacing w:after="0" w:line="98" w:lineRule="exact"/>
              <w:rPr>
                <w:sz w:val="20"/>
                <w:szCs w:val="20"/>
                <w:color w:val="auto"/>
              </w:rPr>
            </w:pPr>
            <w:r>
              <w:rPr>
                <w:rFonts w:ascii="Arial" w:cs="Arial" w:eastAsia="Arial" w:hAnsi="Arial"/>
                <w:sz w:val="11"/>
                <w:szCs w:val="11"/>
                <w:b w:val="1"/>
                <w:bCs w:val="1"/>
                <w:color w:val="auto"/>
              </w:rPr>
              <w:t>Accumulated gross claims</w:t>
            </w:r>
          </w:p>
        </w:tc>
        <w:tc>
          <w:tcPr>
            <w:tcW w:w="780" w:type="dxa"/>
            <w:vAlign w:val="bottom"/>
          </w:tcPr>
          <w:p>
            <w:pPr>
              <w:jc w:val="right"/>
              <w:ind w:right="143"/>
              <w:spacing w:after="0" w:line="98" w:lineRule="exact"/>
              <w:rPr>
                <w:sz w:val="20"/>
                <w:szCs w:val="20"/>
                <w:color w:val="auto"/>
              </w:rPr>
            </w:pPr>
            <w:r>
              <w:rPr>
                <w:rFonts w:ascii="Arial" w:cs="Arial" w:eastAsia="Arial" w:hAnsi="Arial"/>
                <w:sz w:val="11"/>
                <w:szCs w:val="11"/>
                <w:b w:val="1"/>
                <w:bCs w:val="1"/>
                <w:color w:val="auto"/>
              </w:rPr>
              <w:t>1,141,142</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803,403</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1,003,809</w:t>
            </w:r>
          </w:p>
        </w:tc>
        <w:tc>
          <w:tcPr>
            <w:tcW w:w="840" w:type="dxa"/>
            <w:vAlign w:val="bottom"/>
          </w:tcPr>
          <w:p>
            <w:pPr>
              <w:jc w:val="right"/>
              <w:ind w:right="163"/>
              <w:spacing w:after="0" w:line="98" w:lineRule="exact"/>
              <w:rPr>
                <w:sz w:val="20"/>
                <w:szCs w:val="20"/>
                <w:color w:val="auto"/>
              </w:rPr>
            </w:pPr>
            <w:r>
              <w:rPr>
                <w:rFonts w:ascii="Arial" w:cs="Arial" w:eastAsia="Arial" w:hAnsi="Arial"/>
                <w:sz w:val="11"/>
                <w:szCs w:val="11"/>
                <w:b w:val="1"/>
                <w:bCs w:val="1"/>
                <w:color w:val="auto"/>
              </w:rPr>
              <w:t>1,081,425</w:t>
            </w:r>
          </w:p>
        </w:tc>
        <w:tc>
          <w:tcPr>
            <w:tcW w:w="880" w:type="dxa"/>
            <w:vAlign w:val="bottom"/>
          </w:tcPr>
          <w:p>
            <w:pPr>
              <w:jc w:val="right"/>
              <w:ind w:right="143"/>
              <w:spacing w:after="0" w:line="98" w:lineRule="exact"/>
              <w:rPr>
                <w:sz w:val="20"/>
                <w:szCs w:val="20"/>
                <w:color w:val="auto"/>
              </w:rPr>
            </w:pPr>
            <w:r>
              <w:rPr>
                <w:rFonts w:ascii="Arial" w:cs="Arial" w:eastAsia="Arial" w:hAnsi="Arial"/>
                <w:sz w:val="11"/>
                <w:szCs w:val="11"/>
                <w:b w:val="1"/>
                <w:bCs w:val="1"/>
                <w:color w:val="auto"/>
              </w:rPr>
              <w:t>1,720,569</w:t>
            </w:r>
          </w:p>
        </w:tc>
        <w:tc>
          <w:tcPr>
            <w:tcW w:w="900" w:type="dxa"/>
            <w:vAlign w:val="bottom"/>
          </w:tcPr>
          <w:p>
            <w:pPr>
              <w:jc w:val="right"/>
              <w:ind w:right="163"/>
              <w:spacing w:after="0" w:line="98" w:lineRule="exact"/>
              <w:rPr>
                <w:sz w:val="20"/>
                <w:szCs w:val="20"/>
                <w:color w:val="auto"/>
              </w:rPr>
            </w:pPr>
            <w:r>
              <w:rPr>
                <w:rFonts w:ascii="Arial" w:cs="Arial" w:eastAsia="Arial" w:hAnsi="Arial"/>
                <w:sz w:val="11"/>
                <w:szCs w:val="11"/>
                <w:b w:val="1"/>
                <w:bCs w:val="1"/>
                <w:color w:val="auto"/>
              </w:rPr>
              <w:t>1,215,094</w:t>
            </w:r>
          </w:p>
        </w:tc>
        <w:tc>
          <w:tcPr>
            <w:tcW w:w="900" w:type="dxa"/>
            <w:vAlign w:val="bottom"/>
          </w:tcPr>
          <w:p>
            <w:pPr>
              <w:jc w:val="right"/>
              <w:ind w:right="163"/>
              <w:spacing w:after="0" w:line="98" w:lineRule="exact"/>
              <w:rPr>
                <w:sz w:val="20"/>
                <w:szCs w:val="20"/>
                <w:color w:val="auto"/>
              </w:rPr>
            </w:pPr>
            <w:r>
              <w:rPr>
                <w:rFonts w:ascii="Arial" w:cs="Arial" w:eastAsia="Arial" w:hAnsi="Arial"/>
                <w:sz w:val="11"/>
                <w:szCs w:val="11"/>
                <w:b w:val="1"/>
                <w:bCs w:val="1"/>
                <w:color w:val="auto"/>
              </w:rPr>
              <w:t>1,483,828</w:t>
            </w:r>
          </w:p>
        </w:tc>
        <w:tc>
          <w:tcPr>
            <w:tcW w:w="880" w:type="dxa"/>
            <w:vAlign w:val="bottom"/>
          </w:tcPr>
          <w:p>
            <w:pPr>
              <w:jc w:val="right"/>
              <w:ind w:right="143"/>
              <w:spacing w:after="0" w:line="98" w:lineRule="exact"/>
              <w:rPr>
                <w:sz w:val="20"/>
                <w:szCs w:val="20"/>
                <w:color w:val="auto"/>
              </w:rPr>
            </w:pPr>
            <w:r>
              <w:rPr>
                <w:rFonts w:ascii="Arial" w:cs="Arial" w:eastAsia="Arial" w:hAnsi="Arial"/>
                <w:sz w:val="11"/>
                <w:szCs w:val="11"/>
                <w:b w:val="1"/>
                <w:bCs w:val="1"/>
                <w:color w:val="auto"/>
              </w:rPr>
              <w:t>1,735,107</w:t>
            </w:r>
          </w:p>
        </w:tc>
        <w:tc>
          <w:tcPr>
            <w:tcW w:w="900" w:type="dxa"/>
            <w:vAlign w:val="bottom"/>
          </w:tcPr>
          <w:p>
            <w:pPr>
              <w:jc w:val="right"/>
              <w:ind w:right="163"/>
              <w:spacing w:after="0" w:line="98" w:lineRule="exact"/>
              <w:rPr>
                <w:sz w:val="20"/>
                <w:szCs w:val="20"/>
                <w:color w:val="auto"/>
              </w:rPr>
            </w:pPr>
            <w:r>
              <w:rPr>
                <w:rFonts w:ascii="Arial" w:cs="Arial" w:eastAsia="Arial" w:hAnsi="Arial"/>
                <w:sz w:val="11"/>
                <w:szCs w:val="11"/>
                <w:b w:val="1"/>
                <w:bCs w:val="1"/>
                <w:color w:val="auto"/>
              </w:rPr>
              <w:t>2,360,631</w:t>
            </w:r>
          </w:p>
        </w:tc>
        <w:tc>
          <w:tcPr>
            <w:tcW w:w="860" w:type="dxa"/>
            <w:vAlign w:val="bottom"/>
          </w:tcPr>
          <w:p>
            <w:pPr>
              <w:jc w:val="right"/>
              <w:ind w:right="123"/>
              <w:spacing w:after="0" w:line="98" w:lineRule="exact"/>
              <w:rPr>
                <w:sz w:val="20"/>
                <w:szCs w:val="20"/>
                <w:color w:val="auto"/>
              </w:rPr>
            </w:pPr>
            <w:r>
              <w:rPr>
                <w:rFonts w:ascii="Arial" w:cs="Arial" w:eastAsia="Arial" w:hAnsi="Arial"/>
                <w:sz w:val="11"/>
                <w:szCs w:val="11"/>
                <w:b w:val="1"/>
                <w:bCs w:val="1"/>
                <w:color w:val="auto"/>
              </w:rPr>
              <w:t>2,719,791</w:t>
            </w:r>
          </w:p>
        </w:tc>
        <w:tc>
          <w:tcPr>
            <w:tcW w:w="840" w:type="dxa"/>
            <w:vAlign w:val="bottom"/>
          </w:tcPr>
          <w:p>
            <w:pPr>
              <w:jc w:val="right"/>
              <w:ind w:right="63"/>
              <w:spacing w:after="0" w:line="98" w:lineRule="exact"/>
              <w:rPr>
                <w:sz w:val="20"/>
                <w:szCs w:val="20"/>
                <w:color w:val="auto"/>
              </w:rPr>
            </w:pPr>
            <w:r>
              <w:rPr>
                <w:rFonts w:ascii="Arial" w:cs="Arial" w:eastAsia="Arial" w:hAnsi="Arial"/>
                <w:sz w:val="11"/>
                <w:szCs w:val="11"/>
                <w:b w:val="1"/>
                <w:bCs w:val="1"/>
                <w:color w:val="auto"/>
              </w:rPr>
              <w:t>15,264,799</w:t>
            </w:r>
          </w:p>
        </w:tc>
        <w:tc>
          <w:tcPr>
            <w:tcW w:w="0" w:type="dxa"/>
            <w:vAlign w:val="bottom"/>
          </w:tcPr>
          <w:p>
            <w:pPr>
              <w:spacing w:after="0"/>
              <w:rPr>
                <w:sz w:val="1"/>
                <w:szCs w:val="1"/>
                <w:color w:val="auto"/>
              </w:rPr>
            </w:pPr>
          </w:p>
        </w:tc>
      </w:tr>
      <w:tr>
        <w:trPr>
          <w:trHeight w:val="119"/>
        </w:trPr>
        <w:tc>
          <w:tcPr>
            <w:tcW w:w="1920" w:type="dxa"/>
            <w:vAlign w:val="bottom"/>
          </w:tcPr>
          <w:p>
            <w:pPr>
              <w:ind w:left="140"/>
              <w:spacing w:after="0" w:line="119" w:lineRule="exact"/>
              <w:rPr>
                <w:sz w:val="20"/>
                <w:szCs w:val="20"/>
                <w:color w:val="auto"/>
              </w:rPr>
            </w:pPr>
            <w:r>
              <w:rPr>
                <w:rFonts w:ascii="Arial" w:cs="Arial" w:eastAsia="Arial" w:hAnsi="Arial"/>
                <w:sz w:val="11"/>
                <w:szCs w:val="11"/>
                <w:b w:val="1"/>
                <w:bCs w:val="1"/>
                <w:color w:val="auto"/>
              </w:rPr>
              <w:t>and other directly attributable</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expenses paid for the year of</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occurrence.</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Liabilities / Gross Obligations</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140"/>
              <w:spacing w:after="0" w:line="122" w:lineRule="exact"/>
              <w:rPr>
                <w:sz w:val="20"/>
                <w:szCs w:val="20"/>
                <w:color w:val="auto"/>
              </w:rPr>
            </w:pPr>
            <w:r>
              <w:rPr>
                <w:rFonts w:ascii="Arial" w:cs="Arial" w:eastAsia="Arial" w:hAnsi="Arial"/>
                <w:sz w:val="11"/>
                <w:szCs w:val="11"/>
                <w:color w:val="auto"/>
              </w:rPr>
              <w:t>accumulated by claims</w:t>
            </w:r>
          </w:p>
        </w:tc>
        <w:tc>
          <w:tcPr>
            <w:tcW w:w="7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2,043</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6,503</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6,723</w:t>
            </w:r>
          </w:p>
        </w:tc>
        <w:tc>
          <w:tcPr>
            <w:tcW w:w="84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10,070</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31,556</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27,675</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77,292</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244,120</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675,107</w:t>
            </w:r>
          </w:p>
        </w:tc>
        <w:tc>
          <w:tcPr>
            <w:tcW w:w="86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1,485,336</w:t>
            </w: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color w:val="auto"/>
              </w:rPr>
              <w:t>2,566,425</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Discount event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(293)</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(580)</w:t>
            </w:r>
          </w:p>
        </w:tc>
        <w:tc>
          <w:tcPr>
            <w:tcW w:w="780" w:type="dxa"/>
            <w:vAlign w:val="bottom"/>
          </w:tcPr>
          <w:p>
            <w:pPr>
              <w:jc w:val="right"/>
              <w:ind w:right="63"/>
              <w:spacing w:after="0" w:line="122" w:lineRule="exact"/>
              <w:rPr>
                <w:sz w:val="20"/>
                <w:szCs w:val="20"/>
                <w:color w:val="auto"/>
              </w:rPr>
            </w:pPr>
            <w:r>
              <w:rPr>
                <w:rFonts w:ascii="Arial" w:cs="Arial" w:eastAsia="Arial" w:hAnsi="Arial"/>
                <w:sz w:val="11"/>
                <w:szCs w:val="11"/>
                <w:color w:val="auto"/>
              </w:rPr>
              <w:t>(740)</w:t>
            </w:r>
          </w:p>
        </w:tc>
        <w:tc>
          <w:tcPr>
            <w:tcW w:w="84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(1,101)</w:t>
            </w:r>
          </w:p>
        </w:tc>
        <w:tc>
          <w:tcPr>
            <w:tcW w:w="8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(2,256)</w:t>
            </w:r>
          </w:p>
        </w:tc>
        <w:tc>
          <w:tcPr>
            <w:tcW w:w="90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(2,051)</w:t>
            </w:r>
          </w:p>
        </w:tc>
        <w:tc>
          <w:tcPr>
            <w:tcW w:w="90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(6,629)</w:t>
            </w:r>
          </w:p>
        </w:tc>
        <w:tc>
          <w:tcPr>
            <w:tcW w:w="8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(19,828)</w:t>
            </w:r>
          </w:p>
        </w:tc>
        <w:tc>
          <w:tcPr>
            <w:tcW w:w="90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(49,865)</w:t>
            </w:r>
          </w:p>
        </w:tc>
        <w:tc>
          <w:tcPr>
            <w:tcW w:w="860" w:type="dxa"/>
            <w:vAlign w:val="bottom"/>
          </w:tcPr>
          <w:p>
            <w:pPr>
              <w:jc w:val="right"/>
              <w:ind w:right="83"/>
              <w:spacing w:after="0" w:line="122" w:lineRule="exact"/>
              <w:rPr>
                <w:sz w:val="20"/>
                <w:szCs w:val="20"/>
                <w:color w:val="auto"/>
              </w:rPr>
            </w:pPr>
            <w:r>
              <w:rPr>
                <w:rFonts w:ascii="Arial" w:cs="Arial" w:eastAsia="Arial" w:hAnsi="Arial"/>
                <w:sz w:val="11"/>
                <w:szCs w:val="11"/>
                <w:color w:val="auto"/>
              </w:rPr>
              <w:t>(90,322)</w:t>
            </w:r>
          </w:p>
        </w:tc>
        <w:tc>
          <w:tcPr>
            <w:tcW w:w="840" w:type="dxa"/>
            <w:vAlign w:val="bottom"/>
          </w:tcPr>
          <w:p>
            <w:pPr>
              <w:jc w:val="right"/>
              <w:ind w:right="23"/>
              <w:spacing w:after="0" w:line="122" w:lineRule="exact"/>
              <w:rPr>
                <w:sz w:val="20"/>
                <w:szCs w:val="20"/>
                <w:color w:val="auto"/>
              </w:rPr>
            </w:pPr>
            <w:r>
              <w:rPr>
                <w:rFonts w:ascii="Arial" w:cs="Arial" w:eastAsia="Arial" w:hAnsi="Arial"/>
                <w:sz w:val="11"/>
                <w:szCs w:val="11"/>
                <w:color w:val="auto"/>
              </w:rPr>
              <w:t>(173,665)</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Effect of Risk Adjustment for non-</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140"/>
              <w:spacing w:after="0" w:line="122" w:lineRule="exact"/>
              <w:rPr>
                <w:sz w:val="20"/>
                <w:szCs w:val="20"/>
                <w:color w:val="auto"/>
              </w:rPr>
            </w:pPr>
            <w:r>
              <w:rPr>
                <w:rFonts w:ascii="Arial" w:cs="Arial" w:eastAsia="Arial" w:hAnsi="Arial"/>
                <w:sz w:val="11"/>
                <w:szCs w:val="11"/>
                <w:color w:val="auto"/>
              </w:rPr>
              <w:t>financial risk</w:t>
            </w:r>
          </w:p>
        </w:tc>
        <w:tc>
          <w:tcPr>
            <w:tcW w:w="7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143"/>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63"/>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123"/>
              <w:spacing w:after="0" w:line="122" w:lineRule="exact"/>
              <w:rPr>
                <w:sz w:val="20"/>
                <w:szCs w:val="20"/>
                <w:color w:val="auto"/>
              </w:rPr>
            </w:pPr>
            <w:r>
              <w:rPr>
                <w:rFonts w:ascii="Arial" w:cs="Arial" w:eastAsia="Arial" w:hAnsi="Arial"/>
                <w:sz w:val="11"/>
                <w:szCs w:val="11"/>
                <w:color w:val="auto"/>
              </w:rPr>
              <w:t>13,478</w:t>
            </w: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color w:val="auto"/>
              </w:rPr>
              <w:t>13,478</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Gross LIC of the Temporary</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920" w:type="dxa"/>
            <w:vAlign w:val="bottom"/>
          </w:tcPr>
          <w:p>
            <w:pPr>
              <w:ind w:left="140"/>
              <w:spacing w:after="0"/>
              <w:rPr>
                <w:sz w:val="20"/>
                <w:szCs w:val="20"/>
                <w:color w:val="auto"/>
              </w:rPr>
            </w:pPr>
            <w:r>
              <w:rPr>
                <w:rFonts w:ascii="Arial" w:cs="Arial" w:eastAsia="Arial" w:hAnsi="Arial"/>
                <w:sz w:val="11"/>
                <w:szCs w:val="11"/>
                <w:color w:val="auto"/>
              </w:rPr>
              <w:t>Regime and Definitive Regime</w:t>
            </w:r>
          </w:p>
        </w:tc>
        <w:tc>
          <w:tcPr>
            <w:tcW w:w="7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8"/>
        </w:trPr>
        <w:tc>
          <w:tcPr>
            <w:tcW w:w="1920" w:type="dxa"/>
            <w:vAlign w:val="bottom"/>
          </w:tcPr>
          <w:p>
            <w:pPr>
              <w:spacing w:after="0" w:line="98" w:lineRule="exact"/>
              <w:rPr>
                <w:sz w:val="20"/>
                <w:szCs w:val="20"/>
                <w:color w:val="auto"/>
              </w:rPr>
            </w:pPr>
            <w:r>
              <w:rPr>
                <w:rFonts w:ascii="Arial" w:cs="Arial" w:eastAsia="Arial" w:hAnsi="Arial"/>
                <w:sz w:val="11"/>
                <w:szCs w:val="11"/>
                <w:b w:val="1"/>
                <w:bCs w:val="1"/>
                <w:color w:val="auto"/>
              </w:rPr>
              <w:t>Gross provision for incurred</w:t>
            </w:r>
          </w:p>
        </w:tc>
        <w:tc>
          <w:tcPr>
            <w:tcW w:w="780" w:type="dxa"/>
            <w:vAlign w:val="bottom"/>
          </w:tcPr>
          <w:p>
            <w:pPr>
              <w:jc w:val="right"/>
              <w:ind w:right="143"/>
              <w:spacing w:after="0" w:line="98" w:lineRule="exact"/>
              <w:rPr>
                <w:sz w:val="20"/>
                <w:szCs w:val="20"/>
                <w:color w:val="auto"/>
              </w:rPr>
            </w:pPr>
            <w:r>
              <w:rPr>
                <w:rFonts w:ascii="Arial" w:cs="Arial" w:eastAsia="Arial" w:hAnsi="Arial"/>
                <w:sz w:val="11"/>
                <w:szCs w:val="11"/>
                <w:b w:val="1"/>
                <w:bCs w:val="1"/>
                <w:color w:val="auto"/>
              </w:rPr>
              <w:t>1,750</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5,923</w:t>
            </w:r>
          </w:p>
        </w:tc>
        <w:tc>
          <w:tcPr>
            <w:tcW w:w="780" w:type="dxa"/>
            <w:vAlign w:val="bottom"/>
          </w:tcPr>
          <w:p>
            <w:pPr>
              <w:jc w:val="right"/>
              <w:ind w:right="103"/>
              <w:spacing w:after="0" w:line="98" w:lineRule="exact"/>
              <w:rPr>
                <w:sz w:val="20"/>
                <w:szCs w:val="20"/>
                <w:color w:val="auto"/>
              </w:rPr>
            </w:pPr>
            <w:r>
              <w:rPr>
                <w:rFonts w:ascii="Arial" w:cs="Arial" w:eastAsia="Arial" w:hAnsi="Arial"/>
                <w:sz w:val="11"/>
                <w:szCs w:val="11"/>
                <w:b w:val="1"/>
                <w:bCs w:val="1"/>
                <w:color w:val="auto"/>
              </w:rPr>
              <w:t>5,983</w:t>
            </w:r>
          </w:p>
        </w:tc>
        <w:tc>
          <w:tcPr>
            <w:tcW w:w="840" w:type="dxa"/>
            <w:vAlign w:val="bottom"/>
          </w:tcPr>
          <w:p>
            <w:pPr>
              <w:jc w:val="right"/>
              <w:ind w:right="163"/>
              <w:spacing w:after="0" w:line="98" w:lineRule="exact"/>
              <w:rPr>
                <w:sz w:val="20"/>
                <w:szCs w:val="20"/>
                <w:color w:val="auto"/>
              </w:rPr>
            </w:pPr>
            <w:r>
              <w:rPr>
                <w:rFonts w:ascii="Arial" w:cs="Arial" w:eastAsia="Arial" w:hAnsi="Arial"/>
                <w:sz w:val="11"/>
                <w:szCs w:val="11"/>
                <w:b w:val="1"/>
                <w:bCs w:val="1"/>
                <w:color w:val="auto"/>
              </w:rPr>
              <w:t>8,969</w:t>
            </w:r>
          </w:p>
        </w:tc>
        <w:tc>
          <w:tcPr>
            <w:tcW w:w="880" w:type="dxa"/>
            <w:vAlign w:val="bottom"/>
          </w:tcPr>
          <w:p>
            <w:pPr>
              <w:jc w:val="right"/>
              <w:ind w:right="143"/>
              <w:spacing w:after="0" w:line="98" w:lineRule="exact"/>
              <w:rPr>
                <w:sz w:val="20"/>
                <w:szCs w:val="20"/>
                <w:color w:val="auto"/>
              </w:rPr>
            </w:pPr>
            <w:r>
              <w:rPr>
                <w:rFonts w:ascii="Arial" w:cs="Arial" w:eastAsia="Arial" w:hAnsi="Arial"/>
                <w:sz w:val="11"/>
                <w:szCs w:val="11"/>
                <w:b w:val="1"/>
                <w:bCs w:val="1"/>
                <w:color w:val="auto"/>
              </w:rPr>
              <w:t>29,300</w:t>
            </w:r>
          </w:p>
        </w:tc>
        <w:tc>
          <w:tcPr>
            <w:tcW w:w="900" w:type="dxa"/>
            <w:vAlign w:val="bottom"/>
          </w:tcPr>
          <w:p>
            <w:pPr>
              <w:jc w:val="right"/>
              <w:ind w:right="163"/>
              <w:spacing w:after="0" w:line="98" w:lineRule="exact"/>
              <w:rPr>
                <w:sz w:val="20"/>
                <w:szCs w:val="20"/>
                <w:color w:val="auto"/>
              </w:rPr>
            </w:pPr>
            <w:r>
              <w:rPr>
                <w:rFonts w:ascii="Arial" w:cs="Arial" w:eastAsia="Arial" w:hAnsi="Arial"/>
                <w:sz w:val="11"/>
                <w:szCs w:val="11"/>
                <w:b w:val="1"/>
                <w:bCs w:val="1"/>
                <w:color w:val="auto"/>
              </w:rPr>
              <w:t>25,624</w:t>
            </w:r>
          </w:p>
        </w:tc>
        <w:tc>
          <w:tcPr>
            <w:tcW w:w="900" w:type="dxa"/>
            <w:vAlign w:val="bottom"/>
          </w:tcPr>
          <w:p>
            <w:pPr>
              <w:jc w:val="right"/>
              <w:ind w:right="163"/>
              <w:spacing w:after="0" w:line="98" w:lineRule="exact"/>
              <w:rPr>
                <w:sz w:val="20"/>
                <w:szCs w:val="20"/>
                <w:color w:val="auto"/>
              </w:rPr>
            </w:pPr>
            <w:r>
              <w:rPr>
                <w:rFonts w:ascii="Arial" w:cs="Arial" w:eastAsia="Arial" w:hAnsi="Arial"/>
                <w:sz w:val="11"/>
                <w:szCs w:val="11"/>
                <w:b w:val="1"/>
                <w:bCs w:val="1"/>
                <w:color w:val="auto"/>
              </w:rPr>
              <w:t>70,663</w:t>
            </w:r>
          </w:p>
        </w:tc>
        <w:tc>
          <w:tcPr>
            <w:tcW w:w="880" w:type="dxa"/>
            <w:vAlign w:val="bottom"/>
          </w:tcPr>
          <w:p>
            <w:pPr>
              <w:jc w:val="right"/>
              <w:ind w:right="143"/>
              <w:spacing w:after="0" w:line="98" w:lineRule="exact"/>
              <w:rPr>
                <w:sz w:val="20"/>
                <w:szCs w:val="20"/>
                <w:color w:val="auto"/>
              </w:rPr>
            </w:pPr>
            <w:r>
              <w:rPr>
                <w:rFonts w:ascii="Arial" w:cs="Arial" w:eastAsia="Arial" w:hAnsi="Arial"/>
                <w:sz w:val="11"/>
                <w:szCs w:val="11"/>
                <w:b w:val="1"/>
                <w:bCs w:val="1"/>
                <w:color w:val="auto"/>
              </w:rPr>
              <w:t>224,292</w:t>
            </w:r>
          </w:p>
        </w:tc>
        <w:tc>
          <w:tcPr>
            <w:tcW w:w="900" w:type="dxa"/>
            <w:vAlign w:val="bottom"/>
          </w:tcPr>
          <w:p>
            <w:pPr>
              <w:jc w:val="right"/>
              <w:ind w:right="163"/>
              <w:spacing w:after="0" w:line="98" w:lineRule="exact"/>
              <w:rPr>
                <w:sz w:val="20"/>
                <w:szCs w:val="20"/>
                <w:color w:val="auto"/>
              </w:rPr>
            </w:pPr>
            <w:r>
              <w:rPr>
                <w:rFonts w:ascii="Arial" w:cs="Arial" w:eastAsia="Arial" w:hAnsi="Arial"/>
                <w:sz w:val="11"/>
                <w:szCs w:val="11"/>
                <w:b w:val="1"/>
                <w:bCs w:val="1"/>
                <w:color w:val="auto"/>
              </w:rPr>
              <w:t>625,242</w:t>
            </w:r>
          </w:p>
        </w:tc>
        <w:tc>
          <w:tcPr>
            <w:tcW w:w="860" w:type="dxa"/>
            <w:vAlign w:val="bottom"/>
          </w:tcPr>
          <w:p>
            <w:pPr>
              <w:jc w:val="right"/>
              <w:ind w:right="123"/>
              <w:spacing w:after="0" w:line="98" w:lineRule="exact"/>
              <w:rPr>
                <w:sz w:val="20"/>
                <w:szCs w:val="20"/>
                <w:color w:val="auto"/>
              </w:rPr>
            </w:pPr>
            <w:r>
              <w:rPr>
                <w:rFonts w:ascii="Arial" w:cs="Arial" w:eastAsia="Arial" w:hAnsi="Arial"/>
                <w:sz w:val="11"/>
                <w:szCs w:val="11"/>
                <w:b w:val="1"/>
                <w:bCs w:val="1"/>
                <w:color w:val="auto"/>
              </w:rPr>
              <w:t>1,408,492</w:t>
            </w:r>
          </w:p>
        </w:tc>
        <w:tc>
          <w:tcPr>
            <w:tcW w:w="840" w:type="dxa"/>
            <w:vAlign w:val="bottom"/>
          </w:tcPr>
          <w:p>
            <w:pPr>
              <w:jc w:val="right"/>
              <w:ind w:right="63"/>
              <w:spacing w:after="0" w:line="98" w:lineRule="exact"/>
              <w:rPr>
                <w:sz w:val="20"/>
                <w:szCs w:val="20"/>
                <w:color w:val="auto"/>
              </w:rPr>
            </w:pPr>
            <w:r>
              <w:rPr>
                <w:rFonts w:ascii="Arial" w:cs="Arial" w:eastAsia="Arial" w:hAnsi="Arial"/>
                <w:sz w:val="11"/>
                <w:szCs w:val="11"/>
                <w:b w:val="1"/>
                <w:bCs w:val="1"/>
                <w:color w:val="auto"/>
              </w:rPr>
              <w:t>2,406,238</w:t>
            </w:r>
          </w:p>
        </w:tc>
        <w:tc>
          <w:tcPr>
            <w:tcW w:w="0" w:type="dxa"/>
            <w:vAlign w:val="bottom"/>
          </w:tcPr>
          <w:p>
            <w:pPr>
              <w:spacing w:after="0"/>
              <w:rPr>
                <w:sz w:val="1"/>
                <w:szCs w:val="1"/>
                <w:color w:val="auto"/>
              </w:rPr>
            </w:pPr>
          </w:p>
        </w:tc>
      </w:tr>
      <w:tr>
        <w:trPr>
          <w:trHeight w:val="155"/>
        </w:trPr>
        <w:tc>
          <w:tcPr>
            <w:tcW w:w="1920" w:type="dxa"/>
            <w:vAlign w:val="bottom"/>
          </w:tcPr>
          <w:p>
            <w:pPr>
              <w:ind w:left="140"/>
              <w:spacing w:after="0"/>
              <w:rPr>
                <w:sz w:val="20"/>
                <w:szCs w:val="20"/>
                <w:color w:val="auto"/>
              </w:rPr>
            </w:pPr>
            <w:r>
              <w:rPr>
                <w:rFonts w:ascii="Arial" w:cs="Arial" w:eastAsia="Arial" w:hAnsi="Arial"/>
                <w:sz w:val="11"/>
                <w:szCs w:val="11"/>
                <w:b w:val="1"/>
                <w:bCs w:val="1"/>
                <w:color w:val="auto"/>
              </w:rPr>
              <w:t>claims.</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3" w:name="page184"/>
    <w:bookmarkEnd w:id="183"/>
    <w:p>
      <w:pPr>
        <w:spacing w:after="0"/>
        <w:tabs>
          <w:tab w:leader="none" w:pos="560" w:val="left"/>
        </w:tabs>
        <w:rPr>
          <w:sz w:val="20"/>
          <w:szCs w:val="20"/>
          <w:color w:val="auto"/>
        </w:rPr>
      </w:pPr>
      <w:r>
        <w:rPr>
          <w:rFonts w:ascii="Arial" w:cs="Arial" w:eastAsia="Arial" w:hAnsi="Arial"/>
          <w:sz w:val="16"/>
          <w:szCs w:val="16"/>
          <w:b w:val="1"/>
          <w:bCs w:val="1"/>
          <w:color w:val="auto"/>
        </w:rPr>
        <w:t>30.10</w:t>
        <w:tab/>
        <w:t>Capital management -</w:t>
      </w:r>
    </w:p>
    <w:p>
      <w:pPr>
        <w:spacing w:after="0" w:line="182" w:lineRule="exact"/>
        <w:rPr>
          <w:sz w:val="20"/>
          <w:szCs w:val="20"/>
          <w:color w:val="auto"/>
        </w:rPr>
      </w:pPr>
    </w:p>
    <w:p>
      <w:pPr>
        <w:ind w:left="580"/>
        <w:spacing w:after="0" w:line="249" w:lineRule="auto"/>
        <w:rPr>
          <w:sz w:val="20"/>
          <w:szCs w:val="20"/>
          <w:color w:val="auto"/>
        </w:rPr>
      </w:pPr>
      <w:r>
        <w:rPr>
          <w:rFonts w:ascii="Arial" w:cs="Arial" w:eastAsia="Arial" w:hAnsi="Arial"/>
          <w:sz w:val="16"/>
          <w:szCs w:val="16"/>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 Furthermore, capital management responds to market expectations in relation to the solvency of the Group and to support the growth of the businesses considered in the strategic planning. In this way, the capital maintained by the Group enables it to assume unexpected losses in normal conditions and conditions of severe stress.</w:t>
      </w:r>
    </w:p>
    <w:p>
      <w:pPr>
        <w:spacing w:after="0" w:line="145" w:lineRule="exact"/>
        <w:rPr>
          <w:sz w:val="20"/>
          <w:szCs w:val="20"/>
          <w:color w:val="auto"/>
        </w:rPr>
      </w:pPr>
    </w:p>
    <w:p>
      <w:pPr>
        <w:ind w:left="580" w:right="60"/>
        <w:spacing w:after="0" w:line="252" w:lineRule="auto"/>
        <w:rPr>
          <w:sz w:val="20"/>
          <w:szCs w:val="20"/>
          <w:color w:val="auto"/>
        </w:rPr>
      </w:pPr>
      <w:r>
        <w:rPr>
          <w:rFonts w:ascii="Arial" w:cs="Arial" w:eastAsia="Arial" w:hAnsi="Arial"/>
          <w:sz w:val="16"/>
          <w:szCs w:val="16"/>
          <w:color w:val="auto"/>
        </w:rPr>
        <w:t>The Group’s objectives when managing capital are: (i) to comply with the capital requirements set by the regulators of the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 in line with the limits and tolerances established in the declaration of Risk Appetite.</w:t>
      </w:r>
    </w:p>
    <w:p>
      <w:pPr>
        <w:spacing w:after="0" w:line="144" w:lineRule="exact"/>
        <w:rPr>
          <w:sz w:val="20"/>
          <w:szCs w:val="20"/>
          <w:color w:val="auto"/>
        </w:rPr>
      </w:pPr>
    </w:p>
    <w:p>
      <w:pPr>
        <w:ind w:left="580" w:right="280"/>
        <w:spacing w:after="0" w:line="252" w:lineRule="auto"/>
        <w:rPr>
          <w:sz w:val="20"/>
          <w:szCs w:val="20"/>
          <w:color w:val="auto"/>
        </w:rPr>
      </w:pPr>
      <w:r>
        <w:rPr>
          <w:rFonts w:ascii="Arial" w:cs="Arial" w:eastAsia="Arial" w:hAnsi="Arial"/>
          <w:sz w:val="16"/>
          <w:szCs w:val="16"/>
          <w:color w:val="auto"/>
        </w:rPr>
        <w:t>As of December 31, 2023, and 2022, the regulatory capital for the subsidiaries engaged in financial and insurance activities amounted to approximately S/33,452.6 million and S/31,754.6 million, respectively. The regulatory capital has been determined in accordance with SBS regulations in force as of said dates. Under the SBS regulations, the Group’s regulatory capital exceeds by approximately S/7,731.9 million the minimum regulatory capital required as of December 31, 2023 (approximately S/8,156.9 million as of December 31, 2022).</w:t>
      </w: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100"/>
          </w:cols>
          <w:pgMar w:left="320" w:top="124" w:right="479" w:bottom="1440" w:gutter="0" w:footer="0" w:header="0"/>
        </w:sectPr>
      </w:pPr>
    </w:p>
    <w:bookmarkStart w:id="184" w:name="page185"/>
    <w:bookmarkEnd w:id="184"/>
    <w:p>
      <w:pPr>
        <w:spacing w:after="0"/>
        <w:tabs>
          <w:tab w:leader="none" w:pos="560" w:val="left"/>
        </w:tabs>
        <w:rPr>
          <w:sz w:val="20"/>
          <w:szCs w:val="20"/>
          <w:color w:val="auto"/>
        </w:rPr>
      </w:pPr>
      <w:r>
        <w:rPr>
          <w:rFonts w:ascii="Arial" w:cs="Arial" w:eastAsia="Arial" w:hAnsi="Arial"/>
          <w:sz w:val="16"/>
          <w:szCs w:val="16"/>
          <w:b w:val="1"/>
          <w:bCs w:val="1"/>
          <w:color w:val="auto"/>
        </w:rPr>
        <w:t>30.11</w:t>
        <w:tab/>
        <w:t>Fair values -</w:t>
      </w:r>
    </w:p>
    <w:p>
      <w:pPr>
        <w:spacing w:after="0" w:line="182" w:lineRule="exact"/>
        <w:rPr>
          <w:sz w:val="20"/>
          <w:szCs w:val="20"/>
          <w:color w:val="auto"/>
        </w:rPr>
      </w:pPr>
    </w:p>
    <w:p>
      <w:pPr>
        <w:ind w:left="1180" w:hanging="596"/>
        <w:spacing w:after="0"/>
        <w:tabs>
          <w:tab w:leader="none" w:pos="11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Financial instruments recorded at fair value and fair value hierarchy–</w:t>
      </w:r>
    </w:p>
    <w:p>
      <w:pPr>
        <w:spacing w:after="0" w:line="15" w:lineRule="exact"/>
        <w:rPr>
          <w:rFonts w:ascii="Arial" w:cs="Arial" w:eastAsia="Arial" w:hAnsi="Arial"/>
          <w:sz w:val="16"/>
          <w:szCs w:val="16"/>
          <w:color w:val="auto"/>
        </w:rPr>
      </w:pPr>
    </w:p>
    <w:p>
      <w:pPr>
        <w:ind w:left="1180"/>
        <w:spacing w:after="0" w:line="249" w:lineRule="auto"/>
        <w:rPr>
          <w:rFonts w:ascii="Arial" w:cs="Arial" w:eastAsia="Arial" w:hAnsi="Arial"/>
          <w:sz w:val="16"/>
          <w:szCs w:val="16"/>
          <w:color w:val="auto"/>
        </w:rPr>
      </w:pPr>
      <w:r>
        <w:rPr>
          <w:rFonts w:ascii="Arial" w:cs="Arial" w:eastAsia="Arial" w:hAnsi="Arial"/>
          <w:sz w:val="16"/>
          <w:szCs w:val="16"/>
          <w:color w:val="auto"/>
        </w:rPr>
        <w:t>The following table analyses financial instruments measured at fair value at the reporting date, by the level in the fair value hierarchy into which the fair value measurement is categorized. The amounts are based on the values recognized in the consolidated statement of financial position:</w:t>
      </w:r>
    </w:p>
    <w:p>
      <w:pPr>
        <w:spacing w:after="0" w:line="153" w:lineRule="exact"/>
        <w:rPr>
          <w:sz w:val="20"/>
          <w:szCs w:val="20"/>
          <w:color w:val="auto"/>
        </w:rPr>
      </w:pPr>
    </w:p>
    <w:tbl>
      <w:tblPr>
        <w:tblLayout w:type="fixed"/>
        <w:tblInd w:w="1240" w:type="dxa"/>
        <w:tblCellMar>
          <w:top w:w="0" w:type="dxa"/>
          <w:left w:w="0" w:type="dxa"/>
          <w:bottom w:w="0" w:type="dxa"/>
          <w:right w:w="0" w:type="dxa"/>
        </w:tblCellMar>
      </w:tblPr>
      <w:tr>
        <w:trPr>
          <w:trHeight w:val="154"/>
        </w:trPr>
        <w:tc>
          <w:tcPr>
            <w:tcW w:w="1860" w:type="dxa"/>
            <w:vAlign w:val="bottom"/>
          </w:tcPr>
          <w:p>
            <w:pPr>
              <w:spacing w:after="0"/>
              <w:rPr>
                <w:sz w:val="13"/>
                <w:szCs w:val="13"/>
                <w:color w:val="auto"/>
              </w:rPr>
            </w:pPr>
          </w:p>
        </w:tc>
        <w:tc>
          <w:tcPr>
            <w:tcW w:w="44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Note</w:t>
            </w: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8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Level 1</w:t>
            </w:r>
          </w:p>
        </w:tc>
        <w:tc>
          <w:tcPr>
            <w:tcW w:w="60" w:type="dxa"/>
            <w:vAlign w:val="bottom"/>
          </w:tcPr>
          <w:p>
            <w:pPr>
              <w:spacing w:after="0"/>
              <w:rPr>
                <w:sz w:val="13"/>
                <w:szCs w:val="13"/>
                <w:color w:val="auto"/>
              </w:rPr>
            </w:pPr>
          </w:p>
        </w:tc>
        <w:tc>
          <w:tcPr>
            <w:tcW w:w="780" w:type="dxa"/>
            <w:vAlign w:val="bottom"/>
            <w:gridSpan w:val="3"/>
          </w:tcPr>
          <w:p>
            <w:pPr>
              <w:jc w:val="right"/>
              <w:ind w:right="235"/>
              <w:spacing w:after="0"/>
              <w:rPr>
                <w:sz w:val="20"/>
                <w:szCs w:val="20"/>
                <w:color w:val="auto"/>
              </w:rPr>
            </w:pPr>
            <w:r>
              <w:rPr>
                <w:rFonts w:ascii="Arial" w:cs="Arial" w:eastAsia="Arial" w:hAnsi="Arial"/>
                <w:sz w:val="13"/>
                <w:szCs w:val="13"/>
                <w:b w:val="1"/>
                <w:bCs w:val="1"/>
                <w:color w:val="auto"/>
              </w:rPr>
              <w:t>Level 2</w:t>
            </w:r>
          </w:p>
        </w:tc>
        <w:tc>
          <w:tcPr>
            <w:tcW w:w="60" w:type="dxa"/>
            <w:vAlign w:val="bottom"/>
          </w:tcPr>
          <w:p>
            <w:pPr>
              <w:spacing w:after="0"/>
              <w:rPr>
                <w:sz w:val="13"/>
                <w:szCs w:val="13"/>
                <w:color w:val="auto"/>
              </w:rPr>
            </w:pPr>
          </w:p>
        </w:tc>
        <w:tc>
          <w:tcPr>
            <w:tcW w:w="700" w:type="dxa"/>
            <w:vAlign w:val="bottom"/>
            <w:gridSpan w:val="3"/>
          </w:tcPr>
          <w:p>
            <w:pPr>
              <w:jc w:val="right"/>
              <w:ind w:right="135"/>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3"/>
                <w:szCs w:val="13"/>
                <w:color w:val="auto"/>
              </w:rPr>
            </w:pPr>
          </w:p>
        </w:tc>
        <w:tc>
          <w:tcPr>
            <w:tcW w:w="840" w:type="dxa"/>
            <w:vAlign w:val="bottom"/>
            <w:gridSpan w:val="3"/>
          </w:tcPr>
          <w:p>
            <w:pPr>
              <w:jc w:val="right"/>
              <w:ind w:right="415"/>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Level 1</w:t>
            </w:r>
          </w:p>
        </w:tc>
        <w:tc>
          <w:tcPr>
            <w:tcW w:w="80" w:type="dxa"/>
            <w:vAlign w:val="bottom"/>
          </w:tcPr>
          <w:p>
            <w:pPr>
              <w:spacing w:after="0"/>
              <w:rPr>
                <w:sz w:val="13"/>
                <w:szCs w:val="13"/>
                <w:color w:val="auto"/>
              </w:rPr>
            </w:pPr>
          </w:p>
        </w:tc>
        <w:tc>
          <w:tcPr>
            <w:tcW w:w="780" w:type="dxa"/>
            <w:vAlign w:val="bottom"/>
            <w:gridSpan w:val="3"/>
          </w:tcPr>
          <w:p>
            <w:pPr>
              <w:jc w:val="right"/>
              <w:ind w:right="235"/>
              <w:spacing w:after="0"/>
              <w:rPr>
                <w:sz w:val="20"/>
                <w:szCs w:val="20"/>
                <w:color w:val="auto"/>
              </w:rPr>
            </w:pPr>
            <w:r>
              <w:rPr>
                <w:rFonts w:ascii="Arial" w:cs="Arial" w:eastAsia="Arial" w:hAnsi="Arial"/>
                <w:sz w:val="13"/>
                <w:szCs w:val="13"/>
                <w:b w:val="1"/>
                <w:bCs w:val="1"/>
                <w:color w:val="auto"/>
              </w:rPr>
              <w:t>Level 2</w:t>
            </w:r>
          </w:p>
        </w:tc>
        <w:tc>
          <w:tcPr>
            <w:tcW w:w="60" w:type="dxa"/>
            <w:vAlign w:val="bottom"/>
          </w:tcPr>
          <w:p>
            <w:pPr>
              <w:spacing w:after="0"/>
              <w:rPr>
                <w:sz w:val="13"/>
                <w:szCs w:val="13"/>
                <w:color w:val="auto"/>
              </w:rPr>
            </w:pPr>
          </w:p>
        </w:tc>
        <w:tc>
          <w:tcPr>
            <w:tcW w:w="600" w:type="dxa"/>
            <w:vAlign w:val="bottom"/>
            <w:gridSpan w:val="3"/>
          </w:tcPr>
          <w:p>
            <w:pPr>
              <w:jc w:val="right"/>
              <w:ind w:right="35"/>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3"/>
                <w:szCs w:val="13"/>
                <w:color w:val="auto"/>
              </w:rPr>
            </w:pPr>
          </w:p>
        </w:tc>
        <w:tc>
          <w:tcPr>
            <w:tcW w:w="780" w:type="dxa"/>
            <w:vAlign w:val="bottom"/>
            <w:gridSpan w:val="3"/>
          </w:tcPr>
          <w:p>
            <w:pPr>
              <w:jc w:val="right"/>
              <w:ind w:right="375"/>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860" w:type="dxa"/>
            <w:vAlign w:val="bottom"/>
            <w:vMerge w:val="restart"/>
          </w:tcPr>
          <w:p>
            <w:pPr>
              <w:spacing w:after="0"/>
              <w:rPr>
                <w:sz w:val="20"/>
                <w:szCs w:val="20"/>
                <w:color w:val="auto"/>
              </w:rPr>
            </w:pPr>
            <w:r>
              <w:rPr>
                <w:rFonts w:ascii="Arial" w:cs="Arial" w:eastAsia="Arial" w:hAnsi="Arial"/>
                <w:sz w:val="13"/>
                <w:szCs w:val="13"/>
                <w:b w:val="1"/>
                <w:bCs w:val="1"/>
                <w:color w:val="auto"/>
              </w:rPr>
              <w:t>Financial assets</w:t>
            </w:r>
          </w:p>
        </w:tc>
        <w:tc>
          <w:tcPr>
            <w:tcW w:w="4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gridSpan w:val="2"/>
          </w:tcPr>
          <w:p>
            <w:pPr>
              <w:jc w:val="right"/>
              <w:ind w:right="175"/>
              <w:spacing w:after="0"/>
              <w:rPr>
                <w:sz w:val="20"/>
                <w:szCs w:val="20"/>
                <w:color w:val="auto"/>
              </w:rPr>
            </w:pPr>
            <w:r>
              <w:rPr>
                <w:rFonts w:ascii="Arial" w:cs="Arial" w:eastAsia="Arial" w:hAnsi="Arial"/>
                <w:sz w:val="13"/>
                <w:szCs w:val="13"/>
                <w:b w:val="1"/>
                <w:bCs w:val="1"/>
                <w:color w:val="auto"/>
              </w:rPr>
              <w:t>S/(000)</w:t>
            </w: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gridSpan w:val="2"/>
          </w:tcPr>
          <w:p>
            <w:pPr>
              <w:jc w:val="right"/>
              <w:ind w:right="175"/>
              <w:spacing w:after="0"/>
              <w:rPr>
                <w:sz w:val="20"/>
                <w:szCs w:val="20"/>
                <w:color w:val="auto"/>
              </w:rPr>
            </w:pPr>
            <w:r>
              <w:rPr>
                <w:rFonts w:ascii="Arial" w:cs="Arial" w:eastAsia="Arial" w:hAnsi="Arial"/>
                <w:sz w:val="13"/>
                <w:szCs w:val="13"/>
                <w:b w:val="1"/>
                <w:bCs w:val="1"/>
                <w:color w:val="auto"/>
              </w:rPr>
              <w:t>S/(000)</w:t>
            </w: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top w:val="single" w:sz="8" w:color="auto"/>
            </w:tcBorders>
            <w:gridSpan w:val="2"/>
          </w:tcPr>
          <w:p>
            <w:pPr>
              <w:jc w:val="right"/>
              <w:ind w:right="95"/>
              <w:spacing w:after="0"/>
              <w:rPr>
                <w:sz w:val="20"/>
                <w:szCs w:val="20"/>
                <w:color w:val="auto"/>
              </w:rPr>
            </w:pPr>
            <w:r>
              <w:rPr>
                <w:rFonts w:ascii="Arial" w:cs="Arial" w:eastAsia="Arial" w:hAnsi="Arial"/>
                <w:sz w:val="13"/>
                <w:szCs w:val="13"/>
                <w:b w:val="1"/>
                <w:bCs w:val="1"/>
                <w:color w:val="auto"/>
              </w:rPr>
              <w:t>S/(000)</w:t>
            </w: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top w:val="single" w:sz="8" w:color="auto"/>
            </w:tcBorders>
            <w:gridSpan w:val="2"/>
          </w:tcPr>
          <w:p>
            <w:pPr>
              <w:jc w:val="right"/>
              <w:ind w:right="235"/>
              <w:spacing w:after="0"/>
              <w:rPr>
                <w:sz w:val="20"/>
                <w:szCs w:val="20"/>
                <w:color w:val="auto"/>
              </w:rPr>
            </w:pPr>
            <w:r>
              <w:rPr>
                <w:rFonts w:ascii="Arial" w:cs="Arial" w:eastAsia="Arial" w:hAnsi="Arial"/>
                <w:sz w:val="13"/>
                <w:szCs w:val="13"/>
                <w:b w:val="1"/>
                <w:bCs w:val="1"/>
                <w:color w:val="auto"/>
              </w:rPr>
              <w:t>S/(000)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gridSpan w:val="2"/>
          </w:tcPr>
          <w:p>
            <w:pPr>
              <w:jc w:val="right"/>
              <w:ind w:right="155"/>
              <w:spacing w:after="0"/>
              <w:rPr>
                <w:sz w:val="20"/>
                <w:szCs w:val="20"/>
                <w:color w:val="auto"/>
              </w:rPr>
            </w:pPr>
            <w:r>
              <w:rPr>
                <w:rFonts w:ascii="Arial" w:cs="Arial" w:eastAsia="Arial" w:hAnsi="Arial"/>
                <w:sz w:val="13"/>
                <w:szCs w:val="13"/>
                <w:b w:val="1"/>
                <w:bCs w:val="1"/>
                <w:color w:val="auto"/>
              </w:rPr>
              <w:t>S/(000)</w:t>
            </w:r>
          </w:p>
        </w:tc>
        <w:tc>
          <w:tcPr>
            <w:tcW w:w="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gridSpan w:val="2"/>
          </w:tcPr>
          <w:p>
            <w:pPr>
              <w:jc w:val="right"/>
              <w:ind w:right="175"/>
              <w:spacing w:after="0"/>
              <w:rPr>
                <w:sz w:val="20"/>
                <w:szCs w:val="20"/>
                <w:color w:val="auto"/>
              </w:rPr>
            </w:pPr>
            <w:r>
              <w:rPr>
                <w:rFonts w:ascii="Arial" w:cs="Arial" w:eastAsia="Arial" w:hAnsi="Arial"/>
                <w:sz w:val="13"/>
                <w:szCs w:val="13"/>
                <w:b w:val="1"/>
                <w:bCs w:val="1"/>
                <w:color w:val="auto"/>
              </w:rPr>
              <w:t>S/(000)</w:t>
            </w: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S/(000)</w:t>
            </w: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gridSpan w:val="2"/>
          </w:tcPr>
          <w:p>
            <w:pPr>
              <w:jc w:val="right"/>
              <w:ind w:right="175"/>
              <w:spacing w:after="0"/>
              <w:rPr>
                <w:sz w:val="20"/>
                <w:szCs w:val="20"/>
                <w:color w:val="auto"/>
              </w:rPr>
            </w:pPr>
            <w:r>
              <w:rPr>
                <w:rFonts w:ascii="Arial" w:cs="Arial" w:eastAsia="Arial" w:hAnsi="Arial"/>
                <w:sz w:val="13"/>
                <w:szCs w:val="13"/>
                <w:b w:val="1"/>
                <w:bCs w:val="1"/>
                <w:color w:val="auto"/>
              </w:rPr>
              <w:t>S/(000)</w:t>
            </w: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b w:val="1"/>
                <w:bCs w:val="1"/>
                <w:color w:val="auto"/>
              </w:rPr>
              <w:t>Derivative financial</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b w:val="1"/>
                <w:bCs w:val="1"/>
                <w:color w:val="auto"/>
              </w:rPr>
              <w:t>instruments: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Currency swaps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230,818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230,818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410,439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410,439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Interest rate swaps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384,238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384,238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467,140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467,140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Foreign currency forwards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334,562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334,562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500,348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500,348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Cross currency swaps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35,754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35,754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98,656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98,656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Foreign exchange options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1,104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1,104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1,349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1,349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Arial" w:cs="Arial" w:eastAsia="Arial" w:hAnsi="Arial"/>
                <w:sz w:val="13"/>
                <w:szCs w:val="13"/>
                <w:color w:val="auto"/>
              </w:rPr>
              <w:t>Futures</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12(c)</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1,187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1,187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rPr>
                <w:sz w:val="20"/>
                <w:szCs w:val="20"/>
                <w:color w:val="auto"/>
              </w:rPr>
            </w:pPr>
            <w:r>
              <w:rPr>
                <w:rFonts w:ascii="Arial" w:cs="Arial" w:eastAsia="Arial" w:hAnsi="Arial"/>
                <w:sz w:val="13"/>
                <w:szCs w:val="13"/>
                <w:color w:val="auto"/>
              </w:rPr>
              <w:t>794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794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987,663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987,663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1,478,726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1,478,726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860" w:type="dxa"/>
            <w:vAlign w:val="bottom"/>
          </w:tcPr>
          <w:p>
            <w:pPr>
              <w:spacing w:after="0"/>
              <w:rPr>
                <w:sz w:val="20"/>
                <w:szCs w:val="20"/>
                <w:color w:val="auto"/>
              </w:rPr>
            </w:pPr>
            <w:r>
              <w:rPr>
                <w:rFonts w:ascii="Arial" w:cs="Arial" w:eastAsia="Arial" w:hAnsi="Arial"/>
                <w:sz w:val="13"/>
                <w:szCs w:val="13"/>
                <w:color w:val="auto"/>
              </w:rPr>
              <w:t>Investments at fair value</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through profit of loss</w:t>
            </w:r>
          </w:p>
        </w:tc>
        <w:tc>
          <w:tcPr>
            <w:tcW w:w="440" w:type="dxa"/>
            <w:vAlign w:val="bottom"/>
          </w:tcPr>
          <w:p>
            <w:pPr>
              <w:jc w:val="right"/>
              <w:spacing w:after="0" w:line="147" w:lineRule="exact"/>
              <w:rPr>
                <w:sz w:val="20"/>
                <w:szCs w:val="20"/>
                <w:color w:val="auto"/>
              </w:rPr>
            </w:pPr>
            <w:r>
              <w:rPr>
                <w:rFonts w:ascii="Arial" w:cs="Arial" w:eastAsia="Arial" w:hAnsi="Arial"/>
                <w:sz w:val="13"/>
                <w:szCs w:val="13"/>
                <w:color w:val="auto"/>
              </w:rPr>
              <w:t>6(a)</w:t>
            </w:r>
          </w:p>
        </w:tc>
        <w:tc>
          <w:tcPr>
            <w:tcW w:w="78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2,983,312</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919,499</w:t>
            </w:r>
          </w:p>
        </w:tc>
        <w:tc>
          <w:tcPr>
            <w:tcW w:w="7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1,079,850</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4,982,661</w:t>
            </w:r>
          </w:p>
        </w:tc>
        <w:tc>
          <w:tcPr>
            <w:tcW w:w="78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2,619,090</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608,714</w:t>
            </w:r>
          </w:p>
        </w:tc>
        <w:tc>
          <w:tcPr>
            <w:tcW w:w="6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971,530</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4,199,334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spacing w:after="0" w:line="147" w:lineRule="exact"/>
              <w:rPr>
                <w:sz w:val="20"/>
                <w:szCs w:val="20"/>
                <w:color w:val="auto"/>
              </w:rPr>
            </w:pPr>
            <w:r>
              <w:rPr>
                <w:rFonts w:ascii="Arial" w:cs="Arial" w:eastAsia="Arial" w:hAnsi="Arial"/>
                <w:sz w:val="13"/>
                <w:szCs w:val="13"/>
                <w:color w:val="auto"/>
              </w:rPr>
              <w:t>Financial assets at fair value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60" w:type="dxa"/>
            <w:vAlign w:val="bottom"/>
          </w:tcPr>
          <w:p>
            <w:pPr>
              <w:ind w:left="140"/>
              <w:spacing w:after="0"/>
              <w:rPr>
                <w:sz w:val="20"/>
                <w:szCs w:val="20"/>
                <w:color w:val="auto"/>
              </w:rPr>
            </w:pPr>
            <w:r>
              <w:rPr>
                <w:rFonts w:ascii="Arial" w:cs="Arial" w:eastAsia="Arial" w:hAnsi="Arial"/>
                <w:sz w:val="13"/>
                <w:szCs w:val="13"/>
                <w:color w:val="auto"/>
              </w:rPr>
              <w:t>through profit of loss</w:t>
            </w:r>
          </w:p>
        </w:tc>
        <w:tc>
          <w:tcPr>
            <w:tcW w:w="44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810,582</w:t>
            </w: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350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810,932</w:t>
            </w:r>
          </w:p>
        </w:tc>
        <w:tc>
          <w:tcPr>
            <w:tcW w:w="780" w:type="dxa"/>
            <w:vAlign w:val="bottom"/>
            <w:gridSpan w:val="4"/>
          </w:tcPr>
          <w:p>
            <w:pPr>
              <w:jc w:val="right"/>
              <w:spacing w:after="0"/>
              <w:rPr>
                <w:sz w:val="20"/>
                <w:szCs w:val="20"/>
                <w:color w:val="auto"/>
              </w:rPr>
            </w:pPr>
            <w:r>
              <w:rPr>
                <w:rFonts w:ascii="Arial" w:cs="Arial" w:eastAsia="Arial" w:hAnsi="Arial"/>
                <w:sz w:val="13"/>
                <w:szCs w:val="13"/>
                <w:color w:val="auto"/>
              </w:rPr>
              <w:t>768,187</w:t>
            </w:r>
          </w:p>
        </w:tc>
        <w:tc>
          <w:tcPr>
            <w:tcW w:w="860" w:type="dxa"/>
            <w:vAlign w:val="bottom"/>
            <w:gridSpan w:val="4"/>
          </w:tcPr>
          <w:p>
            <w:pPr>
              <w:jc w:val="right"/>
              <w:spacing w:after="0"/>
              <w:rPr>
                <w:sz w:val="20"/>
                <w:szCs w:val="20"/>
                <w:color w:val="auto"/>
              </w:rPr>
            </w:pPr>
            <w:r>
              <w:rPr>
                <w:rFonts w:ascii="Arial" w:cs="Arial" w:eastAsia="Arial" w:hAnsi="Arial"/>
                <w:sz w:val="13"/>
                <w:szCs w:val="13"/>
                <w:color w:val="auto"/>
              </w:rPr>
              <w:t>614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768,801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860" w:type="dxa"/>
            <w:vAlign w:val="bottom"/>
          </w:tcPr>
          <w:p>
            <w:pPr>
              <w:spacing w:after="0"/>
              <w:rPr>
                <w:sz w:val="20"/>
                <w:szCs w:val="20"/>
                <w:color w:val="auto"/>
              </w:rPr>
            </w:pPr>
            <w:r>
              <w:rPr>
                <w:rFonts w:ascii="Arial" w:cs="Arial" w:eastAsia="Arial" w:hAnsi="Arial"/>
                <w:sz w:val="13"/>
                <w:szCs w:val="13"/>
                <w:b w:val="1"/>
                <w:bCs w:val="1"/>
                <w:color w:val="auto"/>
              </w:rPr>
              <w:t>Investments at fair value</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b w:val="1"/>
                <w:bCs w:val="1"/>
                <w:color w:val="auto"/>
              </w:rPr>
              <w:t>through other</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b w:val="1"/>
                <w:bCs w:val="1"/>
                <w:color w:val="auto"/>
              </w:rPr>
              <w:t>comprehensive income: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spacing w:after="0" w:line="147" w:lineRule="exact"/>
              <w:rPr>
                <w:sz w:val="20"/>
                <w:szCs w:val="20"/>
                <w:color w:val="auto"/>
              </w:rPr>
            </w:pPr>
            <w:r>
              <w:rPr>
                <w:rFonts w:ascii="Arial" w:cs="Arial" w:eastAsia="Arial" w:hAnsi="Arial"/>
                <w:sz w:val="13"/>
                <w:szCs w:val="13"/>
                <w:color w:val="auto"/>
              </w:rPr>
              <w:t>Debt Instruments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Corporate bonds</w:t>
            </w:r>
          </w:p>
        </w:tc>
        <w:tc>
          <w:tcPr>
            <w:tcW w:w="440" w:type="dxa"/>
            <w:vAlign w:val="bottom"/>
          </w:tcPr>
          <w:p>
            <w:pPr>
              <w:spacing w:after="0"/>
              <w:rPr>
                <w:sz w:val="12"/>
                <w:szCs w:val="12"/>
                <w:color w:val="auto"/>
              </w:rPr>
            </w:pPr>
          </w:p>
        </w:tc>
        <w:tc>
          <w:tcPr>
            <w:tcW w:w="78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6,176,329</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7,139,979</w:t>
            </w:r>
          </w:p>
        </w:tc>
        <w:tc>
          <w:tcPr>
            <w:tcW w:w="7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68,842</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13,385,150</w:t>
            </w:r>
          </w:p>
        </w:tc>
        <w:tc>
          <w:tcPr>
            <w:tcW w:w="78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6,103,452</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6,874,613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12,978,065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Government treasury bonds</w:t>
            </w:r>
          </w:p>
        </w:tc>
        <w:tc>
          <w:tcPr>
            <w:tcW w:w="440" w:type="dxa"/>
            <w:vAlign w:val="bottom"/>
          </w:tcPr>
          <w:p>
            <w:pPr>
              <w:spacing w:after="0"/>
              <w:rPr>
                <w:sz w:val="12"/>
                <w:szCs w:val="12"/>
                <w:color w:val="auto"/>
              </w:rPr>
            </w:pPr>
          </w:p>
        </w:tc>
        <w:tc>
          <w:tcPr>
            <w:tcW w:w="78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9,722,319</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867,883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10,590,202</w:t>
            </w:r>
          </w:p>
        </w:tc>
        <w:tc>
          <w:tcPr>
            <w:tcW w:w="78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7,917,699</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768,441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8,686,140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Certificates of deposit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300"/>
              <w:spacing w:after="0" w:line="147" w:lineRule="exact"/>
              <w:rPr>
                <w:sz w:val="20"/>
                <w:szCs w:val="20"/>
                <w:color w:val="auto"/>
              </w:rPr>
            </w:pPr>
            <w:r>
              <w:rPr>
                <w:rFonts w:ascii="Arial" w:cs="Arial" w:eastAsia="Arial" w:hAnsi="Arial"/>
                <w:sz w:val="13"/>
                <w:szCs w:val="13"/>
                <w:color w:val="auto"/>
              </w:rPr>
              <w:t>BCRP</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10,935,253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10,935,253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7,019,479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7,019,479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Negotiable certificates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300"/>
              <w:spacing w:after="0" w:line="147" w:lineRule="exact"/>
              <w:rPr>
                <w:sz w:val="20"/>
                <w:szCs w:val="20"/>
                <w:color w:val="auto"/>
              </w:rPr>
            </w:pPr>
            <w:r>
              <w:rPr>
                <w:rFonts w:ascii="Arial" w:cs="Arial" w:eastAsia="Arial" w:hAnsi="Arial"/>
                <w:sz w:val="13"/>
                <w:szCs w:val="13"/>
                <w:color w:val="auto"/>
              </w:rPr>
              <w:t>deposit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482,047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482,047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607,218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607,218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Securitization instruments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683,930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683,930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673,836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673,836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Subordinated bonds</w:t>
            </w:r>
          </w:p>
        </w:tc>
        <w:tc>
          <w:tcPr>
            <w:tcW w:w="440" w:type="dxa"/>
            <w:vAlign w:val="bottom"/>
          </w:tcPr>
          <w:p>
            <w:pPr>
              <w:spacing w:after="0"/>
              <w:rPr>
                <w:sz w:val="12"/>
                <w:szCs w:val="12"/>
                <w:color w:val="auto"/>
              </w:rPr>
            </w:pPr>
          </w:p>
        </w:tc>
        <w:tc>
          <w:tcPr>
            <w:tcW w:w="78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71,590</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209,349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280,939</w:t>
            </w:r>
          </w:p>
        </w:tc>
        <w:tc>
          <w:tcPr>
            <w:tcW w:w="78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176,712</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186,714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363,426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Other instruments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297,220</w:t>
            </w:r>
          </w:p>
        </w:tc>
        <w:tc>
          <w:tcPr>
            <w:tcW w:w="7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54,397</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351,617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121,642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121,642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60" w:type="dxa"/>
            <w:vAlign w:val="bottom"/>
          </w:tcPr>
          <w:p>
            <w:pPr>
              <w:spacing w:after="0"/>
              <w:rPr>
                <w:sz w:val="20"/>
                <w:szCs w:val="20"/>
                <w:color w:val="auto"/>
              </w:rPr>
            </w:pPr>
            <w:r>
              <w:rPr>
                <w:rFonts w:ascii="Arial" w:cs="Arial" w:eastAsia="Arial" w:hAnsi="Arial"/>
                <w:sz w:val="13"/>
                <w:szCs w:val="13"/>
                <w:color w:val="auto"/>
              </w:rPr>
              <w:t>Equity instruments</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6(b)</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147,681</w:t>
            </w: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173,253</w:t>
            </w:r>
          </w:p>
        </w:tc>
        <w:tc>
          <w:tcPr>
            <w:tcW w:w="760" w:type="dxa"/>
            <w:vAlign w:val="bottom"/>
            <w:gridSpan w:val="4"/>
          </w:tcPr>
          <w:p>
            <w:pPr>
              <w:jc w:val="right"/>
              <w:spacing w:after="0"/>
              <w:rPr>
                <w:sz w:val="20"/>
                <w:szCs w:val="20"/>
                <w:color w:val="auto"/>
              </w:rPr>
            </w:pPr>
            <w:r>
              <w:rPr>
                <w:rFonts w:ascii="Arial" w:cs="Arial" w:eastAsia="Arial" w:hAnsi="Arial"/>
                <w:sz w:val="13"/>
                <w:szCs w:val="13"/>
                <w:color w:val="auto"/>
              </w:rPr>
              <w:t>13,868</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334,802</w:t>
            </w:r>
          </w:p>
        </w:tc>
        <w:tc>
          <w:tcPr>
            <w:tcW w:w="780" w:type="dxa"/>
            <w:vAlign w:val="bottom"/>
            <w:gridSpan w:val="4"/>
          </w:tcPr>
          <w:p>
            <w:pPr>
              <w:jc w:val="right"/>
              <w:spacing w:after="0"/>
              <w:rPr>
                <w:sz w:val="20"/>
                <w:szCs w:val="20"/>
                <w:color w:val="auto"/>
              </w:rPr>
            </w:pPr>
            <w:r>
              <w:rPr>
                <w:rFonts w:ascii="Arial" w:cs="Arial" w:eastAsia="Arial" w:hAnsi="Arial"/>
                <w:sz w:val="13"/>
                <w:szCs w:val="13"/>
                <w:color w:val="auto"/>
              </w:rPr>
              <w:t>159,240</w:t>
            </w:r>
          </w:p>
        </w:tc>
        <w:tc>
          <w:tcPr>
            <w:tcW w:w="860" w:type="dxa"/>
            <w:vAlign w:val="bottom"/>
            <w:gridSpan w:val="4"/>
          </w:tcPr>
          <w:p>
            <w:pPr>
              <w:jc w:val="right"/>
              <w:spacing w:after="0"/>
              <w:rPr>
                <w:sz w:val="20"/>
                <w:szCs w:val="20"/>
                <w:color w:val="auto"/>
              </w:rPr>
            </w:pPr>
            <w:r>
              <w:rPr>
                <w:rFonts w:ascii="Arial" w:cs="Arial" w:eastAsia="Arial" w:hAnsi="Arial"/>
                <w:sz w:val="13"/>
                <w:szCs w:val="13"/>
                <w:color w:val="auto"/>
              </w:rPr>
              <w:t>160,738</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rPr>
              <w:t>16,377</w:t>
            </w: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336,355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16,117,919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20,788,914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137,107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37,043,940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14,357,103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16,412,681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16,377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30,786,161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vMerge w:val="restart"/>
          </w:tcPr>
          <w:p>
            <w:pPr>
              <w:spacing w:after="0"/>
              <w:rPr>
                <w:sz w:val="20"/>
                <w:szCs w:val="20"/>
                <w:color w:val="auto"/>
              </w:rPr>
            </w:pPr>
            <w:r>
              <w:rPr>
                <w:rFonts w:ascii="Arial" w:cs="Arial" w:eastAsia="Arial" w:hAnsi="Arial"/>
                <w:sz w:val="13"/>
                <w:szCs w:val="13"/>
                <w:b w:val="1"/>
                <w:bCs w:val="1"/>
                <w:color w:val="auto"/>
              </w:rPr>
              <w:t>Total financial assets</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5"/>
              </w:rPr>
              <w:t>19,911,813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5"/>
              </w:rPr>
              <w:t>22,696,426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6"/>
              </w:rPr>
              <w:t>1,216,957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8"/>
              </w:rPr>
              <w:t>43,825,196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8"/>
              </w:rPr>
              <w:t>17,744,380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5"/>
              </w:rPr>
              <w:t>18,500,735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3"/>
              </w:rPr>
              <w:t>987,907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95"/>
              </w:rPr>
              <w:t>37,233,022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1860" w:type="dxa"/>
            <w:vAlign w:val="bottom"/>
          </w:tcPr>
          <w:p>
            <w:pPr>
              <w:spacing w:after="0"/>
              <w:rPr>
                <w:sz w:val="20"/>
                <w:szCs w:val="20"/>
                <w:color w:val="auto"/>
              </w:rPr>
            </w:pPr>
            <w:r>
              <w:rPr>
                <w:rFonts w:ascii="Arial" w:cs="Arial" w:eastAsia="Arial" w:hAnsi="Arial"/>
                <w:sz w:val="13"/>
                <w:szCs w:val="13"/>
                <w:b w:val="1"/>
                <w:bCs w:val="1"/>
                <w:color w:val="auto"/>
              </w:rPr>
              <w:t>Financial liabilities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b w:val="1"/>
                <w:bCs w:val="1"/>
                <w:color w:val="auto"/>
              </w:rPr>
              <w:t>Derivatives financial</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b w:val="1"/>
                <w:bCs w:val="1"/>
                <w:color w:val="auto"/>
              </w:rPr>
              <w:t>instruments: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Currency swaps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429,365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429,365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749,420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749,420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Foreign currency forwards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205,341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205,341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288,857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288,857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Interest rate swaps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205,112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205,112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278,385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278,385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Cross currency swaps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46,561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46,561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24,385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24,385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60" w:type="dxa"/>
            <w:vAlign w:val="bottom"/>
          </w:tcPr>
          <w:p>
            <w:pPr>
              <w:ind w:left="140"/>
              <w:spacing w:after="0" w:line="147" w:lineRule="exact"/>
              <w:rPr>
                <w:sz w:val="20"/>
                <w:szCs w:val="20"/>
                <w:color w:val="auto"/>
              </w:rPr>
            </w:pPr>
            <w:r>
              <w:rPr>
                <w:rFonts w:ascii="Arial" w:cs="Arial" w:eastAsia="Arial" w:hAnsi="Arial"/>
                <w:sz w:val="13"/>
                <w:szCs w:val="13"/>
                <w:color w:val="auto"/>
              </w:rPr>
              <w:t>Foreign exchange options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4,002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4,002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3,168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3,168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Arial" w:cs="Arial" w:eastAsia="Arial" w:hAnsi="Arial"/>
                <w:sz w:val="13"/>
                <w:szCs w:val="13"/>
                <w:color w:val="auto"/>
              </w:rPr>
              <w:t>Futures</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12(c)</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1,618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1,618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rPr>
                <w:sz w:val="20"/>
                <w:szCs w:val="20"/>
                <w:color w:val="auto"/>
              </w:rPr>
            </w:pPr>
            <w:r>
              <w:rPr>
                <w:rFonts w:ascii="Arial" w:cs="Arial" w:eastAsia="Arial" w:hAnsi="Arial"/>
                <w:sz w:val="13"/>
                <w:szCs w:val="13"/>
                <w:color w:val="auto"/>
              </w:rPr>
              <w:t>1,450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1,450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60" w:type="dxa"/>
            <w:vAlign w:val="bottom"/>
            <w:vMerge w:val="restart"/>
          </w:tcPr>
          <w:p>
            <w:pPr>
              <w:spacing w:after="0"/>
              <w:rPr>
                <w:sz w:val="20"/>
                <w:szCs w:val="20"/>
                <w:color w:val="auto"/>
              </w:rPr>
            </w:pPr>
            <w:r>
              <w:rPr>
                <w:rFonts w:ascii="Arial" w:cs="Arial" w:eastAsia="Arial" w:hAnsi="Arial"/>
                <w:sz w:val="13"/>
                <w:szCs w:val="13"/>
                <w:color w:val="auto"/>
              </w:rPr>
              <w:t>Financial liabilities at fair value</w:t>
            </w: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891,999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891,999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1,345,665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1,345,665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8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860" w:type="dxa"/>
            <w:vAlign w:val="bottom"/>
          </w:tcPr>
          <w:p>
            <w:pPr>
              <w:ind w:left="140"/>
              <w:spacing w:after="0"/>
              <w:rPr>
                <w:sz w:val="20"/>
                <w:szCs w:val="20"/>
                <w:color w:val="auto"/>
              </w:rPr>
            </w:pPr>
            <w:r>
              <w:rPr>
                <w:rFonts w:ascii="Arial" w:cs="Arial" w:eastAsia="Arial" w:hAnsi="Arial"/>
                <w:sz w:val="13"/>
                <w:szCs w:val="13"/>
                <w:color w:val="auto"/>
              </w:rPr>
              <w:t>through profit or loss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641,915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4"/>
          </w:tcPr>
          <w:p>
            <w:pPr>
              <w:jc w:val="right"/>
              <w:spacing w:after="0"/>
              <w:rPr>
                <w:sz w:val="20"/>
                <w:szCs w:val="20"/>
                <w:color w:val="auto"/>
              </w:rPr>
            </w:pPr>
            <w:r>
              <w:rPr>
                <w:rFonts w:ascii="Arial" w:cs="Arial" w:eastAsia="Arial" w:hAnsi="Arial"/>
                <w:sz w:val="13"/>
                <w:szCs w:val="13"/>
                <w:color w:val="auto"/>
              </w:rPr>
              <w:t>641,915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rPr>
                <w:sz w:val="20"/>
                <w:szCs w:val="20"/>
                <w:color w:val="auto"/>
              </w:rPr>
            </w:pPr>
            <w:r>
              <w:rPr>
                <w:rFonts w:ascii="Arial" w:cs="Arial" w:eastAsia="Arial" w:hAnsi="Arial"/>
                <w:sz w:val="13"/>
                <w:szCs w:val="13"/>
                <w:color w:val="auto"/>
              </w:rPr>
              <w:t>191,010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191,010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60" w:type="dxa"/>
            <w:vAlign w:val="bottom"/>
            <w:vMerge w:val="restart"/>
          </w:tcPr>
          <w:p>
            <w:pPr>
              <w:spacing w:after="0"/>
              <w:rPr>
                <w:sz w:val="20"/>
                <w:szCs w:val="20"/>
                <w:color w:val="auto"/>
              </w:rPr>
            </w:pPr>
            <w:r>
              <w:rPr>
                <w:rFonts w:ascii="Arial" w:cs="Arial" w:eastAsia="Arial" w:hAnsi="Arial"/>
                <w:sz w:val="13"/>
                <w:szCs w:val="13"/>
                <w:b w:val="1"/>
                <w:bCs w:val="1"/>
                <w:color w:val="auto"/>
              </w:rPr>
              <w:t>Total financial liabilities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1,533,914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1,533,914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1,536,675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1,536,675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000"/>
          </w:cols>
          <w:pgMar w:left="320" w:top="124" w:right="579" w:bottom="1440" w:gutter="0" w:footer="0" w:header="0"/>
        </w:sectPr>
      </w:pPr>
    </w:p>
    <w:bookmarkStart w:id="185" w:name="page186"/>
    <w:bookmarkEnd w:id="185"/>
    <w:p>
      <w:pPr>
        <w:ind w:right="220"/>
        <w:spacing w:after="0" w:line="259" w:lineRule="auto"/>
        <w:rPr>
          <w:sz w:val="20"/>
          <w:szCs w:val="20"/>
          <w:color w:val="auto"/>
        </w:rPr>
      </w:pPr>
      <w:r>
        <w:rPr>
          <w:rFonts w:ascii="Arial" w:cs="Arial" w:eastAsia="Arial" w:hAnsi="Arial"/>
          <w:sz w:val="16"/>
          <w:szCs w:val="16"/>
          <w:color w:val="auto"/>
        </w:rPr>
        <w:t>Financial instruments included in the Level 1 category are those that are measured on the basis of quotations obtained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137"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Financial instruments included in the Level 2 category are those that are measured on the basis of observable market factors. This category includes instruments valued using: quoted prices for similar instruments, either in active or less active markets and other valuation techniques (models) where all significant inputs are directly or indirectly observable based on market data.</w:t>
      </w:r>
    </w:p>
    <w:p>
      <w:pPr>
        <w:spacing w:after="0" w:line="13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Following is a description of how fair value is determined for the main Group’s financial instruments where valuation techniques were used with inputs based on market data which incorporate Credicorp’s estimates on the assumptions that market participants would use for measuring these financial instruments:</w:t>
      </w:r>
    </w:p>
    <w:p>
      <w:pPr>
        <w:spacing w:after="0" w:line="12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Valuation of derivative financial instruments -</w:t>
      </w:r>
    </w:p>
    <w:p>
      <w:pPr>
        <w:spacing w:after="0" w:line="183" w:lineRule="exact"/>
        <w:rPr>
          <w:sz w:val="20"/>
          <w:szCs w:val="20"/>
          <w:color w:val="auto"/>
        </w:rPr>
      </w:pPr>
    </w:p>
    <w:p>
      <w:pPr>
        <w:ind w:left="300" w:right="60"/>
        <w:spacing w:after="0" w:line="252" w:lineRule="auto"/>
        <w:rPr>
          <w:sz w:val="20"/>
          <w:szCs w:val="20"/>
          <w:color w:val="auto"/>
        </w:rPr>
      </w:pPr>
      <w:r>
        <w:rPr>
          <w:rFonts w:ascii="Arial" w:cs="Arial" w:eastAsia="Arial" w:hAnsi="Arial"/>
          <w:sz w:val="16"/>
          <w:szCs w:val="16"/>
          <w:color w:val="auto"/>
        </w:rPr>
        <w:t>Interest rate swaps, currency swaps and forward exchange contracts are measured by using valuation techniques where inputs are based on market data. The most frequently applied valuation techniques include forward pricing and swap models, using present value calculations. The models incorporate various inputs, including the credit quality of counterparties, spot exchange rates, forward rates and interest rate curves. Options are valued using well-known, widely accepted valuation models.</w:t>
      </w:r>
    </w:p>
    <w:p>
      <w:pPr>
        <w:spacing w:after="0" w:line="144" w:lineRule="exact"/>
        <w:rPr>
          <w:sz w:val="20"/>
          <w:szCs w:val="20"/>
          <w:color w:val="auto"/>
        </w:rPr>
      </w:pPr>
    </w:p>
    <w:p>
      <w:pPr>
        <w:jc w:val="both"/>
        <w:ind w:left="300" w:right="320"/>
        <w:spacing w:after="0" w:line="252" w:lineRule="auto"/>
        <w:rPr>
          <w:sz w:val="20"/>
          <w:szCs w:val="20"/>
          <w:color w:val="auto"/>
        </w:rPr>
      </w:pPr>
      <w:r>
        <w:rPr>
          <w:rFonts w:ascii="Arial" w:cs="Arial" w:eastAsia="Arial" w:hAnsi="Arial"/>
          <w:sz w:val="16"/>
          <w:szCs w:val="16"/>
          <w:color w:val="auto"/>
        </w:rPr>
        <w:t>A credit valuation adjustment (CVA) is applied to the “Over-The-Counter” derivative exposures to take into account the counterparty’s risk of default when measuring the fair value of the derivative. CVA is the mark-to market cost of protection required to hedge credit risk from counterparties in this type of derivatives portfolio. CVA is calculated by multiplying the probability of default (PD), the loss given default (LGD) and the expected exposure (EE) at the time of default.</w:t>
      </w:r>
    </w:p>
    <w:p>
      <w:pPr>
        <w:spacing w:after="0" w:line="144" w:lineRule="exact"/>
        <w:rPr>
          <w:sz w:val="20"/>
          <w:szCs w:val="20"/>
          <w:color w:val="auto"/>
        </w:rPr>
      </w:pPr>
    </w:p>
    <w:p>
      <w:pPr>
        <w:ind w:left="300"/>
        <w:spacing w:after="0" w:line="280" w:lineRule="auto"/>
        <w:rPr>
          <w:sz w:val="20"/>
          <w:szCs w:val="20"/>
          <w:color w:val="auto"/>
        </w:rPr>
      </w:pPr>
      <w:r>
        <w:rPr>
          <w:rFonts w:ascii="Arial" w:cs="Arial" w:eastAsia="Arial" w:hAnsi="Arial"/>
          <w:sz w:val="16"/>
          <w:szCs w:val="16"/>
          <w:color w:val="auto"/>
        </w:rPr>
        <w:t>A debit valuation adjustment (DVA) is applied to include the Group’s own credit risk in the fair value of derivatives (that is the risk that the Group might default on its contractual obligations), using the same methodology as for CVA.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6" w:name="page187"/>
    <w:bookmarkEnd w:id="186"/>
    <w:p>
      <w:pPr>
        <w:ind w:left="300"/>
        <w:spacing w:after="0" w:line="247" w:lineRule="auto"/>
        <w:rPr>
          <w:sz w:val="20"/>
          <w:szCs w:val="20"/>
          <w:color w:val="auto"/>
        </w:rPr>
      </w:pPr>
      <w:r>
        <w:rPr>
          <w:rFonts w:ascii="Arial" w:cs="Arial" w:eastAsia="Arial" w:hAnsi="Arial"/>
          <w:sz w:val="16"/>
          <w:szCs w:val="16"/>
          <w:color w:val="auto"/>
        </w:rPr>
        <w:t>As of December 31, 2023, the balance of receivables and payables corresponding to derivatives amounted to S/987.7 million and S/892.0 million respectively, See Note 12(c), generating DVA and CVA adjustments for approximately S/3.2 million and S/6.9 million respectively. The net impact of both items in the consolidated statement of income amounted to S/4.0 million of loss. As of December 31, 2022, the balance of receivables and payables corresponding to derivatives amounted to S/1,478.7 million and S/1,345.7 million, respectively, See Note 12(c), generating DVA and CVA adjustments for approximately S/7.5 million and S/11.2 million, respectively. Also, the net impact of both items in the consolidated statement of income amounted to S/6.0 million of loss.</w:t>
      </w:r>
    </w:p>
    <w:p>
      <w:pPr>
        <w:spacing w:after="0" w:line="14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Valuation of debt securities classified in the category “at fair value through other comprehensive income” and included in level 2 -</w:t>
      </w:r>
    </w:p>
    <w:p>
      <w:pPr>
        <w:spacing w:after="0" w:line="183" w:lineRule="exact"/>
        <w:rPr>
          <w:sz w:val="20"/>
          <w:szCs w:val="20"/>
          <w:color w:val="auto"/>
        </w:rPr>
      </w:pPr>
    </w:p>
    <w:p>
      <w:pPr>
        <w:ind w:left="300" w:right="20"/>
        <w:spacing w:after="0" w:line="259" w:lineRule="auto"/>
        <w:rPr>
          <w:sz w:val="20"/>
          <w:szCs w:val="20"/>
          <w:color w:val="auto"/>
        </w:rPr>
      </w:pPr>
      <w:r>
        <w:rPr>
          <w:rFonts w:ascii="Arial" w:cs="Arial" w:eastAsia="Arial" w:hAnsi="Arial"/>
          <w:sz w:val="16"/>
          <w:szCs w:val="16"/>
          <w:color w:val="auto"/>
        </w:rPr>
        <w:t>Valuation of certificates of deposit BCRP, corporate, leasing, subordinated bonds and Government treasury bonds are measured by calculating their Net Present Values (NPV) through discounted cash flows, using appropriate and relevant zero coupon rate curves to discount cash flows in the respective currency and considering observable current market transactions.</w:t>
      </w:r>
    </w:p>
    <w:p>
      <w:pPr>
        <w:spacing w:after="0" w:line="137" w:lineRule="exact"/>
        <w:rPr>
          <w:sz w:val="20"/>
          <w:szCs w:val="20"/>
          <w:color w:val="auto"/>
        </w:rPr>
      </w:pPr>
    </w:p>
    <w:p>
      <w:pPr>
        <w:ind w:left="300"/>
        <w:spacing w:after="0" w:line="259" w:lineRule="auto"/>
        <w:rPr>
          <w:sz w:val="20"/>
          <w:szCs w:val="20"/>
          <w:color w:val="auto"/>
        </w:rPr>
      </w:pPr>
      <w:r>
        <w:rPr>
          <w:rFonts w:ascii="Arial" w:cs="Arial" w:eastAsia="Arial" w:hAnsi="Arial"/>
          <w:sz w:val="16"/>
          <w:szCs w:val="16"/>
          <w:color w:val="auto"/>
        </w:rPr>
        <w:t>Certificates of deposit BCRP (CD BCRP) are securities issued at a discount in order to regulate the liquidity of the financial system. They are placed mainly through public auction or direct placement, are freely negotiable by their holders in the Peruvian secondary market and may be used as collateral in Repurchase Agreement Transactions of Securities with the BCRP.</w:t>
      </w:r>
    </w:p>
    <w:p>
      <w:pPr>
        <w:spacing w:after="0" w:line="137" w:lineRule="exact"/>
        <w:rPr>
          <w:sz w:val="20"/>
          <w:szCs w:val="20"/>
          <w:color w:val="auto"/>
        </w:rPr>
      </w:pPr>
    </w:p>
    <w:p>
      <w:pPr>
        <w:ind w:left="300" w:right="260"/>
        <w:spacing w:after="0" w:line="259" w:lineRule="auto"/>
        <w:rPr>
          <w:sz w:val="20"/>
          <w:szCs w:val="20"/>
          <w:color w:val="auto"/>
        </w:rPr>
      </w:pPr>
      <w:r>
        <w:rPr>
          <w:rFonts w:ascii="Arial" w:cs="Arial" w:eastAsia="Arial" w:hAnsi="Arial"/>
          <w:sz w:val="16"/>
          <w:szCs w:val="16"/>
          <w:color w:val="auto"/>
        </w:rPr>
        <w:t>Other debt instruments are measured using valuation techniques based on assumptions supported by prices from observable current market transactions, obtained via pricing services. Nevertheless, when prices have not been determined in an active market, fair values are based on broker quotes and assets that are valued using models whereby the majority of assumptions are market observable.</w:t>
      </w:r>
    </w:p>
    <w:p>
      <w:pPr>
        <w:spacing w:after="0" w:line="13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Valuation of financial instruments included in level 3 -</w:t>
      </w:r>
    </w:p>
    <w:p>
      <w:pPr>
        <w:spacing w:after="0" w:line="183" w:lineRule="exact"/>
        <w:rPr>
          <w:sz w:val="20"/>
          <w:szCs w:val="20"/>
          <w:color w:val="auto"/>
        </w:rPr>
      </w:pPr>
    </w:p>
    <w:p>
      <w:pPr>
        <w:ind w:left="300" w:right="40"/>
        <w:spacing w:after="0" w:line="280" w:lineRule="auto"/>
        <w:rPr>
          <w:sz w:val="20"/>
          <w:szCs w:val="20"/>
          <w:color w:val="auto"/>
        </w:rPr>
      </w:pPr>
      <w:r>
        <w:rPr>
          <w:rFonts w:ascii="Arial" w:cs="Arial" w:eastAsia="Arial" w:hAnsi="Arial"/>
          <w:sz w:val="16"/>
          <w:szCs w:val="16"/>
          <w:color w:val="auto"/>
        </w:rPr>
        <w:t>These are measured using valuation techniques (internal models), based on assumptions that are not supported by transaction prices observable in the market for the same instrument, nor based on available market data.</w:t>
      </w:r>
    </w:p>
    <w:p>
      <w:pPr>
        <w:spacing w:after="0" w:line="120" w:lineRule="exact"/>
        <w:rPr>
          <w:sz w:val="20"/>
          <w:szCs w:val="20"/>
          <w:color w:val="auto"/>
        </w:rPr>
      </w:pPr>
    </w:p>
    <w:p>
      <w:pPr>
        <w:ind w:left="300" w:right="260"/>
        <w:spacing w:after="0" w:line="259" w:lineRule="auto"/>
        <w:rPr>
          <w:sz w:val="20"/>
          <w:szCs w:val="20"/>
          <w:color w:val="auto"/>
        </w:rPr>
      </w:pPr>
      <w:r>
        <w:rPr>
          <w:rFonts w:ascii="Arial" w:cs="Arial" w:eastAsia="Arial" w:hAnsi="Arial"/>
          <w:sz w:val="16"/>
          <w:szCs w:val="16"/>
          <w:color w:val="auto"/>
        </w:rPr>
        <w:t>As of December 31, 2023 and 2022, the net unrealized loss of Level 3 financial instruments amounted to S/3.4 million and S/0.1 million, respectively. During 2023 and 2022, changes in the carrying amount of Level 3 financial instruments have not been significant since there were no purchases, issuances, settlements or any other significant movements or transfers from level 3 to Level 1 or Level 2 or vice versa.</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7" w:name="page188"/>
    <w:bookmarkEnd w:id="187"/>
    <w:p>
      <w:pPr>
        <w:spacing w:after="0"/>
        <w:tabs>
          <w:tab w:leader="none" w:pos="280" w:val="left"/>
        </w:tabs>
        <w:rPr>
          <w:sz w:val="20"/>
          <w:szCs w:val="20"/>
          <w:color w:val="auto"/>
        </w:rPr>
      </w:pPr>
      <w:r>
        <w:rPr>
          <w:rFonts w:ascii="Arial" w:cs="Arial" w:eastAsia="Arial" w:hAnsi="Arial"/>
          <w:sz w:val="16"/>
          <w:szCs w:val="16"/>
          <w:color w:val="auto"/>
        </w:rPr>
        <w:t>b)</w:t>
        <w:tab/>
        <w:t>Financial instruments not measured at fair value -</w:t>
      </w:r>
    </w:p>
    <w:p>
      <w:pPr>
        <w:spacing w:after="0" w:line="182" w:lineRule="exact"/>
        <w:rPr>
          <w:sz w:val="20"/>
          <w:szCs w:val="20"/>
          <w:color w:val="auto"/>
        </w:rPr>
      </w:pPr>
    </w:p>
    <w:p>
      <w:pPr>
        <w:ind w:left="300"/>
        <w:spacing w:after="0" w:line="280" w:lineRule="auto"/>
        <w:rPr>
          <w:sz w:val="20"/>
          <w:szCs w:val="20"/>
          <w:color w:val="auto"/>
        </w:rPr>
      </w:pPr>
      <w:r>
        <w:rPr>
          <w:rFonts w:ascii="Arial" w:cs="Arial" w:eastAsia="Arial" w:hAnsi="Arial"/>
          <w:sz w:val="16"/>
          <w:szCs w:val="16"/>
          <w:color w:val="auto"/>
        </w:rPr>
        <w:t>We present below the disclosure of the comparison between the carrying amounts and fair values of the financial instruments, which are not measured at fair value, presented in the consolidated statement of financial position by level of the fair value hierarchy:</w:t>
      </w:r>
    </w:p>
    <w:p>
      <w:pPr>
        <w:spacing w:after="0" w:line="85"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2600" w:type="dxa"/>
            <w:vAlign w:val="bottom"/>
          </w:tcPr>
          <w:p>
            <w:pPr>
              <w:spacing w:after="0"/>
              <w:rPr>
                <w:sz w:val="11"/>
                <w:szCs w:val="11"/>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600" w:type="dxa"/>
            <w:vAlign w:val="bottom"/>
          </w:tcPr>
          <w:p>
            <w:pPr>
              <w:spacing w:after="0"/>
              <w:rPr>
                <w:sz w:val="9"/>
                <w:szCs w:val="9"/>
                <w:color w:val="auto"/>
              </w:rPr>
            </w:pPr>
          </w:p>
        </w:tc>
        <w:tc>
          <w:tcPr>
            <w:tcW w:w="78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Level 1</w:t>
            </w:r>
          </w:p>
        </w:tc>
        <w:tc>
          <w:tcPr>
            <w:tcW w:w="860" w:type="dxa"/>
            <w:vAlign w:val="bottom"/>
            <w:gridSpan w:val="2"/>
          </w:tcPr>
          <w:p>
            <w:pPr>
              <w:ind w:left="40"/>
              <w:spacing w:after="0" w:line="115" w:lineRule="exact"/>
              <w:rPr>
                <w:sz w:val="20"/>
                <w:szCs w:val="20"/>
                <w:color w:val="auto"/>
              </w:rPr>
            </w:pPr>
            <w:r>
              <w:rPr>
                <w:rFonts w:ascii="Arial" w:cs="Arial" w:eastAsia="Arial" w:hAnsi="Arial"/>
                <w:sz w:val="11"/>
                <w:szCs w:val="11"/>
                <w:b w:val="1"/>
                <w:bCs w:val="1"/>
                <w:color w:val="auto"/>
              </w:rPr>
              <w:t>Level 2</w:t>
            </w:r>
          </w:p>
        </w:tc>
        <w:tc>
          <w:tcPr>
            <w:tcW w:w="72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Level 3</w:t>
            </w:r>
          </w:p>
        </w:tc>
        <w:tc>
          <w:tcPr>
            <w:tcW w:w="88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Fair value</w:t>
            </w:r>
          </w:p>
        </w:tc>
        <w:tc>
          <w:tcPr>
            <w:tcW w:w="720" w:type="dxa"/>
            <w:vAlign w:val="bottom"/>
          </w:tcPr>
          <w:p>
            <w:pPr>
              <w:ind w:left="40"/>
              <w:spacing w:after="0" w:line="115" w:lineRule="exact"/>
              <w:rPr>
                <w:sz w:val="20"/>
                <w:szCs w:val="20"/>
                <w:color w:val="auto"/>
              </w:rPr>
            </w:pPr>
            <w:r>
              <w:rPr>
                <w:rFonts w:ascii="Arial" w:cs="Arial" w:eastAsia="Arial" w:hAnsi="Arial"/>
                <w:sz w:val="11"/>
                <w:szCs w:val="11"/>
                <w:b w:val="1"/>
                <w:bCs w:val="1"/>
                <w:color w:val="auto"/>
              </w:rPr>
              <w:t>Book value</w:t>
            </w:r>
          </w:p>
        </w:tc>
        <w:tc>
          <w:tcPr>
            <w:tcW w:w="140" w:type="dxa"/>
            <w:vAlign w:val="bottom"/>
          </w:tcPr>
          <w:p>
            <w:pPr>
              <w:spacing w:after="0"/>
              <w:rPr>
                <w:sz w:val="9"/>
                <w:szCs w:val="9"/>
                <w:color w:val="auto"/>
              </w:rPr>
            </w:pPr>
          </w:p>
        </w:tc>
        <w:tc>
          <w:tcPr>
            <w:tcW w:w="760" w:type="dxa"/>
            <w:vAlign w:val="bottom"/>
            <w:gridSpan w:val="2"/>
          </w:tcPr>
          <w:p>
            <w:pPr>
              <w:ind w:left="40"/>
              <w:spacing w:after="0" w:line="115" w:lineRule="exact"/>
              <w:rPr>
                <w:sz w:val="20"/>
                <w:szCs w:val="20"/>
                <w:color w:val="auto"/>
              </w:rPr>
            </w:pPr>
            <w:r>
              <w:rPr>
                <w:rFonts w:ascii="Arial" w:cs="Arial" w:eastAsia="Arial" w:hAnsi="Arial"/>
                <w:sz w:val="11"/>
                <w:szCs w:val="11"/>
                <w:b w:val="1"/>
                <w:bCs w:val="1"/>
                <w:color w:val="auto"/>
              </w:rPr>
              <w:t>Level 1</w:t>
            </w:r>
          </w:p>
        </w:tc>
        <w:tc>
          <w:tcPr>
            <w:tcW w:w="88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Level 2</w:t>
            </w:r>
          </w:p>
        </w:tc>
        <w:tc>
          <w:tcPr>
            <w:tcW w:w="720" w:type="dxa"/>
            <w:vAlign w:val="bottom"/>
            <w:gridSpan w:val="2"/>
          </w:tcPr>
          <w:p>
            <w:pPr>
              <w:ind w:left="40"/>
              <w:spacing w:after="0" w:line="115" w:lineRule="exact"/>
              <w:rPr>
                <w:sz w:val="20"/>
                <w:szCs w:val="20"/>
                <w:color w:val="auto"/>
              </w:rPr>
            </w:pPr>
            <w:r>
              <w:rPr>
                <w:rFonts w:ascii="Arial" w:cs="Arial" w:eastAsia="Arial" w:hAnsi="Arial"/>
                <w:sz w:val="11"/>
                <w:szCs w:val="11"/>
                <w:b w:val="1"/>
                <w:bCs w:val="1"/>
                <w:color w:val="auto"/>
              </w:rPr>
              <w:t>Level 3</w:t>
            </w:r>
          </w:p>
        </w:tc>
        <w:tc>
          <w:tcPr>
            <w:tcW w:w="88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Fair value</w:t>
            </w:r>
          </w:p>
        </w:tc>
        <w:tc>
          <w:tcPr>
            <w:tcW w:w="720" w:type="dxa"/>
            <w:vAlign w:val="bottom"/>
          </w:tcPr>
          <w:p>
            <w:pPr>
              <w:ind w:left="40"/>
              <w:spacing w:after="0" w:line="115" w:lineRule="exact"/>
              <w:rPr>
                <w:sz w:val="20"/>
                <w:szCs w:val="20"/>
                <w:color w:val="auto"/>
              </w:rPr>
            </w:pPr>
            <w:r>
              <w:rPr>
                <w:rFonts w:ascii="Arial" w:cs="Arial" w:eastAsia="Arial" w:hAnsi="Arial"/>
                <w:sz w:val="11"/>
                <w:szCs w:val="11"/>
                <w:b w:val="1"/>
                <w:bCs w:val="1"/>
                <w:color w:val="auto"/>
              </w:rPr>
              <w:t>Book value</w:t>
            </w:r>
          </w:p>
        </w:tc>
        <w:tc>
          <w:tcPr>
            <w:tcW w:w="0" w:type="dxa"/>
            <w:vAlign w:val="bottom"/>
          </w:tcPr>
          <w:p>
            <w:pPr>
              <w:spacing w:after="0"/>
              <w:rPr>
                <w:sz w:val="1"/>
                <w:szCs w:val="1"/>
                <w:color w:val="auto"/>
              </w:rPr>
            </w:pPr>
          </w:p>
        </w:tc>
      </w:tr>
      <w:tr>
        <w:trPr>
          <w:trHeight w:val="147"/>
        </w:trPr>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Assets</w:t>
            </w: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58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4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120" w:type="dxa"/>
            <w:vAlign w:val="bottom"/>
          </w:tcPr>
          <w:p>
            <w:pPr>
              <w:spacing w:after="0"/>
              <w:rPr>
                <w:sz w:val="12"/>
                <w:szCs w:val="12"/>
                <w:color w:val="auto"/>
              </w:rPr>
            </w:pPr>
          </w:p>
        </w:tc>
        <w:tc>
          <w:tcPr>
            <w:tcW w:w="74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120" w:type="dxa"/>
            <w:vAlign w:val="bottom"/>
          </w:tcPr>
          <w:p>
            <w:pPr>
              <w:spacing w:after="0"/>
              <w:rPr>
                <w:sz w:val="12"/>
                <w:szCs w:val="12"/>
                <w:color w:val="auto"/>
              </w:rPr>
            </w:pPr>
          </w:p>
        </w:tc>
        <w:tc>
          <w:tcPr>
            <w:tcW w:w="74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2"/>
                <w:szCs w:val="12"/>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S/(000)</w:t>
            </w:r>
          </w:p>
        </w:tc>
        <w:tc>
          <w:tcPr>
            <w:tcW w:w="0" w:type="dxa"/>
            <w:vAlign w:val="bottom"/>
          </w:tcPr>
          <w:p>
            <w:pPr>
              <w:spacing w:after="0"/>
              <w:rPr>
                <w:sz w:val="1"/>
                <w:szCs w:val="1"/>
                <w:color w:val="auto"/>
              </w:rPr>
            </w:pPr>
          </w:p>
        </w:tc>
      </w:tr>
      <w:tr>
        <w:trPr>
          <w:trHeight w:val="74"/>
        </w:trPr>
        <w:tc>
          <w:tcPr>
            <w:tcW w:w="2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Cash and due from banks</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33,930,948</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33,930,948</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33,930,948</w:t>
            </w: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34,183,840</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34,183,840</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34,183,840</w:t>
            </w: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Cash collateral, reverse repurchase agreements</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Pr>
          <w:p>
            <w:pPr>
              <w:ind w:left="140"/>
              <w:spacing w:after="0" w:line="122" w:lineRule="exact"/>
              <w:rPr>
                <w:sz w:val="20"/>
                <w:szCs w:val="20"/>
                <w:color w:val="auto"/>
              </w:rPr>
            </w:pPr>
            <w:r>
              <w:rPr>
                <w:rFonts w:ascii="Arial" w:cs="Arial" w:eastAsia="Arial" w:hAnsi="Arial"/>
                <w:sz w:val="11"/>
                <w:szCs w:val="11"/>
                <w:color w:val="auto"/>
              </w:rPr>
              <w:t>and securities borrowing</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1,410,647</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1,410,647</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1,410,647</w:t>
            </w: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1,101,856</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1,101,856</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1,101,856</w:t>
            </w: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Investments at amortized cost</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9,338,213</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362,100</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9,700,313</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10,188,927</w:t>
            </w:r>
          </w:p>
        </w:tc>
        <w:tc>
          <w:tcPr>
            <w:tcW w:w="140" w:type="dxa"/>
            <w:vAlign w:val="bottom"/>
          </w:tcPr>
          <w:p>
            <w:pPr>
              <w:spacing w:after="0"/>
              <w:rPr>
                <w:sz w:val="10"/>
                <w:szCs w:val="10"/>
                <w:color w:val="auto"/>
              </w:rPr>
            </w:pPr>
          </w:p>
        </w:tc>
        <w:tc>
          <w:tcPr>
            <w:tcW w:w="640" w:type="dxa"/>
            <w:vAlign w:val="bottom"/>
          </w:tcPr>
          <w:p>
            <w:pPr>
              <w:jc w:val="right"/>
              <w:ind w:right="3"/>
              <w:spacing w:after="0" w:line="122" w:lineRule="exact"/>
              <w:rPr>
                <w:sz w:val="20"/>
                <w:szCs w:val="20"/>
                <w:color w:val="auto"/>
              </w:rPr>
            </w:pPr>
            <w:r>
              <w:rPr>
                <w:rFonts w:ascii="Arial" w:cs="Arial" w:eastAsia="Arial" w:hAnsi="Arial"/>
                <w:sz w:val="11"/>
                <w:szCs w:val="11"/>
                <w:color w:val="auto"/>
              </w:rPr>
              <w:t>8,849,683</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292,335</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9,142,018</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10,445,729</w:t>
            </w: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Loans, net</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136,698,135</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136,698,135</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136,698,135</w:t>
            </w: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140,753,972</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140,753,972</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140,753,972</w:t>
            </w: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Due from customers on banker’s acceptances</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412,401</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412,401</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412,401</w:t>
            </w: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699,678</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699,678</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699,678</w:t>
            </w: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Reinsurance contract assets</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872,046</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872,046</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872,046</w:t>
            </w: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744,008</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744,008</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744,008</w:t>
            </w:r>
          </w:p>
        </w:tc>
        <w:tc>
          <w:tcPr>
            <w:tcW w:w="0" w:type="dxa"/>
            <w:vAlign w:val="bottom"/>
          </w:tcPr>
          <w:p>
            <w:pPr>
              <w:spacing w:after="0"/>
              <w:rPr>
                <w:sz w:val="1"/>
                <w:szCs w:val="1"/>
                <w:color w:val="auto"/>
              </w:rPr>
            </w:pPr>
          </w:p>
        </w:tc>
      </w:tr>
      <w:tr>
        <w:trPr>
          <w:trHeight w:val="138"/>
        </w:trPr>
        <w:tc>
          <w:tcPr>
            <w:tcW w:w="2600" w:type="dxa"/>
            <w:vAlign w:val="bottom"/>
          </w:tcPr>
          <w:p>
            <w:pPr>
              <w:spacing w:after="0"/>
              <w:rPr>
                <w:sz w:val="20"/>
                <w:szCs w:val="20"/>
                <w:color w:val="auto"/>
              </w:rPr>
            </w:pPr>
            <w:r>
              <w:rPr>
                <w:rFonts w:ascii="Arial" w:cs="Arial" w:eastAsia="Arial" w:hAnsi="Arial"/>
                <w:sz w:val="11"/>
                <w:szCs w:val="11"/>
                <w:color w:val="auto"/>
              </w:rPr>
              <w:t>Other assets</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3,593,296</w:t>
            </w:r>
          </w:p>
        </w:tc>
        <w:tc>
          <w:tcPr>
            <w:tcW w:w="14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3,593,296</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3,593,296</w:t>
            </w:r>
          </w:p>
        </w:tc>
        <w:tc>
          <w:tcPr>
            <w:tcW w:w="14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1,747,412</w:t>
            </w:r>
          </w:p>
        </w:tc>
        <w:tc>
          <w:tcPr>
            <w:tcW w:w="14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1,747,412</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1,747,412</w:t>
            </w:r>
          </w:p>
        </w:tc>
        <w:tc>
          <w:tcPr>
            <w:tcW w:w="0" w:type="dxa"/>
            <w:vAlign w:val="bottom"/>
          </w:tcPr>
          <w:p>
            <w:pPr>
              <w:spacing w:after="0"/>
              <w:rPr>
                <w:sz w:val="1"/>
                <w:szCs w:val="1"/>
                <w:color w:val="auto"/>
              </w:rPr>
            </w:pPr>
          </w:p>
        </w:tc>
      </w:tr>
      <w:tr>
        <w:trPr>
          <w:trHeight w:val="114"/>
        </w:trPr>
        <w:tc>
          <w:tcPr>
            <w:tcW w:w="2600" w:type="dxa"/>
            <w:vAlign w:val="bottom"/>
          </w:tcPr>
          <w:p>
            <w:pPr>
              <w:spacing w:after="0" w:line="115" w:lineRule="exact"/>
              <w:rPr>
                <w:sz w:val="20"/>
                <w:szCs w:val="20"/>
                <w:color w:val="auto"/>
              </w:rPr>
            </w:pPr>
            <w:r>
              <w:rPr>
                <w:rFonts w:ascii="Arial" w:cs="Arial" w:eastAsia="Arial" w:hAnsi="Arial"/>
                <w:sz w:val="11"/>
                <w:szCs w:val="11"/>
                <w:b w:val="1"/>
                <w:bCs w:val="1"/>
                <w:color w:val="auto"/>
              </w:rPr>
              <w:t>Total</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9,338,213</w:t>
            </w:r>
          </w:p>
        </w:tc>
        <w:tc>
          <w:tcPr>
            <w:tcW w:w="140" w:type="dxa"/>
            <w:vAlign w:val="bottom"/>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177,279,573</w:t>
            </w:r>
          </w:p>
        </w:tc>
        <w:tc>
          <w:tcPr>
            <w:tcW w:w="140" w:type="dxa"/>
            <w:vAlign w:val="bottom"/>
          </w:tcPr>
          <w:p>
            <w:pPr>
              <w:spacing w:after="0"/>
              <w:rPr>
                <w:sz w:val="9"/>
                <w:szCs w:val="9"/>
                <w:color w:val="auto"/>
              </w:rPr>
            </w:pPr>
          </w:p>
        </w:tc>
        <w:tc>
          <w:tcPr>
            <w:tcW w:w="580" w:type="dxa"/>
            <w:vAlign w:val="bottom"/>
            <w:tcBorders>
              <w:top w:val="single" w:sz="8" w:color="auto"/>
              <w:bottom w:val="single" w:sz="8" w:color="auto"/>
            </w:tcBorders>
          </w:tcPr>
          <w:p>
            <w:pPr>
              <w:ind w:left="480"/>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ind w:right="3"/>
              <w:spacing w:after="0" w:line="115" w:lineRule="exact"/>
              <w:rPr>
                <w:sz w:val="20"/>
                <w:szCs w:val="20"/>
                <w:color w:val="auto"/>
              </w:rPr>
            </w:pPr>
            <w:r>
              <w:rPr>
                <w:rFonts w:ascii="Arial" w:cs="Arial" w:eastAsia="Arial" w:hAnsi="Arial"/>
                <w:sz w:val="11"/>
                <w:szCs w:val="11"/>
                <w:color w:val="auto"/>
              </w:rPr>
              <w:t>186,617,786</w:t>
            </w:r>
          </w:p>
        </w:tc>
        <w:tc>
          <w:tcPr>
            <w:tcW w:w="140" w:type="dxa"/>
            <w:vAlign w:val="bottom"/>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187,106,400</w:t>
            </w:r>
          </w:p>
        </w:tc>
        <w:tc>
          <w:tcPr>
            <w:tcW w:w="140" w:type="dxa"/>
            <w:vAlign w:val="bottom"/>
          </w:tcPr>
          <w:p>
            <w:pPr>
              <w:spacing w:after="0"/>
              <w:rPr>
                <w:sz w:val="9"/>
                <w:szCs w:val="9"/>
                <w:color w:val="auto"/>
              </w:rPr>
            </w:pPr>
          </w:p>
        </w:tc>
        <w:tc>
          <w:tcPr>
            <w:tcW w:w="640" w:type="dxa"/>
            <w:vAlign w:val="bottom"/>
            <w:tcBorders>
              <w:top w:val="single" w:sz="8" w:color="auto"/>
              <w:bottom w:val="single" w:sz="8" w:color="auto"/>
            </w:tcBorders>
          </w:tcPr>
          <w:p>
            <w:pPr>
              <w:jc w:val="right"/>
              <w:ind w:right="3"/>
              <w:spacing w:after="0" w:line="115" w:lineRule="exact"/>
              <w:rPr>
                <w:sz w:val="20"/>
                <w:szCs w:val="20"/>
                <w:color w:val="auto"/>
              </w:rPr>
            </w:pPr>
            <w:r>
              <w:rPr>
                <w:rFonts w:ascii="Arial" w:cs="Arial" w:eastAsia="Arial" w:hAnsi="Arial"/>
                <w:sz w:val="11"/>
                <w:szCs w:val="11"/>
                <w:color w:val="auto"/>
              </w:rPr>
              <w:t>8,849,683</w:t>
            </w:r>
          </w:p>
        </w:tc>
        <w:tc>
          <w:tcPr>
            <w:tcW w:w="12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179,523,101</w:t>
            </w:r>
          </w:p>
        </w:tc>
        <w:tc>
          <w:tcPr>
            <w:tcW w:w="140" w:type="dxa"/>
            <w:vAlign w:val="bottom"/>
          </w:tcPr>
          <w:p>
            <w:pPr>
              <w:spacing w:after="0"/>
              <w:rPr>
                <w:sz w:val="9"/>
                <w:szCs w:val="9"/>
                <w:color w:val="auto"/>
              </w:rPr>
            </w:pPr>
          </w:p>
        </w:tc>
        <w:tc>
          <w:tcPr>
            <w:tcW w:w="600" w:type="dxa"/>
            <w:vAlign w:val="bottom"/>
            <w:tcBorders>
              <w:top w:val="single" w:sz="8" w:color="auto"/>
              <w:bottom w:val="single" w:sz="8" w:color="auto"/>
            </w:tcBorders>
          </w:tcPr>
          <w:p>
            <w:pPr>
              <w:ind w:left="480"/>
              <w:spacing w:after="0" w:line="11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188,372,784</w:t>
            </w:r>
          </w:p>
        </w:tc>
        <w:tc>
          <w:tcPr>
            <w:tcW w:w="140" w:type="dxa"/>
            <w:vAlign w:val="bottom"/>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189,676,495</w:t>
            </w:r>
          </w:p>
        </w:tc>
        <w:tc>
          <w:tcPr>
            <w:tcW w:w="0" w:type="dxa"/>
            <w:vAlign w:val="bottom"/>
          </w:tcPr>
          <w:p>
            <w:pPr>
              <w:spacing w:after="0"/>
              <w:rPr>
                <w:sz w:val="1"/>
                <w:szCs w:val="1"/>
                <w:color w:val="auto"/>
              </w:rPr>
            </w:pPr>
          </w:p>
        </w:tc>
      </w:tr>
      <w:tr>
        <w:trPr>
          <w:trHeight w:val="221"/>
        </w:trPr>
        <w:tc>
          <w:tcPr>
            <w:tcW w:w="2600" w:type="dxa"/>
            <w:vAlign w:val="bottom"/>
          </w:tcPr>
          <w:p>
            <w:pPr>
              <w:spacing w:after="0"/>
              <w:rPr>
                <w:sz w:val="20"/>
                <w:szCs w:val="20"/>
                <w:color w:val="auto"/>
              </w:rPr>
            </w:pPr>
            <w:r>
              <w:rPr>
                <w:rFonts w:ascii="Arial" w:cs="Arial" w:eastAsia="Arial" w:hAnsi="Arial"/>
                <w:sz w:val="11"/>
                <w:szCs w:val="11"/>
                <w:b w:val="1"/>
                <w:bCs w:val="1"/>
                <w:color w:val="auto"/>
              </w:rPr>
              <w:t>Liabilities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Deposits and obligations</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147,704,994</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147,704,994</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147,704,994</w:t>
            </w: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147,020,787</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147,020,787</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147,020,787</w:t>
            </w: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Payables on repurchase agreements and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Pr>
          <w:p>
            <w:pPr>
              <w:ind w:left="140"/>
              <w:spacing w:after="0" w:line="122" w:lineRule="exact"/>
              <w:rPr>
                <w:sz w:val="20"/>
                <w:szCs w:val="20"/>
                <w:color w:val="auto"/>
              </w:rPr>
            </w:pPr>
            <w:r>
              <w:rPr>
                <w:rFonts w:ascii="Arial" w:cs="Arial" w:eastAsia="Arial" w:hAnsi="Arial"/>
                <w:sz w:val="11"/>
                <w:szCs w:val="11"/>
                <w:color w:val="auto"/>
              </w:rPr>
              <w:t>securities lending</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10,168,427</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10,168,427</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10,168,427</w:t>
            </w: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12,966,725</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12,966,725</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12,966,725</w:t>
            </w: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Due to Banks and correspondents and other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tcPr>
          <w:p>
            <w:pPr>
              <w:ind w:left="140"/>
              <w:spacing w:after="0" w:line="122" w:lineRule="exact"/>
              <w:rPr>
                <w:sz w:val="20"/>
                <w:szCs w:val="20"/>
                <w:color w:val="auto"/>
              </w:rPr>
            </w:pPr>
            <w:r>
              <w:rPr>
                <w:rFonts w:ascii="Arial" w:cs="Arial" w:eastAsia="Arial" w:hAnsi="Arial"/>
                <w:sz w:val="11"/>
                <w:szCs w:val="11"/>
                <w:color w:val="auto"/>
              </w:rPr>
              <w:t>entities</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12,308,392</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12,308,392</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12,278,681</w:t>
            </w: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9,012,529</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9,012,529</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8,937,411</w:t>
            </w: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Due from customers on banker’s acceptances</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412,401</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412,401</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412,401</w:t>
            </w: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699,678</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699,678</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699,678</w:t>
            </w: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Lease liabilities</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512,579</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512,579</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512,579</w:t>
            </w: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578,074</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578,074</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578,074</w:t>
            </w: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Bond and notes issued</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14,742,600</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14,742,600</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14,594,785</w:t>
            </w: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16,610,504</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16,610,504</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17,007,194</w:t>
            </w: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Insurance contract liability</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12,318,133</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line="122" w:lineRule="exact"/>
              <w:rPr>
                <w:sz w:val="20"/>
                <w:szCs w:val="20"/>
                <w:color w:val="auto"/>
              </w:rPr>
            </w:pPr>
            <w:r>
              <w:rPr>
                <w:rFonts w:ascii="Arial" w:cs="Arial" w:eastAsia="Arial" w:hAnsi="Arial"/>
                <w:sz w:val="11"/>
                <w:szCs w:val="11"/>
                <w:color w:val="auto"/>
              </w:rPr>
              <w:t>12,318,133</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12,318,133</w:t>
            </w: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11,154,008</w:t>
            </w:r>
          </w:p>
        </w:tc>
        <w:tc>
          <w:tcPr>
            <w:tcW w:w="140" w:type="dxa"/>
            <w:vAlign w:val="bottom"/>
          </w:tcPr>
          <w:p>
            <w:pPr>
              <w:spacing w:after="0"/>
              <w:rPr>
                <w:sz w:val="10"/>
                <w:szCs w:val="10"/>
                <w:color w:val="auto"/>
              </w:rPr>
            </w:pPr>
          </w:p>
        </w:tc>
        <w:tc>
          <w:tcPr>
            <w:tcW w:w="72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11,154,008</w:t>
            </w: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11,154,008</w:t>
            </w:r>
          </w:p>
        </w:tc>
        <w:tc>
          <w:tcPr>
            <w:tcW w:w="0" w:type="dxa"/>
            <w:vAlign w:val="bottom"/>
          </w:tcPr>
          <w:p>
            <w:pPr>
              <w:spacing w:after="0"/>
              <w:rPr>
                <w:sz w:val="1"/>
                <w:szCs w:val="1"/>
                <w:color w:val="auto"/>
              </w:rPr>
            </w:pPr>
          </w:p>
        </w:tc>
      </w:tr>
      <w:tr>
        <w:trPr>
          <w:trHeight w:val="138"/>
        </w:trPr>
        <w:tc>
          <w:tcPr>
            <w:tcW w:w="2600" w:type="dxa"/>
            <w:vAlign w:val="bottom"/>
          </w:tcPr>
          <w:p>
            <w:pPr>
              <w:spacing w:after="0"/>
              <w:rPr>
                <w:sz w:val="20"/>
                <w:szCs w:val="20"/>
                <w:color w:val="auto"/>
              </w:rPr>
            </w:pPr>
            <w:r>
              <w:rPr>
                <w:rFonts w:ascii="Arial" w:cs="Arial" w:eastAsia="Arial" w:hAnsi="Arial"/>
                <w:sz w:val="11"/>
                <w:szCs w:val="11"/>
                <w:color w:val="auto"/>
              </w:rPr>
              <w:t>Other liabilities</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4,586,511</w:t>
            </w:r>
          </w:p>
        </w:tc>
        <w:tc>
          <w:tcPr>
            <w:tcW w:w="14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4,586,511</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4,586,511</w:t>
            </w:r>
          </w:p>
        </w:tc>
        <w:tc>
          <w:tcPr>
            <w:tcW w:w="14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3,964,203</w:t>
            </w:r>
          </w:p>
        </w:tc>
        <w:tc>
          <w:tcPr>
            <w:tcW w:w="14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3,964,203</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3,964,203</w:t>
            </w:r>
          </w:p>
        </w:tc>
        <w:tc>
          <w:tcPr>
            <w:tcW w:w="0" w:type="dxa"/>
            <w:vAlign w:val="bottom"/>
          </w:tcPr>
          <w:p>
            <w:pPr>
              <w:spacing w:after="0"/>
              <w:rPr>
                <w:sz w:val="1"/>
                <w:szCs w:val="1"/>
                <w:color w:val="auto"/>
              </w:rPr>
            </w:pPr>
          </w:p>
        </w:tc>
      </w:tr>
      <w:tr>
        <w:trPr>
          <w:trHeight w:val="119"/>
        </w:trPr>
        <w:tc>
          <w:tcPr>
            <w:tcW w:w="2600" w:type="dxa"/>
            <w:vAlign w:val="bottom"/>
          </w:tcPr>
          <w:p>
            <w:pPr>
              <w:spacing w:after="0" w:line="115" w:lineRule="exact"/>
              <w:rPr>
                <w:sz w:val="20"/>
                <w:szCs w:val="20"/>
                <w:color w:val="auto"/>
              </w:rPr>
            </w:pPr>
            <w:r>
              <w:rPr>
                <w:rFonts w:ascii="Arial" w:cs="Arial" w:eastAsia="Arial" w:hAnsi="Arial"/>
                <w:sz w:val="11"/>
                <w:szCs w:val="11"/>
                <w:b w:val="1"/>
                <w:bCs w:val="1"/>
                <w:color w:val="auto"/>
              </w:rPr>
              <w:t>Total</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202,754,037</w:t>
            </w:r>
          </w:p>
        </w:tc>
        <w:tc>
          <w:tcPr>
            <w:tcW w:w="140" w:type="dxa"/>
            <w:vAlign w:val="bottom"/>
          </w:tcPr>
          <w:p>
            <w:pPr>
              <w:spacing w:after="0"/>
              <w:rPr>
                <w:sz w:val="10"/>
                <w:szCs w:val="10"/>
                <w:color w:val="auto"/>
              </w:rPr>
            </w:pPr>
          </w:p>
        </w:tc>
        <w:tc>
          <w:tcPr>
            <w:tcW w:w="580" w:type="dxa"/>
            <w:vAlign w:val="bottom"/>
            <w:tcBorders>
              <w:top w:val="single" w:sz="8" w:color="auto"/>
              <w:bottom w:val="single" w:sz="8" w:color="auto"/>
            </w:tcBorders>
          </w:tcPr>
          <w:p>
            <w:pPr>
              <w:ind w:left="480"/>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3"/>
              <w:spacing w:after="0" w:line="115" w:lineRule="exact"/>
              <w:rPr>
                <w:sz w:val="20"/>
                <w:szCs w:val="20"/>
                <w:color w:val="auto"/>
              </w:rPr>
            </w:pPr>
            <w:r>
              <w:rPr>
                <w:rFonts w:ascii="Arial" w:cs="Arial" w:eastAsia="Arial" w:hAnsi="Arial"/>
                <w:sz w:val="11"/>
                <w:szCs w:val="11"/>
                <w:color w:val="auto"/>
              </w:rPr>
              <w:t>202,754,037</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202,576,511</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3"/>
              <w:spacing w:after="0" w:line="11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202,006,508</w:t>
            </w:r>
          </w:p>
        </w:tc>
        <w:tc>
          <w:tcPr>
            <w:tcW w:w="140" w:type="dxa"/>
            <w:vAlign w:val="bottom"/>
          </w:tcPr>
          <w:p>
            <w:pPr>
              <w:spacing w:after="0"/>
              <w:rPr>
                <w:sz w:val="10"/>
                <w:szCs w:val="10"/>
                <w:color w:val="auto"/>
              </w:rPr>
            </w:pPr>
          </w:p>
        </w:tc>
        <w:tc>
          <w:tcPr>
            <w:tcW w:w="600" w:type="dxa"/>
            <w:vAlign w:val="bottom"/>
            <w:tcBorders>
              <w:top w:val="single" w:sz="8" w:color="auto"/>
              <w:bottom w:val="single" w:sz="8" w:color="auto"/>
            </w:tcBorders>
          </w:tcPr>
          <w:p>
            <w:pPr>
              <w:ind w:left="480"/>
              <w:spacing w:after="0" w:line="11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202,006,508</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202,328,080</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565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sectPr>
      </w:pPr>
    </w:p>
    <w:bookmarkStart w:id="188" w:name="page189"/>
    <w:bookmarkEnd w:id="188"/>
    <w:p>
      <w:pPr>
        <w:ind w:left="3" w:right="320"/>
        <w:spacing w:after="0" w:line="280" w:lineRule="auto"/>
        <w:rPr>
          <w:sz w:val="20"/>
          <w:szCs w:val="20"/>
          <w:color w:val="auto"/>
        </w:rPr>
      </w:pPr>
      <w:r>
        <w:rPr>
          <w:rFonts w:ascii="Arial" w:cs="Arial" w:eastAsia="Arial" w:hAnsi="Arial"/>
          <w:sz w:val="16"/>
          <w:szCs w:val="16"/>
          <w:color w:val="auto"/>
        </w:rPr>
        <w:t>The methodologies and assumptions used by the Group to determine fair values depend on the terms and risk characteristics of the various financial instruments and include the following:</w:t>
      </w:r>
    </w:p>
    <w:p>
      <w:pPr>
        <w:spacing w:after="0" w:line="120" w:lineRule="exact"/>
        <w:rPr>
          <w:sz w:val="20"/>
          <w:szCs w:val="20"/>
          <w:color w:val="auto"/>
        </w:rPr>
      </w:pPr>
    </w:p>
    <w:p>
      <w:pPr>
        <w:ind w:left="303" w:right="200" w:hanging="303"/>
        <w:spacing w:after="0" w:line="252" w:lineRule="auto"/>
        <w:tabs>
          <w:tab w:leader="none" w:pos="30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Long-term fixed-rate and variable-rate loans are evaluated by the Group based on parameters such as interest rates, specific country risk factors, and individual creditworthiness of the customer and the risk characteristics of the financed project. Based on this evaluation, allowances are taken into account for the incurred losses of these loans. As of December 31, 2023 and 2022, the carrying amounts of loans, net of allowances, were not materially different from their calculated fair values.</w:t>
      </w:r>
    </w:p>
    <w:p>
      <w:pPr>
        <w:spacing w:after="0" w:line="143" w:lineRule="exact"/>
        <w:rPr>
          <w:rFonts w:ascii="Arial" w:cs="Arial" w:eastAsia="Arial" w:hAnsi="Arial"/>
          <w:sz w:val="16"/>
          <w:szCs w:val="16"/>
          <w:color w:val="auto"/>
        </w:rPr>
      </w:pPr>
    </w:p>
    <w:p>
      <w:pPr>
        <w:jc w:val="both"/>
        <w:ind w:left="303" w:hanging="303"/>
        <w:spacing w:after="0" w:line="259" w:lineRule="auto"/>
        <w:tabs>
          <w:tab w:leader="none" w:pos="30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Assets for which fair values approximate their carrying value - For financial assets and financial liabilities that are liquid or have a short term maturity (less than three months) it is assumed that the carrying amounts approximate to their fair values. This assumption is also applied to demand deposits, savings accounts without a specific maturity and variable rate financial instruments.</w:t>
      </w:r>
    </w:p>
    <w:p>
      <w:pPr>
        <w:spacing w:after="0" w:line="137" w:lineRule="exact"/>
        <w:rPr>
          <w:rFonts w:ascii="Arial" w:cs="Arial" w:eastAsia="Arial" w:hAnsi="Arial"/>
          <w:sz w:val="16"/>
          <w:szCs w:val="16"/>
          <w:color w:val="auto"/>
        </w:rPr>
      </w:pPr>
    </w:p>
    <w:p>
      <w:pPr>
        <w:ind w:left="303" w:right="20" w:hanging="303"/>
        <w:spacing w:after="0" w:line="247" w:lineRule="auto"/>
        <w:tabs>
          <w:tab w:leader="none" w:pos="30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market interest rates for financial instruments with similar credit risk and maturity. For quoted debt issued the fair values are calculated based on quoted market prices. When quoted market prices are not available, a discounted cash flow model is used based on a current interest rate yield curve appropriate for the remaining term to maturity.</w:t>
      </w:r>
    </w:p>
    <w:p>
      <w:pPr>
        <w:spacing w:after="0" w:line="306" w:lineRule="exact"/>
        <w:rPr>
          <w:sz w:val="20"/>
          <w:szCs w:val="20"/>
          <w:color w:val="auto"/>
        </w:rPr>
      </w:pPr>
    </w:p>
    <w:p>
      <w:pPr>
        <w:ind w:left="4583"/>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41275</wp:posOffset>
            </wp:positionV>
            <wp:extent cx="714565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63"/>
          </w:cols>
          <w:pgMar w:left="1197" w:top="306" w:right="339" w:bottom="1440" w:gutter="0" w:footer="0" w:header="0"/>
        </w:sectPr>
      </w:pPr>
    </w:p>
    <w:bookmarkStart w:id="189" w:name="page190"/>
    <w:bookmarkEnd w:id="189"/>
    <w:p>
      <w:pPr>
        <w:ind w:left="2"/>
        <w:spacing w:after="0"/>
        <w:tabs>
          <w:tab w:leader="none" w:pos="562" w:val="left"/>
        </w:tabs>
        <w:rPr>
          <w:sz w:val="20"/>
          <w:szCs w:val="20"/>
          <w:color w:val="auto"/>
        </w:rPr>
      </w:pPr>
      <w:r>
        <w:rPr>
          <w:rFonts w:ascii="Arial" w:cs="Arial" w:eastAsia="Arial" w:hAnsi="Arial"/>
          <w:sz w:val="16"/>
          <w:szCs w:val="16"/>
          <w:b w:val="1"/>
          <w:bCs w:val="1"/>
          <w:color w:val="auto"/>
        </w:rPr>
        <w:t>30.12</w:t>
        <w:tab/>
        <w:t>Fiduciary activities, management of funds and pension funds -</w:t>
      </w:r>
    </w:p>
    <w:p>
      <w:pPr>
        <w:spacing w:after="0" w:line="183" w:lineRule="exact"/>
        <w:rPr>
          <w:sz w:val="20"/>
          <w:szCs w:val="20"/>
          <w:color w:val="auto"/>
        </w:rPr>
      </w:pPr>
    </w:p>
    <w:p>
      <w:pPr>
        <w:ind w:left="582"/>
        <w:spacing w:after="0" w:line="259"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mismanagement or under-performance.</w:t>
      </w:r>
    </w:p>
    <w:p>
      <w:pPr>
        <w:spacing w:after="0" w:line="13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As of December 31, 2023 and 2022, the value of the net assets under administration off the balance sheet (in millions of soles) is as follows:</w:t>
      </w:r>
    </w:p>
    <w:p>
      <w:pPr>
        <w:spacing w:after="0" w:line="183" w:lineRule="exact"/>
        <w:rPr>
          <w:sz w:val="20"/>
          <w:szCs w:val="20"/>
          <w:color w:val="auto"/>
        </w:rPr>
      </w:pPr>
    </w:p>
    <w:tbl>
      <w:tblPr>
        <w:tblLayout w:type="fixed"/>
        <w:tblInd w:w="642" w:type="dxa"/>
        <w:tblCellMar>
          <w:top w:w="0" w:type="dxa"/>
          <w:left w:w="0" w:type="dxa"/>
          <w:bottom w:w="0" w:type="dxa"/>
          <w:right w:w="0" w:type="dxa"/>
        </w:tblCellMar>
      </w:tblPr>
      <w:tr>
        <w:trPr>
          <w:trHeight w:val="200"/>
        </w:trPr>
        <w:tc>
          <w:tcPr>
            <w:tcW w:w="426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r>
      <w:tr>
        <w:trPr>
          <w:trHeight w:val="342"/>
        </w:trPr>
        <w:tc>
          <w:tcPr>
            <w:tcW w:w="4720" w:type="dxa"/>
            <w:vAlign w:val="bottom"/>
            <w:gridSpan w:val="2"/>
          </w:tcPr>
          <w:p>
            <w:pPr>
              <w:spacing w:after="0"/>
              <w:rPr>
                <w:sz w:val="20"/>
                <w:szCs w:val="20"/>
                <w:color w:val="auto"/>
              </w:rPr>
            </w:pPr>
            <w:r>
              <w:rPr>
                <w:rFonts w:ascii="Arial" w:cs="Arial" w:eastAsia="Arial" w:hAnsi="Arial"/>
                <w:sz w:val="16"/>
                <w:szCs w:val="16"/>
                <w:color w:val="auto"/>
              </w:rPr>
              <w:t>Investment funds and mutual funds</w:t>
            </w:r>
          </w:p>
        </w:tc>
        <w:tc>
          <w:tcPr>
            <w:tcW w:w="680" w:type="dxa"/>
            <w:vAlign w:val="bottom"/>
          </w:tcPr>
          <w:p>
            <w:pPr>
              <w:jc w:val="right"/>
              <w:spacing w:after="0"/>
              <w:rPr>
                <w:sz w:val="20"/>
                <w:szCs w:val="20"/>
                <w:color w:val="auto"/>
              </w:rPr>
            </w:pPr>
            <w:r>
              <w:rPr>
                <w:rFonts w:ascii="Arial" w:cs="Arial" w:eastAsia="Arial" w:hAnsi="Arial"/>
                <w:sz w:val="16"/>
                <w:szCs w:val="16"/>
                <w:color w:val="auto"/>
              </w:rPr>
              <w:t>55,773</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69,264</w:t>
            </w:r>
          </w:p>
        </w:tc>
      </w:tr>
      <w:tr>
        <w:trPr>
          <w:trHeight w:val="183"/>
        </w:trPr>
        <w:tc>
          <w:tcPr>
            <w:tcW w:w="4720" w:type="dxa"/>
            <w:vAlign w:val="bottom"/>
            <w:gridSpan w:val="2"/>
          </w:tcPr>
          <w:p>
            <w:pPr>
              <w:spacing w:after="0"/>
              <w:rPr>
                <w:sz w:val="20"/>
                <w:szCs w:val="20"/>
                <w:color w:val="auto"/>
              </w:rPr>
            </w:pPr>
            <w:r>
              <w:rPr>
                <w:rFonts w:ascii="Arial" w:cs="Arial" w:eastAsia="Arial" w:hAnsi="Arial"/>
                <w:sz w:val="16"/>
                <w:szCs w:val="16"/>
                <w:color w:val="auto"/>
              </w:rPr>
              <w:t>Pension funds</w:t>
            </w:r>
          </w:p>
        </w:tc>
        <w:tc>
          <w:tcPr>
            <w:tcW w:w="680" w:type="dxa"/>
            <w:vAlign w:val="bottom"/>
          </w:tcPr>
          <w:p>
            <w:pPr>
              <w:jc w:val="right"/>
              <w:spacing w:after="0"/>
              <w:rPr>
                <w:sz w:val="20"/>
                <w:szCs w:val="20"/>
                <w:color w:val="auto"/>
              </w:rPr>
            </w:pPr>
            <w:r>
              <w:rPr>
                <w:rFonts w:ascii="Arial" w:cs="Arial" w:eastAsia="Arial" w:hAnsi="Arial"/>
                <w:sz w:val="16"/>
                <w:szCs w:val="16"/>
                <w:color w:val="auto"/>
              </w:rPr>
              <w:t>36,867</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30,596</w:t>
            </w:r>
          </w:p>
        </w:tc>
      </w:tr>
      <w:tr>
        <w:trPr>
          <w:trHeight w:val="183"/>
        </w:trPr>
        <w:tc>
          <w:tcPr>
            <w:tcW w:w="4720" w:type="dxa"/>
            <w:vAlign w:val="bottom"/>
            <w:gridSpan w:val="2"/>
          </w:tcPr>
          <w:p>
            <w:pPr>
              <w:spacing w:after="0"/>
              <w:rPr>
                <w:sz w:val="20"/>
                <w:szCs w:val="20"/>
                <w:color w:val="auto"/>
              </w:rPr>
            </w:pPr>
            <w:r>
              <w:rPr>
                <w:rFonts w:ascii="Arial" w:cs="Arial" w:eastAsia="Arial" w:hAnsi="Arial"/>
                <w:sz w:val="16"/>
                <w:szCs w:val="16"/>
                <w:color w:val="auto"/>
              </w:rPr>
              <w:t>Equity managed</w:t>
            </w:r>
          </w:p>
        </w:tc>
        <w:tc>
          <w:tcPr>
            <w:tcW w:w="680" w:type="dxa"/>
            <w:vAlign w:val="bottom"/>
          </w:tcPr>
          <w:p>
            <w:pPr>
              <w:jc w:val="right"/>
              <w:spacing w:after="0"/>
              <w:rPr>
                <w:sz w:val="20"/>
                <w:szCs w:val="20"/>
                <w:color w:val="auto"/>
              </w:rPr>
            </w:pPr>
            <w:r>
              <w:rPr>
                <w:rFonts w:ascii="Arial" w:cs="Arial" w:eastAsia="Arial" w:hAnsi="Arial"/>
                <w:sz w:val="16"/>
                <w:szCs w:val="16"/>
                <w:color w:val="auto"/>
              </w:rPr>
              <w:t>35,016</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35,062</w:t>
            </w:r>
          </w:p>
        </w:tc>
      </w:tr>
      <w:tr>
        <w:trPr>
          <w:trHeight w:val="200"/>
        </w:trPr>
        <w:tc>
          <w:tcPr>
            <w:tcW w:w="4720" w:type="dxa"/>
            <w:vAlign w:val="bottom"/>
            <w:gridSpan w:val="2"/>
          </w:tcPr>
          <w:p>
            <w:pPr>
              <w:spacing w:after="0"/>
              <w:rPr>
                <w:sz w:val="20"/>
                <w:szCs w:val="20"/>
                <w:color w:val="auto"/>
              </w:rPr>
            </w:pPr>
            <w:r>
              <w:rPr>
                <w:rFonts w:ascii="Arial" w:cs="Arial" w:eastAsia="Arial" w:hAnsi="Arial"/>
                <w:sz w:val="16"/>
                <w:szCs w:val="16"/>
                <w:color w:val="auto"/>
              </w:rPr>
              <w:t>Bank trusts</w:t>
            </w:r>
          </w:p>
        </w:tc>
        <w:tc>
          <w:tcPr>
            <w:tcW w:w="680" w:type="dxa"/>
            <w:vAlign w:val="bottom"/>
          </w:tcPr>
          <w:p>
            <w:pPr>
              <w:jc w:val="right"/>
              <w:spacing w:after="0"/>
              <w:rPr>
                <w:sz w:val="20"/>
                <w:szCs w:val="20"/>
                <w:color w:val="auto"/>
              </w:rPr>
            </w:pPr>
            <w:r>
              <w:rPr>
                <w:rFonts w:ascii="Arial" w:cs="Arial" w:eastAsia="Arial" w:hAnsi="Arial"/>
                <w:sz w:val="16"/>
                <w:szCs w:val="16"/>
                <w:color w:val="auto"/>
              </w:rPr>
              <w:t>3,949</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4,269</w:t>
            </w:r>
          </w:p>
        </w:tc>
      </w:tr>
      <w:tr>
        <w:trPr>
          <w:trHeight w:val="180"/>
        </w:trPr>
        <w:tc>
          <w:tcPr>
            <w:tcW w:w="426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4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131,605</w:t>
            </w:r>
          </w:p>
        </w:tc>
        <w:tc>
          <w:tcPr>
            <w:tcW w:w="1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139,191</w:t>
            </w:r>
          </w:p>
        </w:tc>
      </w:tr>
    </w:tbl>
    <w:p>
      <w:pPr>
        <w:spacing w:after="0" w:line="166" w:lineRule="exact"/>
        <w:rPr>
          <w:sz w:val="20"/>
          <w:szCs w:val="20"/>
          <w:color w:val="auto"/>
        </w:rPr>
      </w:pPr>
    </w:p>
    <w:p>
      <w:pPr>
        <w:ind w:left="582" w:right="7600" w:hanging="582"/>
        <w:spacing w:after="0" w:line="478" w:lineRule="auto"/>
        <w:tabs>
          <w:tab w:leader="none" w:pos="582" w:val="left"/>
        </w:tabs>
        <w:numPr>
          <w:ilvl w:val="0"/>
          <w:numId w:val="2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Legal claim contingencies</w:t>
      </w:r>
    </w:p>
    <w:p>
      <w:pPr>
        <w:ind w:left="882" w:hanging="296"/>
        <w:spacing w:after="0"/>
        <w:tabs>
          <w:tab w:leader="none" w:pos="88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Madoff Trustee Litigation -</w:t>
      </w:r>
    </w:p>
    <w:p>
      <w:pPr>
        <w:spacing w:after="0" w:line="182" w:lineRule="exact"/>
        <w:rPr>
          <w:rFonts w:ascii="Arial" w:cs="Arial" w:eastAsia="Arial" w:hAnsi="Arial"/>
          <w:sz w:val="16"/>
          <w:szCs w:val="16"/>
          <w:color w:val="auto"/>
        </w:rPr>
      </w:pPr>
    </w:p>
    <w:p>
      <w:pPr>
        <w:ind w:left="882" w:right="60"/>
        <w:spacing w:after="0" w:line="244" w:lineRule="auto"/>
        <w:rPr>
          <w:rFonts w:ascii="Arial" w:cs="Arial" w:eastAsia="Arial" w:hAnsi="Arial"/>
          <w:sz w:val="16"/>
          <w:szCs w:val="16"/>
          <w:color w:val="auto"/>
        </w:rPr>
      </w:pPr>
      <w:r>
        <w:rPr>
          <w:rFonts w:ascii="Arial" w:cs="Arial" w:eastAsia="Arial" w:hAnsi="Arial"/>
          <w:sz w:val="16"/>
          <w:szCs w:val="16"/>
          <w:color w:val="auto"/>
        </w:rPr>
        <w:t>In September 2011, the Trustee for the liquidation of Bernard L. Madoff Investment Securities LLC (BLMIS) and the substantively consolidated estate of Bernard L. Madoff (the Madoff Trustee) filed a complaint (the Madoff Complaint) against Credicorp’s subsidiary ASB (now ASB Bank Corp.) in the U.S. Bankruptcy Court for the Southern District of New York (the Bankruptcy Court). The Madoff Complaint seeks recovery of approximately US$120.0 million in principal amount, which is alleged to be equal to the amount of redemptions between the end of 2004 and the beginning of 2005 of ASB-managed Atlantic U.S. Blue Chip Fund assets invested in Fairfield Sentry Limited (Fairfield Sentry), together with fees, costs, interest and expenses. The Madoff Complaint seeks the recovery of these redemptions from ASB Bank Corp. as “subsequent transfers” or “avoided transfers” from BLMIS to Fairfield Sentry, which Fairfield Sentry in turn subsequently transferred to ASB Bank Corp. The Madoff Trustee has filed similar “claw back” actions against numerous other alleged “subsequent transferees” that invested in Fairfield Sentry and its sister entities, which, in turn, invested in and redeemed funds from BLMIS.</w:t>
      </w:r>
    </w:p>
    <w:p>
      <w:pPr>
        <w:spacing w:after="0" w:line="149" w:lineRule="exact"/>
        <w:rPr>
          <w:rFonts w:ascii="Arial" w:cs="Arial" w:eastAsia="Arial" w:hAnsi="Arial"/>
          <w:sz w:val="16"/>
          <w:szCs w:val="16"/>
          <w:color w:val="auto"/>
        </w:rPr>
      </w:pPr>
    </w:p>
    <w:p>
      <w:pPr>
        <w:ind w:left="882"/>
        <w:spacing w:after="0" w:line="241" w:lineRule="auto"/>
        <w:rPr>
          <w:rFonts w:ascii="Arial" w:cs="Arial" w:eastAsia="Arial" w:hAnsi="Arial"/>
          <w:sz w:val="16"/>
          <w:szCs w:val="16"/>
          <w:color w:val="auto"/>
        </w:rPr>
      </w:pPr>
      <w:r>
        <w:rPr>
          <w:rFonts w:ascii="Arial" w:cs="Arial" w:eastAsia="Arial" w:hAnsi="Arial"/>
          <w:sz w:val="16"/>
          <w:szCs w:val="16"/>
          <w:color w:val="auto"/>
        </w:rPr>
        <w:t>There has been significant briefing on issues related to these Madoff Trustee actions, and these cases have been pending for many years. In November 2016, the Bankruptcy Court issued a Memorandum Decision Regarding Claims to Recover Foreign Subsequent Transfers (the Memorandum Decision) holding that the recovery of certain subsequent foreign transfers is barred under the doctrine of comity and/or extraterritoriality, and dismissed the claims brought by the Madoff Trustee against a number of parties, including ASB Bank Corp. In March 2017, the Madoff Trustee filed an appeal (the Appeal) of the Memorandum Decision to the United States Court of Appeals for the Second Circuit, which reversed the Dismissal Order and remanded the matter to the Bankruptcy Court (the Second Circuit Opinion). In April 2019, the defendant-appellees, including ASB Bank Corp., filed, and the Second Circuit granted, a motion to stay the issuance of the mandate pending the filing of a petition for a writ of certiorari in the United States Supreme Court. The petition for a writ of certiorari was filed in the United States Supreme Court in August 2019. On or about June 1,2020, the United States Supreme Court denied the petition for a writ of certiorari. Following the denial of the petition for writ of certiorari, the judgment for dismissal by the Bankruptcy Court was vacated and the matter was remanded back to the Bankruptcy Court. The case now remains pending in the Bankruptcy Court. On March 25,2022, ASB Bank Corp. filed a Motion to Dismiss the Complaint. On May 24, 2022, the Madoff Trustee filed its opposition to the Motion to Dismiss. On July 14, 2022, ASB Bank Corp. filed its reply memorandum of law in further support of its Motion to Dismiss. On November 18, 2022, the Bankruptcy Court denied the Motion to Dismiss presented by ASB Bank Corp and give to ASB Bank Corp until February 1, 20223 to file an answer to the Complaint. ASB Bank Corp submitted its response to the complaint within the established period.</w:t>
      </w:r>
    </w:p>
    <w:p>
      <w:pPr>
        <w:spacing w:after="0" w:line="320"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22"/>
          </w:cols>
          <w:pgMar w:left="318" w:top="306" w:right="359" w:bottom="1440" w:gutter="0" w:footer="0" w:header="0"/>
        </w:sectPr>
      </w:pPr>
    </w:p>
    <w:bookmarkStart w:id="190" w:name="page191"/>
    <w:bookmarkEnd w:id="190"/>
    <w:p>
      <w:pPr>
        <w:ind w:left="296" w:hanging="296"/>
        <w:spacing w:after="0"/>
        <w:tabs>
          <w:tab w:leader="none" w:pos="29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Fairfield Litigation -</w:t>
      </w:r>
    </w:p>
    <w:p>
      <w:pPr>
        <w:spacing w:after="0" w:line="182" w:lineRule="exact"/>
        <w:rPr>
          <w:rFonts w:ascii="Arial" w:cs="Arial" w:eastAsia="Arial" w:hAnsi="Arial"/>
          <w:sz w:val="16"/>
          <w:szCs w:val="16"/>
          <w:color w:val="auto"/>
        </w:rPr>
      </w:pPr>
    </w:p>
    <w:p>
      <w:pPr>
        <w:ind w:left="296" w:right="200"/>
        <w:spacing w:after="0" w:line="245" w:lineRule="auto"/>
        <w:rPr>
          <w:rFonts w:ascii="Arial" w:cs="Arial" w:eastAsia="Arial" w:hAnsi="Arial"/>
          <w:sz w:val="16"/>
          <w:szCs w:val="16"/>
          <w:color w:val="auto"/>
        </w:rPr>
      </w:pPr>
      <w:r>
        <w:rPr>
          <w:rFonts w:ascii="Arial" w:cs="Arial" w:eastAsia="Arial" w:hAnsi="Arial"/>
          <w:sz w:val="16"/>
          <w:szCs w:val="16"/>
          <w:color w:val="auto"/>
        </w:rPr>
        <w:t>In April 2012, Fairfield Sentry (In Liquidation) and its representative, Kenneth Krys (the Fairfield Liquidator), filed a complaint (the Fairfield Complaint) against ASB (now ASB Bank Corp.) in the Bankruptcy Court (the Fairfield v. ASB Adversary Proceeding). The Fairfield Complaint seeks to recover US$115.2 million in principal amount from ASB Bank Corp., representing the amount of ASB’s Bank Corp. redemptions of certain investments in Fairfield Sentry, together with fees, costs, interest and expenses. These are essentially the same funds that the Madoff Trustee seeks to recover in the Madoff Trustee litigation as described above. After the Fairfield Complaint was filed, the Bankruptcy Court procedurally consolidated the Fairfield vs. ASB Adversary Proceeding with other adversary actions brought by the Fairfield Liquidator against former investors in Fairfield Sentry.</w:t>
      </w:r>
    </w:p>
    <w:p>
      <w:pPr>
        <w:spacing w:after="0" w:line="151" w:lineRule="exact"/>
        <w:rPr>
          <w:rFonts w:ascii="Arial" w:cs="Arial" w:eastAsia="Arial" w:hAnsi="Arial"/>
          <w:sz w:val="16"/>
          <w:szCs w:val="16"/>
          <w:color w:val="auto"/>
        </w:rPr>
      </w:pPr>
    </w:p>
    <w:p>
      <w:pPr>
        <w:ind w:left="296" w:right="40"/>
        <w:spacing w:after="0" w:line="244" w:lineRule="auto"/>
        <w:rPr>
          <w:rFonts w:ascii="Arial" w:cs="Arial" w:eastAsia="Arial" w:hAnsi="Arial"/>
          <w:sz w:val="16"/>
          <w:szCs w:val="16"/>
          <w:color w:val="auto"/>
        </w:rPr>
      </w:pPr>
      <w:r>
        <w:rPr>
          <w:rFonts w:ascii="Arial" w:cs="Arial" w:eastAsia="Arial" w:hAnsi="Arial"/>
          <w:sz w:val="16"/>
          <w:szCs w:val="16"/>
          <w:color w:val="auto"/>
        </w:rPr>
        <w:t>Similar to the Madoff Trustee litigation described above, the Fairfield v. ASB Adversary Proceeding and related adversary actions have been pending for many years. In October 2016, the Fairfield Liquidator filed a Motion for Leave to Amend (the Motion for Leave) various complaints, including the Fairfield Complaint. Certain defendants, including ASB Bank Corp., filed a motion to dismiss (the Motion to Dismiss) and a consolidated memorandum of law (i) in opposition to the Motion for Leave and (ii) in support of the Motion to Dismiss. In December 2018, the Bankruptcy Court entered a memorandum decision granting in part and denying in part the Motion to Dismiss and the Motion for Leave (the Memorandum Decision). In March 2019, the Fairfield Liquidator submitted a form of a stipulated order dismissing the adversary proceeding against ASB Bank Corp. (the Dismissal Order), as directed by the Bankruptcy Court, but filed notices of appeal, including of the dismissal of the claims asserted against ASB Bank Corp. and other defendants, in May 2019. The appeal remains pending.</w:t>
      </w:r>
    </w:p>
    <w:p>
      <w:pPr>
        <w:spacing w:after="0" w:line="152" w:lineRule="exact"/>
        <w:rPr>
          <w:rFonts w:ascii="Arial" w:cs="Arial" w:eastAsia="Arial" w:hAnsi="Arial"/>
          <w:sz w:val="16"/>
          <w:szCs w:val="16"/>
          <w:color w:val="auto"/>
        </w:rPr>
      </w:pPr>
    </w:p>
    <w:p>
      <w:pPr>
        <w:ind w:left="296"/>
        <w:spacing w:after="0" w:line="243" w:lineRule="auto"/>
        <w:rPr>
          <w:rFonts w:ascii="Arial" w:cs="Arial" w:eastAsia="Arial" w:hAnsi="Arial"/>
          <w:sz w:val="16"/>
          <w:szCs w:val="16"/>
          <w:color w:val="auto"/>
        </w:rPr>
      </w:pPr>
      <w:r>
        <w:rPr>
          <w:rFonts w:ascii="Arial" w:cs="Arial" w:eastAsia="Arial" w:hAnsi="Arial"/>
          <w:sz w:val="16"/>
          <w:szCs w:val="16"/>
          <w:color w:val="auto"/>
        </w:rPr>
        <w:t>Through a Significant Event dated January 30, 2024, Credicorp Ltd. has informed the market that the litigation i) and ii) mentioned above, pending against ASB Bank Corp. before the District Bankruptcy Court, have been totally and definitively resolved. South of New York City, USA (Bankruptcy Court). On January 30, 2024, (i) the Madoff Trustee and ASB Bank Corp. entered into a settlement and release agreement (the “Madoff Agreement”), and (ii) the Fairfield Liquidator and ASB Bank Corp. simultaneously entered into a settlement and release agreement (the “Fairfield Agreement”), which, without admission of liability, resolves all disputes related to the Madoff Lawsuit and the Fairfield Lawsuit, referred to in sections i) and ii) above, between ASB Bank Corp., the Madoff Trustee and the Fairfield Liquidator. Under the terms of the agreements, after the approval of the Madoff Settlement by the Bankruptcy Court, among other things, ASB Bank Corp. will pay the Madoff Trustee the amount of US$42,750,000.00 (for which ASB Bank Corp. and its affiliates are properly provisioned) and the Madoff Trustee and the Fairfield Liquidator will dismiss the Madoff Claim and the Fairfield Claim, as applicable, definitively and without cost to either party. A copy of the Madoff Agreement has been filed with the Bankruptcy Court and is pending approval by the Bankruptcy Court.</w:t>
      </w:r>
    </w:p>
    <w:p>
      <w:pPr>
        <w:spacing w:after="0" w:line="153" w:lineRule="exact"/>
        <w:rPr>
          <w:rFonts w:ascii="Arial" w:cs="Arial" w:eastAsia="Arial" w:hAnsi="Arial"/>
          <w:sz w:val="16"/>
          <w:szCs w:val="16"/>
          <w:color w:val="auto"/>
        </w:rPr>
      </w:pPr>
    </w:p>
    <w:p>
      <w:pPr>
        <w:ind w:left="296" w:hanging="296"/>
        <w:spacing w:after="0"/>
        <w:tabs>
          <w:tab w:leader="none" w:pos="29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Government Investigations -</w:t>
      </w:r>
    </w:p>
    <w:p>
      <w:pPr>
        <w:spacing w:after="0" w:line="182" w:lineRule="exact"/>
        <w:rPr>
          <w:rFonts w:ascii="Arial" w:cs="Arial" w:eastAsia="Arial" w:hAnsi="Arial"/>
          <w:sz w:val="16"/>
          <w:szCs w:val="16"/>
          <w:color w:val="auto"/>
        </w:rPr>
      </w:pPr>
    </w:p>
    <w:p>
      <w:pPr>
        <w:ind w:left="296" w:right="80"/>
        <w:spacing w:after="0" w:line="243" w:lineRule="auto"/>
        <w:rPr>
          <w:rFonts w:ascii="Arial" w:cs="Arial" w:eastAsia="Arial" w:hAnsi="Arial"/>
          <w:sz w:val="16"/>
          <w:szCs w:val="16"/>
          <w:color w:val="auto"/>
        </w:rPr>
      </w:pPr>
      <w:r>
        <w:rPr>
          <w:rFonts w:ascii="Arial" w:cs="Arial" w:eastAsia="Arial" w:hAnsi="Arial"/>
          <w:sz w:val="16"/>
          <w:szCs w:val="16"/>
          <w:color w:val="auto"/>
        </w:rPr>
        <w:t>At the end of 2019, the former Chairman and the current Vice Chairman of the Board of Directors of Credicorp, in their respective capacities as Chairman of the Board and as a Director of BCP Stand-alone, were summoned as witnesses by Peruvian prosecutors, along with 26 other Peruvian business leaders, to testify in connection with a judicial investigation that is being carried out regarding contributions made to the electoral campaign of a political party in the 2011 Peruvian presidential elections. The former Chairman informed prosecutors that in 2010 and 2011 Credicorp made donations totaling US$3.65 million to Fuerza 2011 campaign (in total amounts of US$1.7 million in 2010 and</w:t>
      </w:r>
    </w:p>
    <w:p>
      <w:pPr>
        <w:ind w:left="296" w:right="60"/>
        <w:spacing w:after="0" w:line="249" w:lineRule="auto"/>
        <w:rPr>
          <w:rFonts w:ascii="Arial" w:cs="Arial" w:eastAsia="Arial" w:hAnsi="Arial"/>
          <w:sz w:val="16"/>
          <w:szCs w:val="16"/>
          <w:color w:val="auto"/>
        </w:rPr>
      </w:pPr>
      <w:r>
        <w:rPr>
          <w:rFonts w:ascii="Arial" w:cs="Arial" w:eastAsia="Arial" w:hAnsi="Arial"/>
          <w:sz w:val="16"/>
          <w:szCs w:val="16"/>
          <w:color w:val="auto"/>
        </w:rPr>
        <w:t>US$1.95 million in 2011). These contributions were made in coordination with the General Manager of Credicorp at that time. While the amount of these contributions exceeded the limits then permitted under Peruvian electoral law, the law in place at that time provided no sanction for contributors, and instead only for the recipient of the campaign contribution.</w:t>
      </w:r>
    </w:p>
    <w:p>
      <w:pPr>
        <w:spacing w:after="0" w:line="303" w:lineRule="exact"/>
        <w:rPr>
          <w:sz w:val="20"/>
          <w:szCs w:val="20"/>
          <w:color w:val="auto"/>
        </w:rPr>
      </w:pPr>
    </w:p>
    <w:p>
      <w:pPr>
        <w:ind w:left="4876"/>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41275</wp:posOffset>
            </wp:positionV>
            <wp:extent cx="714565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36"/>
          </w:cols>
          <w:pgMar w:left="904" w:top="306" w:right="359" w:bottom="1440" w:gutter="0" w:footer="0" w:header="0"/>
        </w:sectPr>
      </w:pPr>
    </w:p>
    <w:bookmarkStart w:id="191" w:name="page192"/>
    <w:bookmarkEnd w:id="191"/>
    <w:p>
      <w:pPr>
        <w:ind w:right="140"/>
        <w:spacing w:after="0" w:line="259" w:lineRule="auto"/>
        <w:rPr>
          <w:sz w:val="20"/>
          <w:szCs w:val="20"/>
          <w:color w:val="auto"/>
        </w:rPr>
      </w:pPr>
      <w:r>
        <w:rPr>
          <w:rFonts w:ascii="Arial" w:cs="Arial" w:eastAsia="Arial" w:hAnsi="Arial"/>
          <w:sz w:val="16"/>
          <w:szCs w:val="16"/>
          <w:color w:val="auto"/>
        </w:rPr>
        <w:t>The former Chairman also informed the prosecutors that in 2016, three subsidiaries of Credicorp (BCP Stand-alone, Mibanco and Grupo Pacifico) made donations totaling S/711,000 (approximately US$200,000) to the Peruanos Por el Kambio campaign. These contributions were made in compliance both with Peruvian electoral law and with Credicorp’s own political contributions guidelines, adopted in 2015.</w:t>
      </w:r>
    </w:p>
    <w:p>
      <w:pPr>
        <w:spacing w:after="0" w:line="13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Peruvian Superintendencia del Mercado de Valores (’SMV’ for its Spanish acronym) has initiated a sanctioning process against Credicorp, for failing to disclose to the market, in due course, the political campaign contributions in the years 2011 and 2016. The SMV also has initiated a sanctioning process against three subsidiaries of Credicorp (BCP Stand-alone, Mibanco and Grupo Pacifico), for failing to disclose to the market, in due course, the political campaign contributions made in connection with the 2016 presidential elections. The SMV notified Credicorp, BCP, Mibanco and Grupo Pacifico with first instance Resolutions on these proceedings. The mentioned Resolutions imposed pecuniary sanctions (fines) on Credicorp and the three subsidiaries as a consequence of these sanctioning processes. Credicorp, BCP, Mibanco and Grupo Pacifico appealed the Resolutions. As the appeals were not resolved within the period provided for by the legal regulations, Credicorp and each of the three subsidiaries proceeded to file contentious-administrative lawsuits against the SMV Resolution (due to negative administrative silence). However, both Credicorp and its three subsidiaries proceeded to pay the fines imposed by the SMV, in compliance with the provisions of Peruvian legislation. To date, the contentious-administrative actions are being processed before the Judiciary.</w:t>
      </w:r>
    </w:p>
    <w:p>
      <w:pPr>
        <w:spacing w:after="0" w:line="15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Credicorp believes that neither the contributions disclosed by our former Chairman and the current Vice Chairman in 2019 nor the related SMV sanctioning processes pose a significant risk of material liability to the Company. Furthermore, Credicorp does not believe that either of the contributions will have material effect on the Company’s business, financial position or profitability, since the fines imposed by the SMV have already been paid.</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On November 11, 2021, Credicorp disclosed that its incoming CEO, Mr. Gianfranco Ferrari de las Casas, informed the company that he was notified of a Prosecutor’s Decision issued by the Corporate Supraprovincial Prosecutor’s Office Specialized in Officer Corruption Offenses Special Team - Fourth Court Division (“Fiscalía Supraprovincial Corporativa Especializada en Delitos de Corrupción de Funcionarios Equipo Especial - Cuarto Despacho”, for its name in Spanish). Through such notice, Mr. Ferrari was informed that he has been included in the preparatory investigation carried out against Mr. Yehude Simon M. and an additional sixty-five (65) individuals on the grounds of, in his particular case, alleged primary complicity in the alleged crime against the public administration, aggravated collusion, incompatible negotiation or improper use of position and criminal organization detrimental to the Peruvian State, in connection with the financial advisory services provided by BCP Stand - alone to the Olmos Project. To date Mr. Ferrari is still included in the preparatory investigation. Mr. Ferrari has already filed certain legal defenses in order to be excluded from the investigation.</w:t>
      </w:r>
    </w:p>
    <w:p>
      <w:pPr>
        <w:spacing w:after="0" w:line="149"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Credicorp has reviewed the performance of the officers of Banco de Crédito del Perú in relation to the financial advisory services provided by the Bank in connection with the Olmos Project and has concluded that the facts under investigation do not give rise to any liability of Banco de Crédito del Perú or its officers. Credicorp bases this view on the qualified opinion of external consultants specialized in the matter. Therefore, Credicorp considers that the opening of the aforementioned preparatory investigation will not have any impact on the normal operation of the company, nor will it affect the dedication and performance of its officers in undertaking their regular duties.</w:t>
      </w:r>
    </w:p>
    <w:p>
      <w:pPr>
        <w:spacing w:after="0" w:line="30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41275</wp:posOffset>
            </wp:positionV>
            <wp:extent cx="714565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360"/>
          </w:cols>
          <w:pgMar w:left="1200" w:top="306" w:right="339" w:bottom="1440" w:gutter="0" w:footer="0" w:header="0"/>
        </w:sectPr>
      </w:pPr>
    </w:p>
    <w:bookmarkStart w:id="192" w:name="page193"/>
    <w:bookmarkEnd w:id="192"/>
    <w:p>
      <w:pPr>
        <w:ind w:left="582" w:hanging="582"/>
        <w:spacing w:after="0"/>
        <w:tabs>
          <w:tab w:leader="none" w:pos="582"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82" w:lineRule="exact"/>
        <w:rPr>
          <w:rFonts w:ascii="Arial" w:cs="Arial" w:eastAsia="Arial" w:hAnsi="Arial"/>
          <w:sz w:val="16"/>
          <w:szCs w:val="16"/>
          <w:b w:val="1"/>
          <w:bCs w:val="1"/>
          <w:color w:val="auto"/>
        </w:rPr>
      </w:pPr>
    </w:p>
    <w:p>
      <w:pPr>
        <w:jc w:val="both"/>
        <w:ind w:left="582"/>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At the beginning of January 2024, the Bank issued bonds for a total of US$800 million with a term of 5 years in the international market. This operation included the issuance of bonds valued at US$500 million and bonds in soles for a total of S/1,150 million with coupon rates of 5.85 percent and 7.85 percent, respectively.</w:t>
      </w:r>
    </w:p>
    <w:p>
      <w:pPr>
        <w:spacing w:after="0" w:line="296" w:lineRule="exact"/>
        <w:rPr>
          <w:sz w:val="20"/>
          <w:szCs w:val="20"/>
          <w:color w:val="auto"/>
        </w:rPr>
      </w:pPr>
    </w:p>
    <w:p>
      <w:pPr>
        <w:jc w:val="center"/>
        <w:ind w:right="-521"/>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65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0682"/>
          </w:cols>
          <w:pgMar w:left="318" w:top="306" w:right="899" w:bottom="1440"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205105</wp:posOffset>
            </wp:positionV>
            <wp:extent cx="7145655" cy="77273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5655" cy="772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ind w:right="5400"/>
        <w:spacing w:after="0" w:line="369" w:lineRule="auto"/>
        <w:rPr>
          <w:sz w:val="20"/>
          <w:szCs w:val="20"/>
          <w:color w:val="auto"/>
        </w:rPr>
      </w:pPr>
      <w:r>
        <w:rPr>
          <w:rFonts w:ascii="Arial" w:cs="Arial" w:eastAsia="Arial" w:hAnsi="Arial"/>
          <w:sz w:val="16"/>
          <w:szCs w:val="16"/>
          <w:b w:val="1"/>
          <w:bCs w:val="1"/>
          <w:color w:val="auto"/>
        </w:rPr>
        <w:t xml:space="preserve">EY </w:t>
      </w:r>
      <w:r>
        <w:rPr>
          <w:rFonts w:ascii="Arial" w:cs="Arial" w:eastAsia="Arial" w:hAnsi="Arial"/>
          <w:sz w:val="16"/>
          <w:szCs w:val="16"/>
          <w:color w:val="auto"/>
        </w:rPr>
        <w:t>| Auditoría | Consultoría | Impuestos | Transacciones y Finanzas Corporativas</w:t>
      </w:r>
      <w:r>
        <w:rPr>
          <w:rFonts w:ascii="Arial" w:cs="Arial" w:eastAsia="Arial" w:hAnsi="Arial"/>
          <w:sz w:val="16"/>
          <w:szCs w:val="16"/>
          <w:b w:val="1"/>
          <w:bCs w:val="1"/>
          <w:color w:val="auto"/>
        </w:rPr>
        <w:t xml:space="preserve"> Acerca de EY</w:t>
      </w:r>
    </w:p>
    <w:p>
      <w:pPr>
        <w:jc w:val="both"/>
        <w:spacing w:after="0" w:line="245" w:lineRule="auto"/>
        <w:rPr>
          <w:sz w:val="20"/>
          <w:szCs w:val="20"/>
          <w:color w:val="auto"/>
        </w:rPr>
      </w:pPr>
      <w:r>
        <w:rPr>
          <w:rFonts w:ascii="Arial" w:cs="Arial" w:eastAsia="Arial" w:hAnsi="Arial"/>
          <w:sz w:val="16"/>
          <w:szCs w:val="16"/>
          <w:color w:val="auto"/>
        </w:rPr>
        <w:t>EY es la firma líder en servicios de auditoría, consultoría, impuestos, transacciones y finanzas corporativas. La calidad de servicio y conocimientos que aportamos ayudan a brindar confianza en los mercados de capitales y en las economías del mundo. Desarrollamos líderes excepcionales que trabajan en equipo para cumplir nuestro compromiso con nuestros stakeholders. Así, jugamos un rol fundamental en la construcción de un mundo mejor para nuestra gente, nuestros clientes y nuestras comunidades.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Para más información visite ey.com/pe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©EY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287020</wp:posOffset>
            </wp:positionV>
            <wp:extent cx="714565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sectPr>
      <w:pgSz w:w="11900" w:h="16838" w:orient="portrait"/>
      <w:cols w:equalWidth="0" w:num="1">
        <w:col w:w="11240"/>
      </w:cols>
      <w:pgMar w:left="320" w:top="3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
      <w:numFmt w:val="bullet"/>
      <w:start w:val="1"/>
    </w:lvl>
  </w:abstractNum>
  <w:abstractNum w:abstractNumId="2">
    <w:nsid w:val="555C55B5"/>
    <w:multiLevelType w:val="hybridMultilevel"/>
    <w:lvl w:ilvl="0">
      <w:lvlJc w:val="left"/>
      <w:lvlText w:val="-"/>
      <w:numFmt w:val="bullet"/>
      <w:start w:val="1"/>
    </w:lvl>
  </w:abstractNum>
  <w:abstractNum w:abstractNumId="3">
    <w:nsid w:val="3FA62ACA"/>
    <w:multiLevelType w:val="hybridMultilevel"/>
    <w:lvl w:ilvl="0">
      <w:lvlJc w:val="left"/>
      <w:lvlText w:val="-"/>
      <w:numFmt w:val="bullet"/>
      <w:start w:val="1"/>
    </w:lvl>
  </w:abstractNum>
  <w:abstractNum w:abstractNumId="4">
    <w:nsid w:val="14FCE74E"/>
    <w:multiLevelType w:val="hybridMultilevel"/>
    <w:lvl w:ilvl="0">
      <w:lvlJc w:val="left"/>
      <w:lvlText w:val="-"/>
      <w:numFmt w:val="bullet"/>
      <w:start w:val="1"/>
    </w:lvl>
  </w:abstractNum>
  <w:abstractNum w:abstractNumId="5">
    <w:nsid w:val="6A3DD3E8"/>
    <w:multiLevelType w:val="hybridMultilevel"/>
    <w:lvl w:ilvl="0">
      <w:lvlJc w:val="left"/>
      <w:lvlText w:val="-"/>
      <w:numFmt w:val="bullet"/>
      <w:start w:val="1"/>
    </w:lvl>
  </w:abstractNum>
  <w:abstractNum w:abstractNumId="6">
    <w:nsid w:val="71C91298"/>
    <w:multiLevelType w:val="hybridMultilevel"/>
    <w:lvl w:ilvl="0">
      <w:lvlJc w:val="left"/>
      <w:lvlText w:val="-"/>
      <w:numFmt w:val="bullet"/>
      <w:start w:val="1"/>
    </w:lvl>
  </w:abstractNum>
  <w:abstractNum w:abstractNumId="7">
    <w:nsid w:val="9DAF632"/>
    <w:multiLevelType w:val="hybridMultilevel"/>
    <w:lvl w:ilvl="0">
      <w:lvlJc w:val="left"/>
      <w:lvlText w:val="-"/>
      <w:numFmt w:val="bullet"/>
      <w:start w:val="1"/>
    </w:lvl>
  </w:abstractNum>
  <w:abstractNum w:abstractNumId="8">
    <w:nsid w:val="53299938"/>
    <w:multiLevelType w:val="hybridMultilevel"/>
    <w:lvl w:ilvl="0">
      <w:lvlJc w:val="left"/>
      <w:lvlText w:val="-"/>
      <w:numFmt w:val="bullet"/>
      <w:start w:val="1"/>
    </w:lvl>
  </w:abstractNum>
  <w:abstractNum w:abstractNumId="9">
    <w:nsid w:val="1FBFE8E0"/>
    <w:multiLevelType w:val="hybridMultilevel"/>
    <w:lvl w:ilvl="0">
      <w:lvlJc w:val="left"/>
      <w:lvlText w:val="-"/>
      <w:numFmt w:val="bullet"/>
      <w:start w:val="1"/>
    </w:lvl>
  </w:abstractNum>
  <w:abstractNum w:abstractNumId="10">
    <w:nsid w:val="5092CA79"/>
    <w:multiLevelType w:val="hybridMultilevel"/>
    <w:lvl w:ilvl="0">
      <w:lvlJc w:val="left"/>
      <w:lvlText w:val="-"/>
      <w:numFmt w:val="bullet"/>
      <w:start w:val="1"/>
    </w:lvl>
  </w:abstractNum>
  <w:abstractNum w:abstractNumId="11">
    <w:nsid w:val="1D545C4D"/>
    <w:multiLevelType w:val="hybridMultilevel"/>
    <w:lvl w:ilvl="0">
      <w:lvlJc w:val="left"/>
      <w:lvlText w:val="1"/>
      <w:numFmt w:val="bullet"/>
      <w:start w:val="1"/>
    </w:lvl>
  </w:abstractNum>
  <w:abstractNum w:abstractNumId="12">
    <w:nsid w:val="59ADEA3D"/>
    <w:multiLevelType w:val="hybridMultilevel"/>
    <w:lvl w:ilvl="0">
      <w:lvlJc w:val="left"/>
      <w:lvlText w:val="2"/>
      <w:numFmt w:val="bullet"/>
      <w:start w:val="1"/>
    </w:lvl>
    <w:lvl w:ilvl="1">
      <w:lvlJc w:val="left"/>
      <w:lvlText w:val="%2)"/>
      <w:numFmt w:val="lowerLetter"/>
      <w:start w:val="1"/>
    </w:lvl>
  </w:abstractNum>
  <w:abstractNum w:abstractNumId="13">
    <w:nsid w:val="288F1A34"/>
    <w:multiLevelType w:val="hybridMultilevel"/>
    <w:lvl w:ilvl="0">
      <w:lvlJc w:val="left"/>
      <w:lvlText w:val="3"/>
      <w:numFmt w:val="bullet"/>
      <w:start w:val="1"/>
    </w:lvl>
    <w:lvl w:ilvl="1">
      <w:lvlJc w:val="left"/>
      <w:lvlText w:val="%2)"/>
      <w:numFmt w:val="lowerLetter"/>
      <w:start w:val="1"/>
    </w:lvl>
    <w:lvl w:ilvl="2">
      <w:lvlJc w:val="left"/>
      <w:lvlText w:val="(%3)"/>
      <w:numFmt w:val="lowerRoman"/>
      <w:start w:val="1"/>
    </w:lvl>
  </w:abstractNum>
  <w:abstractNum w:abstractNumId="14">
    <w:nsid w:val="2A155DBC"/>
    <w:multiLevelType w:val="hybridMultilevel"/>
    <w:lvl w:ilvl="0">
      <w:lvlJc w:val="left"/>
      <w:lvlText w:val="(%1)"/>
      <w:numFmt w:val="lowerRoman"/>
      <w:start w:val="3"/>
    </w:lvl>
    <w:lvl w:ilvl="1">
      <w:lvlJc w:val="left"/>
      <w:lvlText w:val="-"/>
      <w:numFmt w:val="bullet"/>
      <w:start w:val="1"/>
    </w:lvl>
  </w:abstractNum>
  <w:abstractNum w:abstractNumId="15">
    <w:nsid w:val="1D9F6E5F"/>
    <w:multiLevelType w:val="hybridMultilevel"/>
    <w:lvl w:ilvl="0">
      <w:lvlJc w:val="left"/>
      <w:lvlText w:val="(%1)"/>
      <w:numFmt w:val="lowerRoman"/>
      <w:start w:val="1"/>
    </w:lvl>
  </w:abstractNum>
  <w:abstractNum w:abstractNumId="16">
    <w:nsid w:val="97E1B4E"/>
    <w:multiLevelType w:val="hybridMultilevel"/>
    <w:lvl w:ilvl="0">
      <w:lvlJc w:val="left"/>
      <w:lvlText w:val="(%1)"/>
      <w:numFmt w:val="lowerRoman"/>
      <w:start w:val="2"/>
    </w:lvl>
    <w:lvl w:ilvl="1">
      <w:lvlJc w:val="left"/>
      <w:lvlText w:val="-"/>
      <w:numFmt w:val="bullet"/>
      <w:start w:val="1"/>
    </w:lvl>
  </w:abstractNum>
  <w:abstractNum w:abstractNumId="17">
    <w:nsid w:val="51088277"/>
    <w:multiLevelType w:val="hybridMultilevel"/>
    <w:lvl w:ilvl="0">
      <w:lvlJc w:val="left"/>
      <w:lvlText w:val="%1)"/>
      <w:numFmt w:val="lowerLetter"/>
      <w:start w:val="2"/>
    </w:lvl>
    <w:lvl w:ilvl="1">
      <w:lvlJc w:val="left"/>
      <w:lvlText w:val="-"/>
      <w:numFmt w:val="bullet"/>
      <w:start w:val="1"/>
    </w:lvl>
  </w:abstractNum>
  <w:abstractNum w:abstractNumId="18">
    <w:nsid w:val="1CA0C5FA"/>
    <w:multiLevelType w:val="hybridMultilevel"/>
    <w:lvl w:ilvl="0">
      <w:lvlJc w:val="left"/>
      <w:lvlText w:val="-"/>
      <w:numFmt w:val="bullet"/>
      <w:start w:val="1"/>
    </w:lvl>
    <w:lvl w:ilvl="1">
      <w:lvlJc w:val="left"/>
      <w:lvlText w:val="-"/>
      <w:numFmt w:val="bullet"/>
      <w:start w:val="1"/>
    </w:lvl>
  </w:abstractNum>
  <w:abstractNum w:abstractNumId="19">
    <w:nsid w:val="53584BCB"/>
    <w:multiLevelType w:val="hybridMultilevel"/>
    <w:lvl w:ilvl="0">
      <w:lvlJc w:val="left"/>
      <w:lvlText w:val="-"/>
      <w:numFmt w:val="bullet"/>
      <w:start w:val="1"/>
    </w:lvl>
  </w:abstractNum>
  <w:abstractNum w:abstractNumId="20">
    <w:nsid w:val="415E286C"/>
    <w:multiLevelType w:val="hybridMultilevel"/>
    <w:lvl w:ilvl="0">
      <w:lvlJc w:val="left"/>
      <w:lvlText w:val="-"/>
      <w:numFmt w:val="bullet"/>
      <w:start w:val="1"/>
    </w:lvl>
  </w:abstractNum>
  <w:abstractNum w:abstractNumId="21">
    <w:nsid w:val="7C58FD05"/>
    <w:multiLevelType w:val="hybridMultilevel"/>
    <w:lvl w:ilvl="0">
      <w:lvlJc w:val="left"/>
      <w:lvlText w:val="-"/>
      <w:numFmt w:val="bullet"/>
      <w:start w:val="1"/>
    </w:lvl>
  </w:abstractNum>
  <w:abstractNum w:abstractNumId="22">
    <w:nsid w:val="23D86AAC"/>
    <w:multiLevelType w:val="hybridMultilevel"/>
    <w:lvl w:ilvl="0">
      <w:lvlJc w:val="left"/>
      <w:lvlText w:val="-"/>
      <w:numFmt w:val="bullet"/>
      <w:start w:val="1"/>
    </w:lvl>
  </w:abstractNum>
  <w:abstractNum w:abstractNumId="23">
    <w:nsid w:val="45E6D486"/>
    <w:multiLevelType w:val="hybridMultilevel"/>
    <w:lvl w:ilvl="0">
      <w:lvlJc w:val="left"/>
      <w:lvlText w:val="-"/>
      <w:numFmt w:val="bullet"/>
      <w:start w:val="1"/>
    </w:lvl>
  </w:abstractNum>
  <w:abstractNum w:abstractNumId="24">
    <w:nsid w:val="5C10FE21"/>
    <w:multiLevelType w:val="hybridMultilevel"/>
    <w:lvl w:ilvl="0">
      <w:lvlJc w:val="left"/>
      <w:lvlText w:val="-"/>
      <w:numFmt w:val="bullet"/>
      <w:start w:val="1"/>
    </w:lvl>
  </w:abstractNum>
  <w:abstractNum w:abstractNumId="25">
    <w:nsid w:val="E7FFA2B"/>
    <w:multiLevelType w:val="hybridMultilevel"/>
    <w:lvl w:ilvl="0">
      <w:lvlJc w:val="left"/>
      <w:lvlText w:val="%1)"/>
      <w:numFmt w:val="lowerLetter"/>
      <w:start w:val="3"/>
    </w:lvl>
    <w:lvl w:ilvl="1">
      <w:lvlJc w:val="left"/>
      <w:lvlText w:val="-"/>
      <w:numFmt w:val="bullet"/>
      <w:start w:val="1"/>
    </w:lvl>
  </w:abstractNum>
  <w:abstractNum w:abstractNumId="26">
    <w:nsid w:val="3C5991AA"/>
    <w:multiLevelType w:val="hybridMultilevel"/>
    <w:lvl w:ilvl="0">
      <w:lvlJc w:val="left"/>
      <w:lvlText w:val="-"/>
      <w:numFmt w:val="bullet"/>
      <w:start w:val="1"/>
    </w:lvl>
  </w:abstractNum>
  <w:abstractNum w:abstractNumId="27">
    <w:nsid w:val="4BD8591A"/>
    <w:multiLevelType w:val="hybridMultilevel"/>
    <w:lvl w:ilvl="0">
      <w:lvlJc w:val="left"/>
      <w:lvlText w:val="(%1)"/>
      <w:numFmt w:val="lowerRoman"/>
      <w:start w:val="1"/>
    </w:lvl>
  </w:abstractNum>
  <w:abstractNum w:abstractNumId="28">
    <w:nsid w:val="78DF6A55"/>
    <w:multiLevelType w:val="hybridMultilevel"/>
    <w:lvl w:ilvl="0">
      <w:lvlJc w:val="left"/>
      <w:lvlText w:val="%1)"/>
      <w:numFmt w:val="lowerLetter"/>
      <w:start w:val="1"/>
    </w:lvl>
  </w:abstractNum>
  <w:abstractNum w:abstractNumId="29">
    <w:nsid w:val="39B7AAA2"/>
    <w:multiLevelType w:val="hybridMultilevel"/>
    <w:lvl w:ilvl="0">
      <w:lvlJc w:val="left"/>
      <w:lvlText w:val="%1"/>
      <w:numFmt w:val="lowerRoman"/>
      <w:start w:val="1"/>
    </w:lvl>
    <w:lvl w:ilvl="1">
      <w:lvlJc w:val="left"/>
      <w:lvlText w:val="%2)"/>
      <w:numFmt w:val="lowerLetter"/>
      <w:start w:val="2"/>
    </w:lvl>
  </w:abstractNum>
  <w:abstractNum w:abstractNumId="30">
    <w:nsid w:val="2B0D8DBE"/>
    <w:multiLevelType w:val="hybridMultilevel"/>
    <w:lvl w:ilvl="0">
      <w:lvlJc w:val="left"/>
      <w:lvlText w:val="(%1)"/>
      <w:numFmt w:val="lowerRoman"/>
      <w:start w:val="2"/>
    </w:lvl>
    <w:lvl w:ilvl="1">
      <w:lvlJc w:val="left"/>
      <w:lvlText w:val="%2"/>
      <w:numFmt w:val="lowerLetter"/>
      <w:start w:val="1"/>
    </w:lvl>
  </w:abstractNum>
  <w:abstractNum w:abstractNumId="31">
    <w:nsid w:val="6C80EC70"/>
    <w:multiLevelType w:val="hybridMultilevel"/>
    <w:lvl w:ilvl="0">
      <w:lvlJc w:val="left"/>
      <w:lvlText w:val="%1)"/>
      <w:numFmt w:val="lowerLetter"/>
      <w:start w:val="1"/>
    </w:lvl>
  </w:abstractNum>
  <w:abstractNum w:abstractNumId="32">
    <w:nsid w:val="379E21B5"/>
    <w:multiLevelType w:val="hybridMultilevel"/>
    <w:lvl w:ilvl="0">
      <w:lvlJc w:val="left"/>
      <w:lvlText w:val="%1"/>
      <w:numFmt w:val="lowerRoman"/>
      <w:start w:val="1"/>
    </w:lvl>
    <w:lvl w:ilvl="1">
      <w:lvlJc w:val="left"/>
      <w:lvlText w:val="%2)"/>
      <w:numFmt w:val="lowerLetter"/>
      <w:start w:val="2"/>
    </w:lvl>
  </w:abstractNum>
  <w:abstractNum w:abstractNumId="33">
    <w:nsid w:val="69E373"/>
    <w:multiLevelType w:val="hybridMultilevel"/>
    <w:lvl w:ilvl="0">
      <w:lvlJc w:val="left"/>
      <w:lvlText w:val="(%1)"/>
      <w:numFmt w:val="lowerRoman"/>
      <w:start w:val="5"/>
    </w:lvl>
    <w:lvl w:ilvl="1">
      <w:lvlJc w:val="left"/>
      <w:lvlText w:val="%2"/>
      <w:numFmt w:val="lowerLetter"/>
      <w:start w:val="1"/>
    </w:lvl>
  </w:abstractNum>
  <w:abstractNum w:abstractNumId="34">
    <w:nsid w:val="2C27173B"/>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5">
    <w:nsid w:val="4C9B0904"/>
    <w:multiLevelType w:val="hybridMultilevel"/>
    <w:lvl w:ilvl="0">
      <w:lvlJc w:val="left"/>
      <w:lvlText w:val="%1)"/>
      <w:numFmt w:val="lowerLetter"/>
      <w:start w:val="5"/>
    </w:lvl>
  </w:abstractNum>
  <w:abstractNum w:abstractNumId="36">
    <w:nsid w:val="6AA7B75C"/>
    <w:multiLevelType w:val="hybridMultilevel"/>
    <w:lvl w:ilvl="0">
      <w:lvlJc w:val="left"/>
      <w:lvlText w:val="%1)"/>
      <w:numFmt w:val="lowerLetter"/>
      <w:start w:val="6"/>
    </w:lvl>
  </w:abstractNum>
  <w:abstractNum w:abstractNumId="37">
    <w:nsid w:val="1DF029D3"/>
    <w:multiLevelType w:val="hybridMultilevel"/>
    <w:lvl w:ilvl="0">
      <w:lvlJc w:val="left"/>
      <w:lvlText w:val="-"/>
      <w:numFmt w:val="bullet"/>
      <w:start w:val="1"/>
    </w:lvl>
  </w:abstractNum>
  <w:abstractNum w:abstractNumId="38">
    <w:nsid w:val="5675FF36"/>
    <w:multiLevelType w:val="hybridMultilevel"/>
    <w:lvl w:ilvl="0">
      <w:lvlJc w:val="left"/>
      <w:lvlText w:val="-"/>
      <w:numFmt w:val="bullet"/>
      <w:start w:val="1"/>
    </w:lvl>
  </w:abstractNum>
  <w:abstractNum w:abstractNumId="39">
    <w:nsid w:val="3DD15094"/>
    <w:multiLevelType w:val="hybridMultilevel"/>
    <w:lvl w:ilvl="0">
      <w:lvlJc w:val="left"/>
      <w:lvlText w:val="-"/>
      <w:numFmt w:val="bullet"/>
      <w:start w:val="1"/>
    </w:lvl>
  </w:abstractNum>
  <w:abstractNum w:abstractNumId="40">
    <w:nsid w:val="3DB012B3"/>
    <w:multiLevelType w:val="hybridMultilevel"/>
    <w:lvl w:ilvl="0">
      <w:lvlJc w:val="left"/>
      <w:lvlText w:val="-"/>
      <w:numFmt w:val="bullet"/>
      <w:start w:val="1"/>
    </w:lvl>
    <w:lvl w:ilvl="1">
      <w:lvlJc w:val="left"/>
      <w:lvlText w:val="-"/>
      <w:numFmt w:val="bullet"/>
      <w:start w:val="1"/>
    </w:lvl>
  </w:abstractNum>
  <w:abstractNum w:abstractNumId="41">
    <w:nsid w:val="2708C9AF"/>
    <w:multiLevelType w:val="hybridMultilevel"/>
    <w:lvl w:ilvl="0">
      <w:lvlJc w:val="left"/>
      <w:lvlText w:val="-"/>
      <w:numFmt w:val="bullet"/>
      <w:start w:val="1"/>
    </w:lvl>
  </w:abstractNum>
  <w:abstractNum w:abstractNumId="42">
    <w:nsid w:val="5B25ACE2"/>
    <w:multiLevelType w:val="hybridMultilevel"/>
    <w:lvl w:ilvl="0">
      <w:lvlJc w:val="left"/>
      <w:lvlText w:val="-"/>
      <w:numFmt w:val="bullet"/>
      <w:start w:val="1"/>
    </w:lvl>
  </w:abstractNum>
  <w:abstractNum w:abstractNumId="43">
    <w:nsid w:val="175DFCF0"/>
    <w:multiLevelType w:val="hybridMultilevel"/>
    <w:lvl w:ilvl="0">
      <w:lvlJc w:val="left"/>
      <w:lvlText w:val="-"/>
      <w:numFmt w:val="bullet"/>
      <w:start w:val="1"/>
    </w:lvl>
    <w:lvl w:ilvl="1">
      <w:lvlJc w:val="left"/>
      <w:lvlText w:val="-"/>
      <w:numFmt w:val="bullet"/>
      <w:start w:val="1"/>
    </w:lvl>
  </w:abstractNum>
  <w:abstractNum w:abstractNumId="44">
    <w:nsid w:val="4F97E3E4"/>
    <w:multiLevelType w:val="hybridMultilevel"/>
    <w:lvl w:ilvl="0">
      <w:lvlJc w:val="left"/>
      <w:lvlText w:val="(%1)"/>
      <w:numFmt w:val="lowerLetter"/>
      <w:start w:val="1"/>
    </w:lvl>
  </w:abstractNum>
  <w:abstractNum w:abstractNumId="45">
    <w:nsid w:val="53B0A9E"/>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6">
    <w:nsid w:val="34FD6B4F"/>
    <w:multiLevelType w:val="hybridMultilevel"/>
    <w:lvl w:ilvl="0">
      <w:lvlJc w:val="left"/>
      <w:lvlText w:val="-"/>
      <w:numFmt w:val="bullet"/>
      <w:start w:val="1"/>
    </w:lvl>
  </w:abstractNum>
  <w:abstractNum w:abstractNumId="47">
    <w:nsid w:val="5915FF32"/>
    <w:multiLevelType w:val="hybridMultilevel"/>
    <w:lvl w:ilvl="0">
      <w:lvlJc w:val="left"/>
      <w:lvlText w:val="(%1)"/>
      <w:numFmt w:val="lowerLetter"/>
      <w:start w:val="1"/>
    </w:lvl>
    <w:lvl w:ilvl="1">
      <w:lvlJc w:val="left"/>
      <w:lvlText w:val="-"/>
      <w:numFmt w:val="bullet"/>
      <w:start w:val="1"/>
    </w:lvl>
  </w:abstractNum>
  <w:abstractNum w:abstractNumId="48">
    <w:nsid w:val="56438D15"/>
    <w:multiLevelType w:val="hybridMultilevel"/>
    <w:lvl w:ilvl="0">
      <w:lvlJc w:val="left"/>
      <w:lvlText w:val="-"/>
      <w:numFmt w:val="bullet"/>
      <w:start w:val="1"/>
    </w:lvl>
  </w:abstractNum>
  <w:abstractNum w:abstractNumId="49">
    <w:nsid w:val="519E3149"/>
    <w:multiLevelType w:val="hybridMultilevel"/>
    <w:lvl w:ilvl="0">
      <w:lvlJc w:val="left"/>
      <w:lvlText w:val="-"/>
      <w:numFmt w:val="bullet"/>
      <w:start w:val="1"/>
    </w:lvl>
  </w:abstractNum>
  <w:abstractNum w:abstractNumId="50">
    <w:nsid w:val="2C6E4AFD"/>
    <w:multiLevelType w:val="hybridMultilevel"/>
    <w:lvl w:ilvl="0">
      <w:lvlJc w:val="left"/>
      <w:lvlText w:val="-"/>
      <w:numFmt w:val="bullet"/>
      <w:start w:val="1"/>
    </w:lvl>
  </w:abstractNum>
  <w:abstractNum w:abstractNumId="51">
    <w:nsid w:val="17A1B582"/>
    <w:multiLevelType w:val="hybridMultilevel"/>
    <w:lvl w:ilvl="0">
      <w:lvlJc w:val="left"/>
      <w:lvlText w:val="-"/>
      <w:numFmt w:val="bullet"/>
      <w:start w:val="1"/>
    </w:lvl>
  </w:abstractNum>
  <w:abstractNum w:abstractNumId="52">
    <w:nsid w:val="4DF72E4E"/>
    <w:multiLevelType w:val="hybridMultilevel"/>
    <w:lvl w:ilvl="0">
      <w:lvlJc w:val="left"/>
      <w:lvlText w:val="-"/>
      <w:numFmt w:val="bullet"/>
      <w:start w:val="1"/>
    </w:lvl>
    <w:lvl w:ilvl="1">
      <w:lvlJc w:val="left"/>
      <w:lvlText w:val="-"/>
      <w:numFmt w:val="bullet"/>
      <w:start w:val="1"/>
    </w:lvl>
  </w:abstractNum>
  <w:abstractNum w:abstractNumId="53">
    <w:nsid w:val="5046B5A9"/>
    <w:multiLevelType w:val="hybridMultilevel"/>
    <w:lvl w:ilvl="0">
      <w:lvlJc w:val="left"/>
      <w:lvlText w:val="-"/>
      <w:numFmt w:val="bullet"/>
      <w:start w:val="1"/>
    </w:lvl>
    <w:lvl w:ilvl="1">
      <w:lvlJc w:val="left"/>
      <w:lvlText w:val="(%2)"/>
      <w:numFmt w:val="lowerRoman"/>
      <w:start w:val="1"/>
    </w:lvl>
  </w:abstractNum>
  <w:abstractNum w:abstractNumId="54">
    <w:nsid w:val="5D888A08"/>
    <w:multiLevelType w:val="hybridMultilevel"/>
    <w:lvl w:ilvl="0">
      <w:lvlJc w:val="left"/>
      <w:lvlText w:val="%1)"/>
      <w:numFmt w:val="lowerLetter"/>
      <w:start w:val="6"/>
    </w:lvl>
    <w:lvl w:ilvl="1">
      <w:lvlJc w:val="left"/>
      <w:lvlText w:val="-"/>
      <w:numFmt w:val="bullet"/>
      <w:start w:val="1"/>
    </w:lvl>
  </w:abstractNum>
  <w:abstractNum w:abstractNumId="55">
    <w:nsid w:val="2A082C70"/>
    <w:multiLevelType w:val="hybridMultilevel"/>
    <w:lvl w:ilvl="0">
      <w:lvlJc w:val="left"/>
      <w:lvlText w:val="-"/>
      <w:numFmt w:val="bullet"/>
      <w:start w:val="1"/>
    </w:lvl>
  </w:abstractNum>
  <w:abstractNum w:abstractNumId="56">
    <w:nsid w:val="5EC6AFD4"/>
    <w:multiLevelType w:val="hybridMultilevel"/>
    <w:lvl w:ilvl="0">
      <w:lvlJc w:val="left"/>
      <w:lvlText w:val="-"/>
      <w:numFmt w:val="bullet"/>
      <w:start w:val="1"/>
    </w:lvl>
  </w:abstractNum>
  <w:abstractNum w:abstractNumId="57">
    <w:nsid w:val="19E21BB2"/>
    <w:multiLevelType w:val="hybridMultilevel"/>
    <w:lvl w:ilvl="0">
      <w:lvlJc w:val="left"/>
      <w:lvlText w:val="(%1)"/>
      <w:numFmt w:val="lowerRoman"/>
      <w:start w:val="1"/>
    </w:lvl>
    <w:lvl w:ilvl="1">
      <w:lvlJc w:val="left"/>
      <w:lvlText w:val="-"/>
      <w:numFmt w:val="bullet"/>
      <w:start w:val="1"/>
    </w:lvl>
  </w:abstractNum>
  <w:abstractNum w:abstractNumId="58">
    <w:nsid w:val="75E0858A"/>
    <w:multiLevelType w:val="hybridMultilevel"/>
    <w:lvl w:ilvl="0">
      <w:lvlJc w:val="left"/>
      <w:lvlText w:val="(%1)"/>
      <w:numFmt w:val="lowerRoman"/>
      <w:start w:val="2"/>
    </w:lvl>
    <w:lvl w:ilvl="1">
      <w:lvlJc w:val="left"/>
      <w:lvlText w:val="-"/>
      <w:numFmt w:val="bullet"/>
      <w:start w:val="1"/>
    </w:lvl>
  </w:abstractNum>
  <w:abstractNum w:abstractNumId="59">
    <w:nsid w:val="57A61A29"/>
    <w:multiLevelType w:val="hybridMultilevel"/>
    <w:lvl w:ilvl="0">
      <w:lvlJc w:val="left"/>
      <w:lvlText w:val="(%1)"/>
      <w:numFmt w:val="lowerRoman"/>
      <w:start w:val="3"/>
    </w:lvl>
  </w:abstractNum>
  <w:abstractNum w:abstractNumId="60">
    <w:nsid w:val="5399C654"/>
    <w:multiLevelType w:val="hybridMultilevel"/>
    <w:lvl w:ilvl="0">
      <w:lvlJc w:val="left"/>
      <w:lvlText w:val="-"/>
      <w:numFmt w:val="bullet"/>
      <w:start w:val="1"/>
    </w:lvl>
  </w:abstractNum>
  <w:abstractNum w:abstractNumId="61">
    <w:nsid w:val="20EE1348"/>
    <w:multiLevelType w:val="hybridMultilevel"/>
    <w:lvl w:ilvl="0">
      <w:lvlJc w:val="left"/>
      <w:lvlText w:val="-"/>
      <w:numFmt w:val="bullet"/>
      <w:start w:val="1"/>
    </w:lvl>
  </w:abstractNum>
  <w:abstractNum w:abstractNumId="62">
    <w:nsid w:val="4427069A"/>
    <w:multiLevelType w:val="hybridMultilevel"/>
    <w:lvl w:ilvl="0">
      <w:lvlJc w:val="left"/>
      <w:lvlText w:val="%1)"/>
      <w:numFmt w:val="lowerLetter"/>
      <w:start w:val="7"/>
    </w:lvl>
    <w:lvl w:ilvl="1">
      <w:lvlJc w:val="left"/>
      <w:lvlText w:val="-"/>
      <w:numFmt w:val="bullet"/>
      <w:start w:val="1"/>
    </w:lvl>
  </w:abstractNum>
  <w:abstractNum w:abstractNumId="63">
    <w:nsid w:val="B37E80A"/>
    <w:multiLevelType w:val="hybridMultilevel"/>
    <w:lvl w:ilvl="0">
      <w:lvlJc w:val="left"/>
      <w:lvlText w:val="%1)"/>
      <w:numFmt w:val="lowerLetter"/>
      <w:start w:val="9"/>
    </w:lvl>
    <w:lvl w:ilvl="1">
      <w:lvlJc w:val="left"/>
      <w:lvlText w:val="-"/>
      <w:numFmt w:val="bullet"/>
      <w:start w:val="1"/>
    </w:lvl>
  </w:abstractNum>
  <w:abstractNum w:abstractNumId="64">
    <w:nsid w:val="2157F6BC"/>
    <w:multiLevelType w:val="hybridMultilevel"/>
    <w:lvl w:ilvl="0">
      <w:lvlJc w:val="left"/>
      <w:lvlText w:val="-"/>
      <w:numFmt w:val="bullet"/>
      <w:start w:val="1"/>
    </w:lvl>
  </w:abstractNum>
  <w:abstractNum w:abstractNumId="65">
    <w:nsid w:val="704E1DD5"/>
    <w:multiLevelType w:val="hybridMultilevel"/>
    <w:lvl w:ilvl="0">
      <w:lvlJc w:val="left"/>
      <w:lvlText w:val="-"/>
      <w:numFmt w:val="bullet"/>
      <w:start w:val="1"/>
    </w:lvl>
  </w:abstractNum>
  <w:abstractNum w:abstractNumId="66">
    <w:nsid w:val="57D2F10E"/>
    <w:multiLevelType w:val="hybridMultilevel"/>
    <w:lvl w:ilvl="0">
      <w:lvlJc w:val="left"/>
      <w:lvlText w:val="-"/>
      <w:numFmt w:val="bullet"/>
      <w:start w:val="1"/>
    </w:lvl>
  </w:abstractNum>
  <w:abstractNum w:abstractNumId="67">
    <w:nsid w:val="BFFAE18"/>
    <w:multiLevelType w:val="hybridMultilevel"/>
    <w:lvl w:ilvl="0">
      <w:lvlJc w:val="left"/>
      <w:lvlText w:val="-"/>
      <w:numFmt w:val="bullet"/>
      <w:start w:val="1"/>
    </w:lvl>
  </w:abstractNum>
  <w:abstractNum w:abstractNumId="68">
    <w:nsid w:val="E3E47A8"/>
    <w:multiLevelType w:val="hybridMultilevel"/>
    <w:lvl w:ilvl="0">
      <w:lvlJc w:val="left"/>
      <w:lvlText w:val="%1)"/>
      <w:numFmt w:val="lowerLetter"/>
      <w:start w:val="11"/>
    </w:lvl>
  </w:abstractNum>
  <w:abstractNum w:abstractNumId="69">
    <w:nsid w:val="2E48F044"/>
    <w:multiLevelType w:val="hybridMultilevel"/>
    <w:lvl w:ilvl="0">
      <w:lvlJc w:val="left"/>
      <w:lvlText w:val="%1)"/>
      <w:numFmt w:val="lowerLetter"/>
      <w:start w:val="12"/>
    </w:lvl>
  </w:abstractNum>
  <w:abstractNum w:abstractNumId="70">
    <w:nsid w:val="49D0FEAC"/>
    <w:multiLevelType w:val="hybridMultilevel"/>
    <w:lvl w:ilvl="0">
      <w:lvlJc w:val="left"/>
      <w:lvlText w:val="%1)"/>
      <w:numFmt w:val="lowerLetter"/>
      <w:start w:val="13"/>
    </w:lvl>
  </w:abstractNum>
  <w:abstractNum w:abstractNumId="71">
    <w:nsid w:val="4BEE5A5B"/>
    <w:multiLevelType w:val="hybridMultilevel"/>
    <w:lvl w:ilvl="0">
      <w:lvlJc w:val="left"/>
      <w:lvlText w:val="%1)"/>
      <w:numFmt w:val="lowerLetter"/>
      <w:start w:val="18"/>
    </w:lvl>
  </w:abstractNum>
  <w:abstractNum w:abstractNumId="72">
    <w:nsid w:val="5551B9F3"/>
    <w:multiLevelType w:val="hybridMultilevel"/>
    <w:lvl w:ilvl="0">
      <w:lvlJc w:val="left"/>
      <w:lvlText w:val="%1)"/>
      <w:numFmt w:val="lowerLetter"/>
      <w:start w:val="20"/>
    </w:lvl>
  </w:abstractNum>
  <w:abstractNum w:abstractNumId="73">
    <w:nsid w:val="24F6AB8E"/>
    <w:multiLevelType w:val="hybridMultilevel"/>
    <w:lvl w:ilvl="0">
      <w:lvlJc w:val="left"/>
      <w:lvlText w:val="%1)"/>
      <w:numFmt w:val="lowerLetter"/>
      <w:start w:val="21"/>
    </w:lvl>
  </w:abstractNum>
  <w:abstractNum w:abstractNumId="74">
    <w:nsid w:val="634C574C"/>
    <w:multiLevelType w:val="hybridMultilevel"/>
    <w:lvl w:ilvl="0">
      <w:lvlJc w:val="left"/>
      <w:lvlText w:val="-"/>
      <w:numFmt w:val="bullet"/>
      <w:start w:val="1"/>
    </w:lvl>
    <w:lvl w:ilvl="1">
      <w:lvlJc w:val="left"/>
      <w:lvlText w:val="-"/>
      <w:numFmt w:val="bullet"/>
      <w:start w:val="1"/>
    </w:lvl>
  </w:abstractNum>
  <w:abstractNum w:abstractNumId="75">
    <w:nsid w:val="24E99DD7"/>
    <w:multiLevelType w:val="hybridMultilevel"/>
    <w:lvl w:ilvl="0">
      <w:lvlJc w:val="left"/>
      <w:lvlText w:val="-"/>
      <w:numFmt w:val="bullet"/>
      <w:start w:val="1"/>
    </w:lvl>
  </w:abstractNum>
  <w:abstractNum w:abstractNumId="76">
    <w:nsid w:val="2A31B62D"/>
    <w:multiLevelType w:val="hybridMultilevel"/>
    <w:lvl w:ilvl="0">
      <w:lvlJc w:val="left"/>
      <w:lvlText w:val="(%1)"/>
      <w:numFmt w:val="lowerRoman"/>
      <w:start w:val="2"/>
    </w:lvl>
  </w:abstractNum>
  <w:abstractNum w:abstractNumId="77">
    <w:nsid w:val="1849C29B"/>
    <w:multiLevelType w:val="hybridMultilevel"/>
    <w:lvl w:ilvl="0">
      <w:lvlJc w:val="left"/>
      <w:lvlText w:val="-"/>
      <w:numFmt w:val="bullet"/>
      <w:start w:val="1"/>
    </w:lvl>
  </w:abstractNum>
  <w:abstractNum w:abstractNumId="78">
    <w:nsid w:val="7DFF9D09"/>
    <w:multiLevelType w:val="hybridMultilevel"/>
    <w:lvl w:ilvl="0">
      <w:lvlJc w:val="left"/>
      <w:lvlText w:val="-"/>
      <w:numFmt w:val="bullet"/>
      <w:start w:val="1"/>
    </w:lvl>
  </w:abstractNum>
  <w:abstractNum w:abstractNumId="79">
    <w:nsid w:val="754342"/>
    <w:multiLevelType w:val="hybridMultilevel"/>
    <w:lvl w:ilvl="0">
      <w:lvlJc w:val="left"/>
      <w:lvlText w:val="-"/>
      <w:numFmt w:val="bullet"/>
      <w:start w:val="1"/>
    </w:lvl>
  </w:abstractNum>
  <w:abstractNum w:abstractNumId="80">
    <w:nsid w:val="69E7F3E5"/>
    <w:multiLevelType w:val="hybridMultilevel"/>
    <w:lvl w:ilvl="0">
      <w:lvlJc w:val="left"/>
      <w:lvlText w:val="%1)"/>
      <w:numFmt w:val="lowerLetter"/>
      <w:start w:val="2"/>
    </w:lvl>
  </w:abstractNum>
  <w:abstractNum w:abstractNumId="81">
    <w:nsid w:val="2A6DE806"/>
    <w:multiLevelType w:val="hybridMultilevel"/>
    <w:lvl w:ilvl="0">
      <w:lvlJc w:val="left"/>
      <w:lvlText w:val="%1"/>
      <w:numFmt w:val="lowerLetter"/>
      <w:start w:val="1"/>
    </w:lvl>
    <w:lvl w:ilvl="1">
      <w:lvlJc w:val="left"/>
      <w:lvlText w:val="(%2)"/>
      <w:numFmt w:val="lowerRoman"/>
      <w:start w:val="1"/>
    </w:lvl>
  </w:abstractNum>
  <w:abstractNum w:abstractNumId="82">
    <w:nsid w:val="1816F8C4"/>
    <w:multiLevelType w:val="hybridMultilevel"/>
    <w:lvl w:ilvl="0">
      <w:lvlJc w:val="left"/>
      <w:lvlText w:val="%1)"/>
      <w:numFmt w:val="lowerLetter"/>
      <w:start w:val="3"/>
    </w:lvl>
    <w:lvl w:ilvl="1">
      <w:lvlJc w:val="left"/>
      <w:lvlText w:val="%2"/>
      <w:numFmt w:val="lowerRoman"/>
      <w:start w:val="1"/>
    </w:lvl>
  </w:abstractNum>
  <w:abstractNum w:abstractNumId="83">
    <w:nsid w:val="37DF2233"/>
    <w:multiLevelType w:val="hybridMultilevel"/>
    <w:lvl w:ilvl="0">
      <w:lvlJc w:val="left"/>
      <w:lvlText w:val="5"/>
      <w:numFmt w:val="bullet"/>
      <w:start w:val="1"/>
    </w:lvl>
    <w:lvl w:ilvl="1">
      <w:lvlJc w:val="left"/>
      <w:lvlText w:val="%2)"/>
      <w:numFmt w:val="lowerLetter"/>
      <w:start w:val="1"/>
    </w:lvl>
  </w:abstractNum>
  <w:abstractNum w:abstractNumId="84">
    <w:nsid w:val="7AB49DAF"/>
    <w:multiLevelType w:val="hybridMultilevel"/>
    <w:lvl w:ilvl="0">
      <w:lvlJc w:val="left"/>
      <w:lvlText w:val="(%1)"/>
      <w:numFmt w:val="lowerRoman"/>
      <w:start w:val="1"/>
    </w:lvl>
  </w:abstractNum>
  <w:abstractNum w:abstractNumId="85">
    <w:nsid w:val="759F82CD"/>
    <w:multiLevelType w:val="hybridMultilevel"/>
    <w:lvl w:ilvl="0">
      <w:lvlJc w:val="left"/>
      <w:lvlText w:val="(%1)"/>
      <w:numFmt w:val="lowerRoman"/>
      <w:start w:val="2"/>
    </w:lvl>
  </w:abstractNum>
  <w:abstractNum w:abstractNumId="86">
    <w:nsid w:val="61E74EA3"/>
    <w:multiLevelType w:val="hybridMultilevel"/>
    <w:lvl w:ilvl="0">
      <w:lvlJc w:val="left"/>
      <w:lvlText w:val="%1)"/>
      <w:numFmt w:val="lowerLetter"/>
      <w:start w:val="2"/>
    </w:lvl>
  </w:abstractNum>
  <w:abstractNum w:abstractNumId="87">
    <w:nsid w:val="597B4D84"/>
    <w:multiLevelType w:val="hybridMultilevel"/>
    <w:lvl w:ilvl="0">
      <w:lvlJc w:val="left"/>
      <w:lvlText w:val="%1)"/>
      <w:numFmt w:val="lowerLetter"/>
      <w:start w:val="3"/>
    </w:lvl>
  </w:abstractNum>
  <w:abstractNum w:abstractNumId="88">
    <w:nsid w:val="F819E7F"/>
    <w:multiLevelType w:val="hybridMultilevel"/>
    <w:lvl w:ilvl="0">
      <w:lvlJc w:val="left"/>
      <w:lvlText w:val="(*)"/>
      <w:numFmt w:val="bullet"/>
      <w:start w:val="1"/>
    </w:lvl>
  </w:abstractNum>
  <w:abstractNum w:abstractNumId="89">
    <w:nsid w:val="57C7D42D"/>
    <w:multiLevelType w:val="hybridMultilevel"/>
    <w:lvl w:ilvl="0">
      <w:lvlJc w:val="left"/>
      <w:lvlText w:val="(%1)"/>
      <w:numFmt w:val="lowerRoman"/>
      <w:start w:val="1"/>
    </w:lvl>
  </w:abstractNum>
  <w:abstractNum w:abstractNumId="90">
    <w:nsid w:val="312167AD"/>
    <w:multiLevelType w:val="hybridMultilevel"/>
    <w:lvl w:ilvl="0">
      <w:lvlJc w:val="left"/>
      <w:lvlText w:val="6"/>
      <w:numFmt w:val="bullet"/>
      <w:start w:val="1"/>
    </w:lvl>
    <w:lvl w:ilvl="1">
      <w:lvlJc w:val="left"/>
      <w:lvlText w:val="%2)"/>
      <w:numFmt w:val="lowerLetter"/>
      <w:start w:val="1"/>
    </w:lvl>
  </w:abstractNum>
  <w:abstractNum w:abstractNumId="91">
    <w:nsid w:val="631B64D4"/>
    <w:multiLevelType w:val="hybridMultilevel"/>
    <w:lvl w:ilvl="0">
      <w:lvlJc w:val="left"/>
      <w:lvlText w:val="(%1)"/>
      <w:numFmt w:val="lowerRoman"/>
      <w:start w:val="2"/>
    </w:lvl>
  </w:abstractNum>
  <w:abstractNum w:abstractNumId="92">
    <w:nsid w:val="78B5E776"/>
    <w:multiLevelType w:val="hybridMultilevel"/>
    <w:lvl w:ilvl="0">
      <w:lvlJc w:val="left"/>
      <w:lvlText w:val="(%1)"/>
      <w:numFmt w:val="lowerRoman"/>
      <w:start w:val="4"/>
    </w:lvl>
  </w:abstractNum>
  <w:abstractNum w:abstractNumId="93">
    <w:nsid w:val="75486E47"/>
    <w:multiLevelType w:val="hybridMultilevel"/>
    <w:lvl w:ilvl="0">
      <w:lvlJc w:val="left"/>
      <w:lvlText w:val="(%1)"/>
      <w:numFmt w:val="lowerRoman"/>
      <w:start w:val="1"/>
    </w:lvl>
  </w:abstractNum>
  <w:abstractNum w:abstractNumId="94">
    <w:nsid w:val="6E534CDE"/>
    <w:multiLevelType w:val="hybridMultilevel"/>
    <w:lvl w:ilvl="0">
      <w:lvlJc w:val="left"/>
      <w:lvlText w:val="(%1)"/>
      <w:numFmt w:val="lowerRoman"/>
      <w:start w:val="5"/>
    </w:lvl>
  </w:abstractNum>
  <w:abstractNum w:abstractNumId="95">
    <w:nsid w:val="1A0DDE32"/>
    <w:multiLevelType w:val="hybridMultilevel"/>
    <w:lvl w:ilvl="0">
      <w:lvlJc w:val="left"/>
      <w:lvlText w:val="(%1)"/>
      <w:numFmt w:val="lowerRoman"/>
      <w:start w:val="1"/>
    </w:lvl>
  </w:abstractNum>
  <w:abstractNum w:abstractNumId="96">
    <w:nsid w:val="65968C1C"/>
    <w:multiLevelType w:val="hybridMultilevel"/>
    <w:lvl w:ilvl="0">
      <w:lvlJc w:val="left"/>
      <w:lvlText w:val="(%1)"/>
      <w:numFmt w:val="lowerRoman"/>
      <w:start w:val="2"/>
    </w:lvl>
  </w:abstractNum>
  <w:abstractNum w:abstractNumId="97">
    <w:nsid w:val="46263DEC"/>
    <w:multiLevelType w:val="hybridMultilevel"/>
    <w:lvl w:ilvl="0">
      <w:lvlJc w:val="left"/>
      <w:lvlText w:val="(%1)"/>
      <w:numFmt w:val="lowerLetter"/>
      <w:start w:val="3"/>
    </w:lvl>
  </w:abstractNum>
  <w:abstractNum w:abstractNumId="98">
    <w:nsid w:val="260D8C4A"/>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abstractNum>
  <w:abstractNum w:abstractNumId="99">
    <w:nsid w:val="73D4D3C4"/>
    <w:multiLevelType w:val="hybridMultilevel"/>
    <w:lvl w:ilvl="0">
      <w:lvlJc w:val="left"/>
      <w:lvlText w:val="(%1)"/>
      <w:numFmt w:val="lowerRoman"/>
      <w:start w:val="1"/>
    </w:lvl>
  </w:abstractNum>
  <w:abstractNum w:abstractNumId="100">
    <w:nsid w:val="746F2E30"/>
    <w:multiLevelType w:val="hybridMultilevel"/>
    <w:lvl w:ilvl="0">
      <w:lvlJc w:val="left"/>
      <w:lvlText w:val="(%1)"/>
      <w:numFmt w:val="lowerRoman"/>
      <w:start w:val="1"/>
    </w:lvl>
  </w:abstractNum>
  <w:abstractNum w:abstractNumId="101">
    <w:nsid w:val="6FDE8AF6"/>
    <w:multiLevelType w:val="hybridMultilevel"/>
    <w:lvl w:ilvl="0">
      <w:lvlJc w:val="left"/>
      <w:lvlText w:val="%1)"/>
      <w:numFmt w:val="lowerLetter"/>
      <w:start w:val="4"/>
    </w:lvl>
  </w:abstractNum>
  <w:abstractNum w:abstractNumId="102">
    <w:nsid w:val="3FC32E20"/>
    <w:multiLevelType w:val="hybridMultilevel"/>
    <w:lvl w:ilvl="0">
      <w:lvlJc w:val="left"/>
      <w:lvlText w:val="8"/>
      <w:numFmt w:val="bullet"/>
      <w:start w:val="1"/>
    </w:lvl>
  </w:abstractNum>
  <w:abstractNum w:abstractNumId="103">
    <w:nsid w:val="49C0E823"/>
    <w:multiLevelType w:val="hybridMultilevel"/>
    <w:lvl w:ilvl="0">
      <w:lvlJc w:val="left"/>
      <w:lvlText w:val="9"/>
      <w:numFmt w:val="bullet"/>
      <w:start w:val="1"/>
    </w:lvl>
  </w:abstractNum>
  <w:abstractNum w:abstractNumId="104">
    <w:nsid w:val="14D53685"/>
    <w:multiLevelType w:val="hybridMultilevel"/>
    <w:lvl w:ilvl="0">
      <w:lvlJc w:val="left"/>
      <w:lvlText w:val="%1)"/>
      <w:numFmt w:val="lowerLetter"/>
      <w:start w:val="1"/>
    </w:lvl>
  </w:abstractNum>
  <w:abstractNum w:abstractNumId="105">
    <w:nsid w:val="230F856C"/>
    <w:multiLevelType w:val="hybridMultilevel"/>
    <w:lvl w:ilvl="0">
      <w:lvlJc w:val="left"/>
      <w:lvlText w:val="%1"/>
      <w:numFmt w:val="decimal"/>
      <w:start w:val="10"/>
    </w:lvl>
    <w:lvl w:ilvl="1">
      <w:lvlJc w:val="left"/>
      <w:lvlText w:val="%2)"/>
      <w:numFmt w:val="lowerLetter"/>
      <w:start w:val="1"/>
    </w:lvl>
  </w:abstractNum>
  <w:abstractNum w:abstractNumId="106">
    <w:nsid w:val="6EAA85FB"/>
    <w:multiLevelType w:val="hybridMultilevel"/>
    <w:lvl w:ilvl="0">
      <w:lvlJc w:val="left"/>
      <w:lvlText w:val="%1)"/>
      <w:numFmt w:val="lowerLetter"/>
      <w:start w:val="2"/>
    </w:lvl>
  </w:abstractNum>
  <w:abstractNum w:abstractNumId="107">
    <w:nsid w:val="3F06ECB2"/>
    <w:multiLevelType w:val="hybridMultilevel"/>
    <w:lvl w:ilvl="0">
      <w:lvlJc w:val="left"/>
      <w:lvlText w:val="(*)"/>
      <w:numFmt w:val="bullet"/>
      <w:start w:val="1"/>
    </w:lvl>
  </w:abstractNum>
  <w:abstractNum w:abstractNumId="108">
    <w:nsid w:val="3B594807"/>
    <w:multiLevelType w:val="hybridMultilevel"/>
    <w:lvl w:ilvl="0">
      <w:lvlJc w:val="left"/>
      <w:lvlText w:val="%1"/>
      <w:numFmt w:val="decimal"/>
      <w:start w:val="11"/>
    </w:lvl>
    <w:lvl w:ilvl="1">
      <w:lvlJc w:val="left"/>
      <w:lvlText w:val="%2)"/>
      <w:numFmt w:val="lowerLetter"/>
      <w:start w:val="1"/>
    </w:lvl>
  </w:abstractNum>
  <w:abstractNum w:abstractNumId="109">
    <w:nsid w:val="6CAA2304"/>
    <w:multiLevelType w:val="hybridMultilevel"/>
    <w:lvl w:ilvl="0">
      <w:lvlJc w:val="left"/>
      <w:lvlText w:val="%1)"/>
      <w:numFmt w:val="lowerLetter"/>
      <w:start w:val="2"/>
    </w:lvl>
  </w:abstractNum>
  <w:abstractNum w:abstractNumId="110">
    <w:nsid w:val="3F7C2FF4"/>
    <w:multiLevelType w:val="hybridMultilevel"/>
    <w:lvl w:ilvl="0">
      <w:lvlJc w:val="left"/>
      <w:lvlText w:val="%1)"/>
      <w:numFmt w:val="lowerLetter"/>
      <w:start w:val="2"/>
    </w:lvl>
  </w:abstractNum>
  <w:abstractNum w:abstractNumId="111">
    <w:nsid w:val="25413BEC"/>
    <w:multiLevelType w:val="hybridMultilevel"/>
    <w:lvl w:ilvl="0">
      <w:lvlJc w:val="left"/>
      <w:lvlText w:val="%1)"/>
      <w:numFmt w:val="lowerLetter"/>
      <w:start w:val="3"/>
    </w:lvl>
  </w:abstractNum>
  <w:abstractNum w:abstractNumId="112">
    <w:nsid w:val="17180B0B"/>
    <w:multiLevelType w:val="hybridMultilevel"/>
    <w:lvl w:ilvl="0">
      <w:lvlJc w:val="left"/>
      <w:lvlText w:val="(*)"/>
      <w:numFmt w:val="bullet"/>
      <w:start w:val="1"/>
    </w:lvl>
  </w:abstractNum>
  <w:abstractNum w:abstractNumId="113">
    <w:nsid w:val="579328B9"/>
    <w:multiLevelType w:val="hybridMultilevel"/>
    <w:lvl w:ilvl="0">
      <w:lvlJc w:val="left"/>
      <w:lvlText w:val="(%1)"/>
      <w:numFmt w:val="lowerRoman"/>
      <w:start w:val="1"/>
    </w:lvl>
  </w:abstractNum>
  <w:abstractNum w:abstractNumId="114">
    <w:nsid w:val="5D205E20"/>
    <w:multiLevelType w:val="hybridMultilevel"/>
    <w:lvl w:ilvl="0">
      <w:lvlJc w:val="left"/>
      <w:lvlText w:val="(%1)"/>
      <w:numFmt w:val="lowerRoman"/>
      <w:start w:val="2"/>
    </w:lvl>
  </w:abstractNum>
  <w:abstractNum w:abstractNumId="115">
    <w:nsid w:val="11CCA8BA"/>
    <w:multiLevelType w:val="hybridMultilevel"/>
    <w:lvl w:ilvl="0">
      <w:lvlJc w:val="left"/>
      <w:lvlText w:val="%1)"/>
      <w:numFmt w:val="lowerLetter"/>
      <w:start w:val="4"/>
    </w:lvl>
  </w:abstractNum>
  <w:abstractNum w:abstractNumId="116">
    <w:nsid w:val="4D32AB86"/>
    <w:multiLevelType w:val="hybridMultilevel"/>
    <w:lvl w:ilvl="0">
      <w:lvlJc w:val="left"/>
      <w:lvlText w:val="(%1)"/>
      <w:numFmt w:val="lowerRoman"/>
      <w:start w:val="1"/>
    </w:lvl>
  </w:abstractNum>
  <w:abstractNum w:abstractNumId="117">
    <w:nsid w:val="3F07ACC3"/>
    <w:multiLevelType w:val="hybridMultilevel"/>
    <w:lvl w:ilvl="0">
      <w:lvlJc w:val="left"/>
      <w:lvlText w:val="%1)"/>
      <w:numFmt w:val="lowerRoman"/>
      <w:start w:val="1"/>
    </w:lvl>
  </w:abstractNum>
  <w:abstractNum w:abstractNumId="118">
    <w:nsid w:val="6B47F63E"/>
    <w:multiLevelType w:val="hybridMultilevel"/>
    <w:lvl w:ilvl="0">
      <w:lvlJc w:val="left"/>
      <w:lvlText w:val="%1"/>
      <w:numFmt w:val="decimal"/>
      <w:start w:val="13"/>
    </w:lvl>
    <w:lvl w:ilvl="1">
      <w:lvlJc w:val="left"/>
      <w:lvlText w:val="%2)"/>
      <w:numFmt w:val="lowerLetter"/>
      <w:start w:val="1"/>
    </w:lvl>
  </w:abstractNum>
  <w:abstractNum w:abstractNumId="119">
    <w:nsid w:val="5CB44A05"/>
    <w:multiLevelType w:val="hybridMultilevel"/>
    <w:lvl w:ilvl="0">
      <w:lvlJc w:val="left"/>
      <w:lvlText w:val="%1)"/>
      <w:numFmt w:val="lowerLetter"/>
      <w:start w:val="2"/>
    </w:lvl>
  </w:abstractNum>
  <w:abstractNum w:abstractNumId="120">
    <w:nsid w:val="16CF80F1"/>
    <w:multiLevelType w:val="hybridMultilevel"/>
    <w:lvl w:ilvl="0">
      <w:lvlJc w:val="left"/>
      <w:lvlText w:val="%1)"/>
      <w:numFmt w:val="lowerLetter"/>
      <w:start w:val="3"/>
    </w:lvl>
  </w:abstractNum>
  <w:abstractNum w:abstractNumId="121">
    <w:nsid w:val="1C695DEC"/>
    <w:multiLevelType w:val="hybridMultilevel"/>
    <w:lvl w:ilvl="0">
      <w:lvlJc w:val="left"/>
      <w:lvlText w:val="%1"/>
      <w:numFmt w:val="decimal"/>
      <w:start w:val="14"/>
    </w:lvl>
    <w:lvl w:ilvl="1">
      <w:lvlJc w:val="left"/>
      <w:lvlText w:val="%2)"/>
      <w:numFmt w:val="lowerLetter"/>
      <w:start w:val="1"/>
    </w:lvl>
  </w:abstractNum>
  <w:abstractNum w:abstractNumId="122">
    <w:nsid w:val="3FCFAED9"/>
    <w:multiLevelType w:val="hybridMultilevel"/>
    <w:lvl w:ilvl="0">
      <w:lvlJc w:val="left"/>
      <w:lvlText w:val="(%1)"/>
      <w:numFmt w:val="lowerRoman"/>
      <w:start w:val="1"/>
    </w:lvl>
  </w:abstractNum>
  <w:abstractNum w:abstractNumId="123">
    <w:nsid w:val="F856867"/>
    <w:multiLevelType w:val="hybridMultilevel"/>
    <w:lvl w:ilvl="0">
      <w:lvlJc w:val="left"/>
      <w:lvlText w:val="(%1)"/>
      <w:numFmt w:val="lowerRoman"/>
      <w:start w:val="2"/>
    </w:lvl>
  </w:abstractNum>
  <w:abstractNum w:abstractNumId="124">
    <w:nsid w:val="11B1CC33"/>
    <w:multiLevelType w:val="hybridMultilevel"/>
    <w:lvl w:ilvl="0">
      <w:lvlJc w:val="left"/>
      <w:lvlText w:val="%1)"/>
      <w:numFmt w:val="lowerLetter"/>
      <w:start w:val="3"/>
    </w:lvl>
  </w:abstractNum>
  <w:abstractNum w:abstractNumId="125">
    <w:nsid w:val="2E22FBB7"/>
    <w:multiLevelType w:val="hybridMultilevel"/>
    <w:lvl w:ilvl="0">
      <w:lvlJc w:val="left"/>
      <w:lvlText w:val="%1)"/>
      <w:numFmt w:val="lowerLetter"/>
      <w:start w:val="5"/>
    </w:lvl>
  </w:abstractNum>
  <w:abstractNum w:abstractNumId="126">
    <w:nsid w:val="29934699"/>
    <w:multiLevelType w:val="hybridMultilevel"/>
    <w:lvl w:ilvl="0">
      <w:lvlJc w:val="left"/>
      <w:lvlText w:val="%1"/>
      <w:numFmt w:val="decimal"/>
      <w:start w:val="15"/>
    </w:lvl>
    <w:lvl w:ilvl="1">
      <w:lvlJc w:val="left"/>
      <w:lvlText w:val="%2)"/>
      <w:numFmt w:val="lowerLetter"/>
      <w:start w:val="1"/>
    </w:lvl>
  </w:abstractNum>
  <w:abstractNum w:abstractNumId="127">
    <w:nsid w:val="77485850"/>
    <w:multiLevelType w:val="hybridMultilevel"/>
    <w:lvl w:ilvl="0">
      <w:lvlJc w:val="left"/>
      <w:lvlText w:val="(%1)"/>
      <w:numFmt w:val="lowerRoman"/>
      <w:start w:val="1"/>
    </w:lvl>
  </w:abstractNum>
  <w:abstractNum w:abstractNumId="128">
    <w:nsid w:val="744939A3"/>
    <w:multiLevelType w:val="hybridMultilevel"/>
    <w:lvl w:ilvl="0">
      <w:lvlJc w:val="left"/>
      <w:lvlText w:val="%1"/>
      <w:numFmt w:val="lowerLetter"/>
      <w:start w:val="1"/>
    </w:lvl>
    <w:lvl w:ilvl="1">
      <w:lvlJc w:val="left"/>
      <w:lvlText w:val="(%2)"/>
      <w:numFmt w:val="lowerRoman"/>
      <w:start w:val="6"/>
    </w:lvl>
  </w:abstractNum>
  <w:abstractNum w:abstractNumId="129">
    <w:nsid w:val="4FA0D2E3"/>
    <w:multiLevelType w:val="hybridMultilevel"/>
    <w:lvl w:ilvl="0">
      <w:lvlJc w:val="left"/>
      <w:lvlText w:val="%1)"/>
      <w:numFmt w:val="lowerLetter"/>
      <w:start w:val="2"/>
    </w:lvl>
    <w:lvl w:ilvl="1">
      <w:lvlJc w:val="left"/>
      <w:lvlText w:val="%2"/>
      <w:numFmt w:val="lowerRoman"/>
      <w:start w:val="1"/>
    </w:lvl>
  </w:abstractNum>
  <w:abstractNum w:abstractNumId="130">
    <w:nsid w:val="6B1D2C14"/>
    <w:multiLevelType w:val="hybridMultilevel"/>
    <w:lvl w:ilvl="0">
      <w:lvlJc w:val="left"/>
      <w:lvlText w:val="%1"/>
      <w:numFmt w:val="decimal"/>
      <w:start w:val="16"/>
    </w:lvl>
    <w:lvl w:ilvl="1">
      <w:lvlJc w:val="left"/>
      <w:lvlText w:val="%2)"/>
      <w:numFmt w:val="lowerLetter"/>
      <w:start w:val="1"/>
    </w:lvl>
  </w:abstractNum>
  <w:abstractNum w:abstractNumId="131">
    <w:nsid w:val="68B867D3"/>
    <w:multiLevelType w:val="hybridMultilevel"/>
    <w:lvl w:ilvl="0">
      <w:lvlJc w:val="left"/>
      <w:lvlText w:val="(*)"/>
      <w:numFmt w:val="bullet"/>
      <w:start w:val="1"/>
    </w:lvl>
  </w:abstractNum>
  <w:abstractNum w:abstractNumId="132">
    <w:nsid w:val="3F7F5DD9"/>
    <w:multiLevelType w:val="hybridMultilevel"/>
    <w:lvl w:ilvl="0">
      <w:lvlJc w:val="left"/>
      <w:lvlText w:val="%1)"/>
      <w:numFmt w:val="lowerLetter"/>
      <w:start w:val="3"/>
    </w:lvl>
  </w:abstractNum>
  <w:abstractNum w:abstractNumId="133">
    <w:nsid w:val="2AE05A34"/>
    <w:multiLevelType w:val="hybridMultilevel"/>
    <w:lvl w:ilvl="0">
      <w:lvlJc w:val="left"/>
      <w:lvlText w:val="%1)"/>
      <w:numFmt w:val="lowerLetter"/>
      <w:start w:val="5"/>
    </w:lvl>
  </w:abstractNum>
  <w:abstractNum w:abstractNumId="134">
    <w:nsid w:val="32794FF7"/>
    <w:multiLevelType w:val="hybridMultilevel"/>
    <w:lvl w:ilvl="0">
      <w:lvlJc w:val="left"/>
      <w:lvlText w:val="%1)"/>
      <w:numFmt w:val="lowerLetter"/>
      <w:start w:val="6"/>
    </w:lvl>
  </w:abstractNum>
  <w:abstractNum w:abstractNumId="135">
    <w:nsid w:val="5454945E"/>
    <w:multiLevelType w:val="hybridMultilevel"/>
    <w:lvl w:ilvl="0">
      <w:lvlJc w:val="left"/>
      <w:lvlText w:val="%1"/>
      <w:numFmt w:val="decimal"/>
      <w:start w:val="17"/>
    </w:lvl>
    <w:lvl w:ilvl="1">
      <w:lvlJc w:val="left"/>
      <w:lvlText w:val="%2)"/>
      <w:numFmt w:val="lowerLetter"/>
      <w:start w:val="1"/>
    </w:lvl>
  </w:abstractNum>
  <w:abstractNum w:abstractNumId="136">
    <w:nsid w:val="4DEFDFA0"/>
    <w:multiLevelType w:val="hybridMultilevel"/>
    <w:lvl w:ilvl="0">
      <w:lvlJc w:val="left"/>
      <w:lvlText w:val="%1)"/>
      <w:numFmt w:val="lowerLetter"/>
      <w:start w:val="4"/>
    </w:lvl>
  </w:abstractNum>
  <w:abstractNum w:abstractNumId="137">
    <w:nsid w:val="2123D5F2"/>
    <w:multiLevelType w:val="hybridMultilevel"/>
    <w:lvl w:ilvl="0">
      <w:lvlJc w:val="left"/>
      <w:lvlText w:val="%1)"/>
      <w:numFmt w:val="lowerLetter"/>
      <w:start w:val="5"/>
    </w:lvl>
    <w:lvl w:ilvl="1">
      <w:lvlJc w:val="left"/>
      <w:lvlText w:val="%2)"/>
      <w:numFmt w:val="lowerRoman"/>
      <w:start w:val="1"/>
    </w:lvl>
  </w:abstractNum>
  <w:abstractNum w:abstractNumId="138">
    <w:nsid w:val="135B8110"/>
    <w:multiLevelType w:val="hybridMultilevel"/>
    <w:lvl w:ilvl="0">
      <w:lvlJc w:val="left"/>
      <w:lvlText w:val="%1)"/>
      <w:numFmt w:val="lowerLetter"/>
      <w:start w:val="2"/>
    </w:lvl>
  </w:abstractNum>
  <w:abstractNum w:abstractNumId="139">
    <w:nsid w:val="94927A8"/>
    <w:multiLevelType w:val="hybridMultilevel"/>
    <w:lvl w:ilvl="0">
      <w:lvlJc w:val="left"/>
      <w:lvlText w:val="%1)"/>
      <w:numFmt w:val="lowerLetter"/>
      <w:start w:val="6"/>
    </w:lvl>
  </w:abstractNum>
  <w:abstractNum w:abstractNumId="140">
    <w:nsid w:val="DCDF8F6"/>
    <w:multiLevelType w:val="hybridMultilevel"/>
    <w:lvl w:ilvl="0">
      <w:lvlJc w:val="left"/>
      <w:lvlText w:val="(%1)"/>
      <w:numFmt w:val="lowerRoman"/>
      <w:start w:val="1"/>
    </w:lvl>
    <w:lvl w:ilvl="1">
      <w:lvlJc w:val="left"/>
      <w:lvlText w:val="(*)"/>
      <w:numFmt w:val="bullet"/>
      <w:start w:val="1"/>
    </w:lvl>
  </w:abstractNum>
  <w:abstractNum w:abstractNumId="141">
    <w:nsid w:val="52D7B105"/>
    <w:multiLevelType w:val="hybridMultilevel"/>
    <w:lvl w:ilvl="0">
      <w:lvlJc w:val="left"/>
      <w:lvlText w:val="(**)"/>
      <w:numFmt w:val="bullet"/>
      <w:start w:val="1"/>
    </w:lvl>
    <w:lvl w:ilvl="1">
      <w:lvlJc w:val="left"/>
      <w:lvlText w:val="(*)"/>
      <w:numFmt w:val="bullet"/>
      <w:start w:val="1"/>
    </w:lvl>
  </w:abstractNum>
  <w:abstractNum w:abstractNumId="142">
    <w:nsid w:val="2E8A6394"/>
    <w:multiLevelType w:val="hybridMultilevel"/>
    <w:lvl w:ilvl="0">
      <w:lvlJc w:val="left"/>
      <w:lvlText w:val="%1"/>
      <w:numFmt w:val="decimal"/>
      <w:start w:val="23"/>
    </w:lvl>
  </w:abstractNum>
  <w:abstractNum w:abstractNumId="143">
    <w:nsid w:val="24E60401"/>
    <w:multiLevelType w:val="hybridMultilevel"/>
    <w:lvl w:ilvl="0">
      <w:lvlJc w:val="left"/>
      <w:lvlText w:val="%1"/>
      <w:numFmt w:val="decimal"/>
      <w:start w:val="26"/>
    </w:lvl>
  </w:abstractNum>
  <w:abstractNum w:abstractNumId="144">
    <w:nsid w:val="2A6AD9BE"/>
    <w:multiLevelType w:val="hybridMultilevel"/>
    <w:lvl w:ilvl="0">
      <w:lvlJc w:val="left"/>
      <w:lvlText w:val="%1"/>
      <w:numFmt w:val="decimal"/>
      <w:start w:val="27"/>
    </w:lvl>
    <w:lvl w:ilvl="1">
      <w:lvlJc w:val="left"/>
      <w:lvlText w:val="%2)"/>
      <w:numFmt w:val="lowerLetter"/>
      <w:start w:val="1"/>
    </w:lvl>
    <w:lvl w:ilvl="2">
      <w:lvlJc w:val="left"/>
      <w:lvlText w:val="-"/>
      <w:numFmt w:val="bullet"/>
      <w:start w:val="1"/>
    </w:lvl>
  </w:abstractNum>
  <w:abstractNum w:abstractNumId="145">
    <w:nsid w:val="BAAC1B4"/>
    <w:multiLevelType w:val="hybridMultilevel"/>
    <w:lvl w:ilvl="0">
      <w:lvlJc w:val="left"/>
      <w:lvlText w:val="-"/>
      <w:numFmt w:val="bullet"/>
      <w:start w:val="1"/>
    </w:lvl>
  </w:abstractNum>
  <w:abstractNum w:abstractNumId="146">
    <w:nsid w:val="36B2ACBC"/>
    <w:multiLevelType w:val="hybridMultilevel"/>
    <w:lvl w:ilvl="0">
      <w:lvlJc w:val="left"/>
      <w:lvlText w:val="(%1)"/>
      <w:numFmt w:val="lowerRoman"/>
      <w:start w:val="1"/>
    </w:lvl>
  </w:abstractNum>
  <w:abstractNum w:abstractNumId="147">
    <w:nsid w:val="779D8544"/>
    <w:multiLevelType w:val="hybridMultilevel"/>
    <w:lvl w:ilvl="0">
      <w:lvlJc w:val="left"/>
      <w:lvlText w:val="(*)"/>
      <w:numFmt w:val="bullet"/>
      <w:start w:val="1"/>
    </w:lvl>
  </w:abstractNum>
  <w:abstractNum w:abstractNumId="148">
    <w:nsid w:val="4AB26E78"/>
    <w:multiLevelType w:val="hybridMultilevel"/>
    <w:lvl w:ilvl="0">
      <w:lvlJc w:val="left"/>
      <w:lvlText w:val="(**)"/>
      <w:numFmt w:val="bullet"/>
      <w:start w:val="1"/>
    </w:lvl>
  </w:abstractNum>
  <w:abstractNum w:abstractNumId="149">
    <w:nsid w:val="21FAA2FA"/>
    <w:multiLevelType w:val="hybridMultilevel"/>
    <w:lvl w:ilvl="0">
      <w:lvlJc w:val="left"/>
      <w:lvlText w:val="(***)"/>
      <w:numFmt w:val="bullet"/>
      <w:start w:val="1"/>
    </w:lvl>
  </w:abstractNum>
  <w:abstractNum w:abstractNumId="150">
    <w:nsid w:val="5451CF49"/>
    <w:multiLevelType w:val="hybridMultilevel"/>
    <w:lvl w:ilvl="0">
      <w:lvlJc w:val="left"/>
      <w:lvlText w:val="(*)"/>
      <w:numFmt w:val="bullet"/>
      <w:start w:val="1"/>
    </w:lvl>
  </w:abstractNum>
  <w:abstractNum w:abstractNumId="151">
    <w:nsid w:val="6181EF69"/>
    <w:multiLevelType w:val="hybridMultilevel"/>
    <w:lvl w:ilvl="0">
      <w:lvlJc w:val="left"/>
      <w:lvlText w:val="(**)"/>
      <w:numFmt w:val="bullet"/>
      <w:start w:val="1"/>
    </w:lvl>
  </w:abstractNum>
  <w:abstractNum w:abstractNumId="152">
    <w:nsid w:val="3E6400E6"/>
    <w:multiLevelType w:val="hybridMultilevel"/>
    <w:lvl w:ilvl="0">
      <w:lvlJc w:val="left"/>
      <w:lvlText w:val="(***)"/>
      <w:numFmt w:val="bullet"/>
      <w:start w:val="1"/>
    </w:lvl>
  </w:abstractNum>
  <w:abstractNum w:abstractNumId="153">
    <w:nsid w:val="14217E23"/>
    <w:multiLevelType w:val="hybridMultilevel"/>
    <w:lvl w:ilvl="0">
      <w:lvlJc w:val="left"/>
      <w:lvlText w:val="(*)"/>
      <w:numFmt w:val="bullet"/>
      <w:start w:val="1"/>
    </w:lvl>
  </w:abstractNum>
  <w:abstractNum w:abstractNumId="154">
    <w:nsid w:val="710757D0"/>
    <w:multiLevelType w:val="hybridMultilevel"/>
    <w:lvl w:ilvl="0">
      <w:lvlJc w:val="left"/>
      <w:lvlText w:val="(%1)"/>
      <w:numFmt w:val="lowerRoman"/>
      <w:start w:val="1"/>
    </w:lvl>
    <w:lvl w:ilvl="1">
      <w:lvlJc w:val="left"/>
      <w:lvlText w:val="(**)"/>
      <w:numFmt w:val="bullet"/>
      <w:start w:val="1"/>
    </w:lvl>
  </w:abstractNum>
  <w:abstractNum w:abstractNumId="155">
    <w:nsid w:val="5015CD1A"/>
    <w:multiLevelType w:val="hybridMultilevel"/>
    <w:lvl w:ilvl="0">
      <w:lvlJc w:val="left"/>
      <w:lvlText w:val="(*)"/>
      <w:numFmt w:val="bullet"/>
      <w:start w:val="1"/>
    </w:lvl>
  </w:abstractNum>
  <w:abstractNum w:abstractNumId="156">
    <w:nsid w:val="424479DA"/>
    <w:multiLevelType w:val="hybridMultilevel"/>
    <w:lvl w:ilvl="0">
      <w:lvlJc w:val="left"/>
      <w:lvlText w:val="(**)"/>
      <w:numFmt w:val="bullet"/>
      <w:start w:val="1"/>
    </w:lvl>
  </w:abstractNum>
  <w:abstractNum w:abstractNumId="157">
    <w:nsid w:val="1A9A9E69"/>
    <w:multiLevelType w:val="hybridMultilevel"/>
    <w:lvl w:ilvl="0">
      <w:lvlJc w:val="left"/>
      <w:lvlText w:val="(***)"/>
      <w:numFmt w:val="bullet"/>
      <w:start w:val="1"/>
    </w:lvl>
  </w:abstractNum>
  <w:abstractNum w:abstractNumId="158">
    <w:nsid w:val="475E256A"/>
    <w:multiLevelType w:val="hybridMultilevel"/>
    <w:lvl w:ilvl="0">
      <w:lvlJc w:val="left"/>
      <w:lvlText w:val="%1"/>
      <w:numFmt w:val="decimal"/>
      <w:start w:val="28"/>
    </w:lvl>
    <w:lvl w:ilvl="1">
      <w:lvlJc w:val="left"/>
      <w:lvlText w:val="%2)"/>
      <w:numFmt w:val="lowerLetter"/>
      <w:start w:val="1"/>
    </w:lvl>
  </w:abstractNum>
  <w:abstractNum w:abstractNumId="159">
    <w:nsid w:val="368DB37E"/>
    <w:multiLevelType w:val="hybridMultilevel"/>
    <w:lvl w:ilvl="0">
      <w:lvlJc w:val="left"/>
      <w:lvlText w:val="(%1)"/>
      <w:numFmt w:val="lowerRoman"/>
      <w:start w:val="1"/>
    </w:lvl>
  </w:abstractNum>
  <w:abstractNum w:abstractNumId="160">
    <w:nsid w:val="6A3B714C"/>
    <w:multiLevelType w:val="hybridMultilevel"/>
    <w:lvl w:ilvl="0">
      <w:lvlJc w:val="left"/>
      <w:lvlText w:val="%1)"/>
      <w:numFmt w:val="lowerLetter"/>
      <w:start w:val="3"/>
    </w:lvl>
  </w:abstractNum>
  <w:abstractNum w:abstractNumId="161">
    <w:nsid w:val="327B517E"/>
    <w:multiLevelType w:val="hybridMultilevel"/>
    <w:lvl w:ilvl="0">
      <w:lvlJc w:val="left"/>
      <w:lvlText w:val="%1)"/>
      <w:numFmt w:val="lowerLetter"/>
      <w:start w:val="6"/>
    </w:lvl>
  </w:abstractNum>
  <w:abstractNum w:abstractNumId="162">
    <w:nsid w:val="1F461B51"/>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163">
    <w:nsid w:val="29BACF25"/>
    <w:multiLevelType w:val="hybridMultilevel"/>
    <w:lvl w:ilvl="0">
      <w:lvlJc w:val="left"/>
      <w:lvlText w:val="(%1)"/>
      <w:numFmt w:val="lowerRoman"/>
      <w:start w:val="3"/>
    </w:lvl>
  </w:abstractNum>
  <w:abstractNum w:abstractNumId="164">
    <w:nsid w:val="5D5BABB3"/>
    <w:multiLevelType w:val="hybridMultilevel"/>
    <w:lvl w:ilvl="0">
      <w:lvlJc w:val="left"/>
      <w:lvlText w:val="(%1)"/>
      <w:numFmt w:val="lowerRoman"/>
      <w:start w:val="4"/>
    </w:lvl>
  </w:abstractNum>
  <w:abstractNum w:abstractNumId="165">
    <w:nsid w:val="51BF6B48"/>
    <w:multiLevelType w:val="hybridMultilevel"/>
    <w:lvl w:ilvl="0">
      <w:lvlJc w:val="left"/>
      <w:lvlText w:val="%1"/>
      <w:numFmt w:val="lowerLetter"/>
      <w:start w:val="1"/>
    </w:lvl>
    <w:lvl w:ilvl="1">
      <w:lvlJc w:val="left"/>
      <w:lvlText w:val="(%2)"/>
      <w:numFmt w:val="lowerRoman"/>
      <w:start w:val="6"/>
    </w:lvl>
  </w:abstractNum>
  <w:abstractNum w:abstractNumId="166">
    <w:nsid w:val="7E0F6384"/>
    <w:multiLevelType w:val="hybridMultilevel"/>
    <w:lvl w:ilvl="0">
      <w:lvlJc w:val="left"/>
      <w:lvlText w:val="%1)"/>
      <w:numFmt w:val="lowerLetter"/>
      <w:start w:val="2"/>
    </w:lvl>
    <w:lvl w:ilvl="1">
      <w:lvlJc w:val="left"/>
      <w:lvlText w:val="%2"/>
      <w:numFmt w:val="lowerRoman"/>
      <w:start w:val="1"/>
    </w:lvl>
  </w:abstractNum>
  <w:abstractNum w:abstractNumId="167">
    <w:nsid w:val="2B4B8B53"/>
    <w:multiLevelType w:val="hybridMultilevel"/>
    <w:lvl w:ilvl="0">
      <w:lvlJc w:val="left"/>
      <w:lvlText w:val="-"/>
      <w:numFmt w:val="bullet"/>
      <w:start w:val="1"/>
    </w:lvl>
  </w:abstractNum>
  <w:abstractNum w:abstractNumId="168">
    <w:nsid w:val="72E3413A"/>
    <w:multiLevelType w:val="hybridMultilevel"/>
    <w:lvl w:ilvl="0">
      <w:lvlJc w:val="left"/>
      <w:lvlText w:val="%1)"/>
      <w:numFmt w:val="lowerLetter"/>
      <w:start w:val="5"/>
    </w:lvl>
  </w:abstractNum>
  <w:abstractNum w:abstractNumId="169">
    <w:nsid w:val="116AE49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0">
    <w:nsid w:val="3494B2FB"/>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71">
    <w:nsid w:val="B13A31"/>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2">
    <w:nsid w:val="64429599"/>
    <w:multiLevelType w:val="hybridMultilevel"/>
    <w:lvl w:ilvl="0">
      <w:lvlJc w:val="left"/>
      <w:lvlText w:val="-"/>
      <w:numFmt w:val="bullet"/>
      <w:start w:val="1"/>
    </w:lvl>
    <w:lvl w:ilvl="1">
      <w:lvlJc w:val="left"/>
      <w:lvlText w:val="-"/>
      <w:numFmt w:val="bullet"/>
      <w:start w:val="1"/>
    </w:lvl>
  </w:abstractNum>
  <w:abstractNum w:abstractNumId="173">
    <w:nsid w:val="631F1690"/>
    <w:multiLevelType w:val="hybridMultilevel"/>
    <w:lvl w:ilvl="0">
      <w:lvlJc w:val="left"/>
      <w:lvlText w:val="-"/>
      <w:numFmt w:val="bullet"/>
      <w:start w:val="1"/>
    </w:lvl>
  </w:abstractNum>
  <w:abstractNum w:abstractNumId="174">
    <w:nsid w:val="25973E3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5">
    <w:nsid w:val="EAD6F57"/>
    <w:multiLevelType w:val="hybridMultilevel"/>
    <w:lvl w:ilvl="0">
      <w:lvlJc w:val="left"/>
      <w:lvlText w:val="-"/>
      <w:numFmt w:val="bullet"/>
      <w:start w:val="1"/>
    </w:lvl>
  </w:abstractNum>
  <w:abstractNum w:abstractNumId="176">
    <w:nsid w:val="6EC9D844"/>
    <w:multiLevelType w:val="hybridMultilevel"/>
    <w:lvl w:ilvl="0">
      <w:lvlJc w:val="left"/>
      <w:lvlText w:val="-"/>
      <w:numFmt w:val="bullet"/>
      <w:start w:val="1"/>
    </w:lvl>
  </w:abstractNum>
  <w:abstractNum w:abstractNumId="177">
    <w:nsid w:val="5C49EAEE"/>
    <w:multiLevelType w:val="hybridMultilevel"/>
    <w:lvl w:ilvl="0">
      <w:lvlJc w:val="left"/>
      <w:lvlText w:val="-"/>
      <w:numFmt w:val="bullet"/>
      <w:start w:val="1"/>
    </w:lvl>
  </w:abstractNum>
  <w:abstractNum w:abstractNumId="178">
    <w:nsid w:val="64AF49B"/>
    <w:multiLevelType w:val="hybridMultilevel"/>
    <w:lvl w:ilvl="0">
      <w:lvlJc w:val="left"/>
      <w:lvlText w:val="(%1)"/>
      <w:numFmt w:val="lowerRoman"/>
      <w:start w:val="1"/>
    </w:lvl>
  </w:abstractNum>
  <w:abstractNum w:abstractNumId="179">
    <w:nsid w:val="397C46BC"/>
    <w:multiLevelType w:val="hybridMultilevel"/>
    <w:lvl w:ilvl="0">
      <w:lvlJc w:val="left"/>
      <w:lvlText w:val="-"/>
      <w:numFmt w:val="bullet"/>
      <w:start w:val="1"/>
    </w:lvl>
  </w:abstractNum>
  <w:abstractNum w:abstractNumId="180">
    <w:nsid w:val="7E448DE9"/>
    <w:multiLevelType w:val="hybridMultilevel"/>
    <w:lvl w:ilvl="0">
      <w:lvlJc w:val="left"/>
      <w:lvlText w:val="(%1)"/>
      <w:numFmt w:val="lowerRoman"/>
      <w:start w:val="1"/>
    </w:lvl>
  </w:abstractNum>
  <w:abstractNum w:abstractNumId="181">
    <w:nsid w:val="5A9CC3E5"/>
    <w:multiLevelType w:val="hybridMultilevel"/>
    <w:lvl w:ilvl="0">
      <w:lvlJc w:val="left"/>
      <w:lvlText w:val="%1)"/>
      <w:numFmt w:val="lowerRoman"/>
      <w:start w:val="1"/>
    </w:lvl>
  </w:abstractNum>
  <w:abstractNum w:abstractNumId="182">
    <w:nsid w:val="1AFE3625"/>
    <w:multiLevelType w:val="hybridMultilevel"/>
    <w:lvl w:ilvl="0">
      <w:lvlJc w:val="left"/>
      <w:lvlText w:val="-"/>
      <w:numFmt w:val="bullet"/>
      <w:start w:val="1"/>
    </w:lvl>
  </w:abstractNum>
  <w:abstractNum w:abstractNumId="183">
    <w:nsid w:val="3CA88ECF"/>
    <w:multiLevelType w:val="hybridMultilevel"/>
    <w:lvl w:ilvl="0">
      <w:lvlJc w:val="left"/>
      <w:lvlText w:val="%1)"/>
      <w:numFmt w:val="lowerRoman"/>
      <w:start w:val="1"/>
    </w:lvl>
  </w:abstractNum>
  <w:abstractNum w:abstractNumId="184">
    <w:nsid w:val="6EBE4208"/>
    <w:multiLevelType w:val="hybridMultilevel"/>
    <w:lvl w:ilvl="0">
      <w:lvlJc w:val="left"/>
      <w:lvlText w:val="%1)"/>
      <w:numFmt w:val="lowerLetter"/>
      <w:start w:val="4"/>
    </w:lvl>
  </w:abstractNum>
  <w:abstractNum w:abstractNumId="185">
    <w:nsid w:val="C058DF5"/>
    <w:multiLevelType w:val="hybridMultilevel"/>
    <w:lvl w:ilvl="0">
      <w:lvlJc w:val="left"/>
      <w:lvlText w:val="%1)"/>
      <w:numFmt w:val="lowerLetter"/>
      <w:start w:val="6"/>
    </w:lvl>
  </w:abstractNum>
  <w:abstractNum w:abstractNumId="186">
    <w:nsid w:val="CBE5BE9"/>
    <w:multiLevelType w:val="hybridMultilevel"/>
    <w:lvl w:ilvl="0">
      <w:lvlJc w:val="left"/>
      <w:lvlText w:val="(*)"/>
      <w:numFmt w:val="bullet"/>
      <w:start w:val="1"/>
    </w:lvl>
  </w:abstractNum>
  <w:abstractNum w:abstractNumId="187">
    <w:nsid w:val="3102BBE2"/>
    <w:multiLevelType w:val="hybridMultilevel"/>
    <w:lvl w:ilvl="0">
      <w:lvlJc w:val="left"/>
      <w:lvlText w:val="(*)"/>
      <w:numFmt w:val="bullet"/>
      <w:start w:val="1"/>
    </w:lvl>
  </w:abstractNum>
  <w:abstractNum w:abstractNumId="188">
    <w:nsid w:val="26A02C5E"/>
    <w:multiLevelType w:val="hybridMultilevel"/>
    <w:lvl w:ilvl="0">
      <w:lvlJc w:val="left"/>
      <w:lvlText w:val="%1)"/>
      <w:numFmt w:val="lowerLetter"/>
      <w:start w:val="7"/>
    </w:lvl>
    <w:lvl w:ilvl="1">
      <w:lvlJc w:val="left"/>
      <w:lvlText w:val="-"/>
      <w:numFmt w:val="bullet"/>
      <w:start w:val="1"/>
    </w:lvl>
  </w:abstractNum>
  <w:abstractNum w:abstractNumId="189">
    <w:nsid w:val="541C8153"/>
    <w:multiLevelType w:val="hybridMultilevel"/>
    <w:lvl w:ilvl="0">
      <w:lvlJc w:val="left"/>
      <w:lvlText w:val="-"/>
      <w:numFmt w:val="bullet"/>
      <w:start w:val="1"/>
    </w:lvl>
  </w:abstractNum>
  <w:abstractNum w:abstractNumId="190">
    <w:nsid w:val="67906F60"/>
    <w:multiLevelType w:val="hybridMultilevel"/>
    <w:lvl w:ilvl="0">
      <w:lvlJc w:val="left"/>
      <w:lvlText w:val="-"/>
      <w:numFmt w:val="bullet"/>
      <w:start w:val="1"/>
    </w:lvl>
  </w:abstractNum>
  <w:abstractNum w:abstractNumId="191">
    <w:nsid w:val="10DB9DAA"/>
    <w:multiLevelType w:val="hybridMultilevel"/>
    <w:lvl w:ilvl="0">
      <w:lvlJc w:val="left"/>
      <w:lvlText w:val="%1)"/>
      <w:numFmt w:val="lowerLetter"/>
      <w:start w:val="1"/>
    </w:lvl>
  </w:abstractNum>
  <w:abstractNum w:abstractNumId="192">
    <w:nsid w:val="697D2D2"/>
    <w:multiLevelType w:val="hybridMultilevel"/>
    <w:lvl w:ilvl="0">
      <w:lvlJc w:val="left"/>
      <w:lvlText w:val="%1)"/>
      <w:numFmt w:val="lowerLetter"/>
      <w:start w:val="2"/>
    </w:lvl>
  </w:abstractNum>
  <w:abstractNum w:abstractNumId="193">
    <w:nsid w:val="6D68AB2"/>
    <w:multiLevelType w:val="hybridMultilevel"/>
    <w:lvl w:ilvl="0">
      <w:lvlJc w:val="left"/>
      <w:lvlText w:val="(%1)"/>
      <w:numFmt w:val="lowerRoman"/>
      <w:start w:val="1"/>
    </w:lvl>
  </w:abstractNum>
  <w:abstractNum w:abstractNumId="194">
    <w:nsid w:val="3A966CD0"/>
    <w:multiLevelType w:val="hybridMultilevel"/>
    <w:lvl w:ilvl="0">
      <w:lvlJc w:val="left"/>
      <w:lvlText w:val="(%1)"/>
      <w:numFmt w:val="lowerRoman"/>
      <w:start w:val="2"/>
    </w:lvl>
  </w:abstractNum>
  <w:abstractNum w:abstractNumId="195">
    <w:nsid w:val="63F37E85"/>
    <w:multiLevelType w:val="hybridMultilevel"/>
    <w:lvl w:ilvl="0">
      <w:lvlJc w:val="left"/>
      <w:lvlText w:val="-"/>
      <w:numFmt w:val="bullet"/>
      <w:start w:val="1"/>
    </w:lvl>
  </w:abstractNum>
  <w:abstractNum w:abstractNumId="196">
    <w:nsid w:val="5895F5FA"/>
    <w:multiLevelType w:val="hybridMultilevel"/>
    <w:lvl w:ilvl="0">
      <w:lvlJc w:val="left"/>
      <w:lvlText w:val="(*)"/>
      <w:numFmt w:val="bullet"/>
      <w:start w:val="1"/>
    </w:lvl>
  </w:abstractNum>
  <w:abstractNum w:abstractNumId="197">
    <w:nsid w:val="38A5D054"/>
    <w:multiLevelType w:val="hybridMultilevel"/>
    <w:lvl w:ilvl="0">
      <w:lvlJc w:val="left"/>
      <w:lvlText w:val="%1)"/>
      <w:numFmt w:val="lowerLetter"/>
      <w:start w:val="1"/>
    </w:lvl>
  </w:abstractNum>
  <w:abstractNum w:abstractNumId="198">
    <w:nsid w:val="F3F09D8"/>
    <w:multiLevelType w:val="hybridMultilevel"/>
    <w:lvl w:ilvl="0">
      <w:lvlJc w:val="left"/>
      <w:lvlText w:val="(%1)"/>
      <w:numFmt w:val="lowerRoman"/>
      <w:start w:val="1"/>
    </w:lvl>
  </w:abstractNum>
  <w:abstractNum w:abstractNumId="199">
    <w:nsid w:val="4B793735"/>
    <w:multiLevelType w:val="hybridMultilevel"/>
    <w:lvl w:ilvl="0">
      <w:lvlJc w:val="left"/>
      <w:lvlText w:val="%1"/>
      <w:numFmt w:val="decimal"/>
      <w:start w:val="31"/>
    </w:lvl>
    <w:lvl w:ilvl="1">
      <w:lvlJc w:val="left"/>
      <w:lvlText w:val="%2)"/>
      <w:numFmt w:val="lowerRoman"/>
      <w:start w:val="1"/>
    </w:lvl>
  </w:abstractNum>
  <w:abstractNum w:abstractNumId="200">
    <w:nsid w:val="4A10B4E8"/>
    <w:multiLevelType w:val="hybridMultilevel"/>
    <w:lvl w:ilvl="0">
      <w:lvlJc w:val="left"/>
      <w:lvlText w:val="%1)"/>
      <w:numFmt w:val="lowerRoman"/>
      <w:start w:val="2"/>
    </w:lvl>
  </w:abstractNum>
  <w:abstractNum w:abstractNumId="201">
    <w:nsid w:val="43D3BCD4"/>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2024-03-04T14:32:43Z</dcterms:created>
  <dcterms:modified xsi:type="dcterms:W3CDTF">2024-03-04T14:32:43Z</dcterms:modified>
</cp:coreProperties>
</file>