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 the month of May 2018</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16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6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631190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783" w:right="1440" w:bottom="1440" w:gutter="0" w:footer="0" w:header="0"/>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May 3,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5298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904" w:right="8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429260</wp:posOffset>
            </wp:positionV>
            <wp:extent cx="1423670" cy="72377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670" cy="7237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2240"/>
        <w:spacing w:after="0" w:line="211" w:lineRule="auto"/>
        <w:rPr>
          <w:sz w:val="20"/>
          <w:szCs w:val="20"/>
          <w:color w:val="auto"/>
        </w:rPr>
      </w:pPr>
      <w:r>
        <w:rPr>
          <w:rFonts w:ascii="Arial" w:cs="Arial" w:eastAsia="Arial" w:hAnsi="Arial"/>
          <w:sz w:val="18"/>
          <w:szCs w:val="18"/>
          <w:b w:val="1"/>
          <w:bCs w:val="1"/>
          <w:color w:val="auto"/>
        </w:rPr>
        <w:t>Lima, Peru, May 03</w:t>
      </w:r>
      <w:r>
        <w:rPr>
          <w:rFonts w:ascii="Arial" w:cs="Arial" w:eastAsia="Arial" w:hAnsi="Arial"/>
          <w:sz w:val="30"/>
          <w:szCs w:val="30"/>
          <w:b w:val="1"/>
          <w:bCs w:val="1"/>
          <w:color w:val="auto"/>
          <w:vertAlign w:val="superscript"/>
        </w:rPr>
        <w:t>rd</w:t>
      </w:r>
      <w:r>
        <w:rPr>
          <w:rFonts w:ascii="Arial" w:cs="Arial" w:eastAsia="Arial" w:hAnsi="Arial"/>
          <w:sz w:val="18"/>
          <w:szCs w:val="18"/>
          <w:b w:val="1"/>
          <w:bCs w:val="1"/>
          <w:color w:val="auto"/>
        </w:rPr>
        <w:t xml:space="preserve">, 2018 </w:t>
      </w:r>
      <w:r>
        <w:rPr>
          <w:rFonts w:ascii="Arial" w:cs="Arial" w:eastAsia="Arial" w:hAnsi="Arial"/>
          <w:sz w:val="18"/>
          <w:szCs w:val="18"/>
          <w:color w:val="auto"/>
        </w:rPr>
        <w:t>– Credicorp (NYSE: BAP) announced its unaudited results for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2018. These results are consolidated according to IFRS in Soles.</w:t>
      </w:r>
    </w:p>
    <w:p>
      <w:pPr>
        <w:spacing w:after="0" w:line="200" w:lineRule="exact"/>
        <w:rPr>
          <w:sz w:val="20"/>
          <w:szCs w:val="20"/>
          <w:color w:val="auto"/>
        </w:rPr>
      </w:pPr>
    </w:p>
    <w:p>
      <w:pPr>
        <w:jc w:val="center"/>
        <w:ind w:left="3440"/>
        <w:spacing w:after="0"/>
        <w:rPr>
          <w:sz w:val="20"/>
          <w:szCs w:val="20"/>
          <w:color w:val="auto"/>
        </w:rPr>
      </w:pPr>
      <w:r>
        <w:rPr>
          <w:rFonts w:ascii="Arial" w:cs="Arial" w:eastAsia="Arial" w:hAnsi="Arial"/>
          <w:sz w:val="18"/>
          <w:szCs w:val="18"/>
          <w:b w:val="1"/>
          <w:bCs w:val="1"/>
          <w:color w:val="auto"/>
        </w:rPr>
        <w:t>First Quarter Results 2018</w:t>
      </w:r>
    </w:p>
    <w:p>
      <w:pPr>
        <w:spacing w:after="0" w:line="229" w:lineRule="exact"/>
        <w:rPr>
          <w:sz w:val="20"/>
          <w:szCs w:val="20"/>
          <w:color w:val="auto"/>
        </w:rPr>
      </w:pPr>
    </w:p>
    <w:p>
      <w:pPr>
        <w:jc w:val="both"/>
        <w:ind w:left="2240"/>
        <w:spacing w:after="0" w:line="264" w:lineRule="auto"/>
        <w:rPr>
          <w:sz w:val="20"/>
          <w:szCs w:val="20"/>
          <w:color w:val="auto"/>
        </w:rPr>
      </w:pPr>
      <w:r>
        <w:rPr>
          <w:rFonts w:ascii="Arial" w:cs="Arial" w:eastAsia="Arial" w:hAnsi="Arial"/>
          <w:sz w:val="18"/>
          <w:szCs w:val="18"/>
          <w:color w:val="auto"/>
        </w:rPr>
        <w:t>In 1Q18, Credicorp reported net income of S/ 1,037.8 million, which translated into a ROAE and ROAA of 19.3% and 2.4%, respectively. This level of net income was -2.4% below that reported in 4Q17, and 16.7% above the figure registered in 1Q17.</w:t>
      </w:r>
    </w:p>
    <w:p>
      <w:pPr>
        <w:spacing w:after="0" w:line="181"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The results in 1Q18 reveal:</w:t>
      </w:r>
    </w:p>
    <w:p>
      <w:pPr>
        <w:spacing w:after="0" w:line="225" w:lineRule="exact"/>
        <w:rPr>
          <w:sz w:val="20"/>
          <w:szCs w:val="20"/>
          <w:color w:val="auto"/>
        </w:rPr>
      </w:pPr>
    </w:p>
    <w:p>
      <w:pPr>
        <w:jc w:val="both"/>
        <w:ind w:left="2240"/>
        <w:spacing w:after="0" w:line="286" w:lineRule="auto"/>
        <w:rPr>
          <w:sz w:val="20"/>
          <w:szCs w:val="20"/>
          <w:color w:val="auto"/>
        </w:rPr>
      </w:pPr>
      <w:r>
        <w:rPr>
          <w:rFonts w:ascii="Arial" w:cs="Arial" w:eastAsia="Arial" w:hAnsi="Arial"/>
          <w:sz w:val="17"/>
          <w:szCs w:val="17"/>
          <w:color w:val="auto"/>
        </w:rPr>
        <w:t>•A slight recovery in average-daily loan balances that expanded 2.8% QoQ and 7% YoY, primarily due to growth in Wholesale Banking, Consumer, Mibanco and Mortgage segments. These growth rates are still low but reflect a gradual recovery in loan growth considering the evolution posted throughout 2017.</w:t>
      </w:r>
    </w:p>
    <w:p>
      <w:pPr>
        <w:spacing w:after="0" w:line="166" w:lineRule="exact"/>
        <w:rPr>
          <w:sz w:val="20"/>
          <w:szCs w:val="20"/>
          <w:color w:val="auto"/>
        </w:rPr>
      </w:pPr>
    </w:p>
    <w:p>
      <w:pPr>
        <w:jc w:val="both"/>
        <w:ind w:left="2240"/>
        <w:spacing w:after="0" w:line="276" w:lineRule="auto"/>
        <w:rPr>
          <w:sz w:val="20"/>
          <w:szCs w:val="20"/>
          <w:color w:val="auto"/>
        </w:rPr>
      </w:pPr>
      <w:r>
        <w:rPr>
          <w:rFonts w:ascii="Arial" w:cs="Arial" w:eastAsia="Arial" w:hAnsi="Arial"/>
          <w:sz w:val="17"/>
          <w:szCs w:val="17"/>
          <w:color w:val="auto"/>
        </w:rPr>
        <w:t>•Net interest income (NII) contracted -0.8% QoQ. This was mainly related to the fact that loan growth in average daily balances was mainly driven by growth in segments with low margins. QoQ interest income contracted, which was partly attenuated by a contraction in interest expenses. In the YoY analysis, NII grew 1.8% due to an increase of 2.3% in interest income on loans, which offset the expansion of 2.7% in interest expenses. In this context, NIM contracted -11 bps QoQ and -28 bps YoY.</w:t>
      </w:r>
    </w:p>
    <w:p>
      <w:pPr>
        <w:spacing w:after="0" w:line="173" w:lineRule="exact"/>
        <w:rPr>
          <w:sz w:val="20"/>
          <w:szCs w:val="20"/>
          <w:color w:val="auto"/>
        </w:rPr>
      </w:pPr>
    </w:p>
    <w:p>
      <w:pPr>
        <w:jc w:val="both"/>
        <w:ind w:left="2240"/>
        <w:spacing w:after="0" w:line="255" w:lineRule="auto"/>
        <w:rPr>
          <w:sz w:val="20"/>
          <w:szCs w:val="20"/>
          <w:color w:val="auto"/>
        </w:rPr>
      </w:pPr>
      <w:r>
        <w:rPr>
          <w:rFonts w:ascii="Arial" w:cs="Arial" w:eastAsia="Arial" w:hAnsi="Arial"/>
          <w:sz w:val="18"/>
          <w:szCs w:val="18"/>
          <w:color w:val="auto"/>
        </w:rPr>
        <w:t>•Cost of risk (CofR) posted a 28 bps QoQ and 84 bps YoY reduction in 1Q18 to situate at 1.48%. This reduction was due to the improvement in the risk-quality achieved in SMEs, Mibanco and Consumer financing business segments in the last three years. The improvement in the risk quality of the loan portfolio was captured by IFRS9 methodology to calculate provisions for loan losses starting on 1Q18. Furthermore, the sale of non-performing loans under judiciary process allowed us to reduce IOLs and NPLs ratios, while increased the coverage ratios.</w:t>
      </w:r>
    </w:p>
    <w:p>
      <w:pPr>
        <w:spacing w:after="0" w:line="193" w:lineRule="exact"/>
        <w:rPr>
          <w:sz w:val="20"/>
          <w:szCs w:val="20"/>
          <w:color w:val="auto"/>
        </w:rPr>
      </w:pPr>
    </w:p>
    <w:p>
      <w:pPr>
        <w:ind w:left="2340" w:hanging="108"/>
        <w:spacing w:after="0"/>
        <w:tabs>
          <w:tab w:leader="none" w:pos="2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improvement in the cost of risk led risk-adjusted NIM to increase +8 bps QoQ and +23 bps YoY.</w:t>
      </w:r>
    </w:p>
    <w:p>
      <w:pPr>
        <w:spacing w:after="0" w:line="236" w:lineRule="exact"/>
        <w:rPr>
          <w:rFonts w:ascii="Arial" w:cs="Arial" w:eastAsia="Arial" w:hAnsi="Arial"/>
          <w:sz w:val="17"/>
          <w:szCs w:val="17"/>
          <w:color w:val="auto"/>
        </w:rPr>
      </w:pPr>
    </w:p>
    <w:p>
      <w:pPr>
        <w:jc w:val="both"/>
        <w:ind w:left="2240" w:hanging="8"/>
        <w:spacing w:after="0" w:line="279" w:lineRule="auto"/>
        <w:tabs>
          <w:tab w:leader="none" w:pos="2363" w:val="left"/>
        </w:tabs>
        <w:numPr>
          <w:ilvl w:val="0"/>
          <w:numId w:val="1"/>
        </w:numPr>
        <w:rPr>
          <w:rFonts w:ascii="Arial" w:cs="Arial" w:eastAsia="Arial" w:hAnsi="Arial"/>
          <w:sz w:val="17"/>
          <w:szCs w:val="17"/>
          <w:color w:val="auto"/>
        </w:rPr>
      </w:pPr>
      <w:r>
        <w:rPr>
          <w:rFonts w:ascii="Arial" w:cs="Arial" w:eastAsia="Arial" w:hAnsi="Arial"/>
          <w:sz w:val="17"/>
          <w:szCs w:val="17"/>
          <w:color w:val="auto"/>
        </w:rPr>
        <w:t>Non-financial income contracted -14.3% QoQ due to seasonality effect that characterized each 1Q and the impact of non-recurring income in 4Q1. It is important to note that in 4Q17, fee income and net gains on foreign exchange transactions reported the highest quarterly levels of the 2017, posting a recovery after quarters of relatively negative results. The YoY analysis reveals an improvement in Fee income.</w:t>
      </w:r>
    </w:p>
    <w:p>
      <w:pPr>
        <w:spacing w:after="0" w:line="171" w:lineRule="exact"/>
        <w:rPr>
          <w:rFonts w:ascii="Arial" w:cs="Arial" w:eastAsia="Arial" w:hAnsi="Arial"/>
          <w:sz w:val="17"/>
          <w:szCs w:val="17"/>
          <w:color w:val="auto"/>
        </w:rPr>
      </w:pPr>
    </w:p>
    <w:p>
      <w:pPr>
        <w:jc w:val="both"/>
        <w:ind w:left="2240" w:hanging="8"/>
        <w:spacing w:after="0" w:line="264" w:lineRule="auto"/>
        <w:tabs>
          <w:tab w:leader="none" w:pos="237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insurance underwriting result fell -4.5% QoQ and -5.2% YoY due to an increase in net claims and acquisition cost, mainly attributable to P&amp;C business. The latter was attenuated by the increase QoQ and YoY in net earned premiums of Life Insurance business.</w:t>
      </w:r>
    </w:p>
    <w:p>
      <w:pPr>
        <w:spacing w:after="0" w:line="181" w:lineRule="exact"/>
        <w:rPr>
          <w:sz w:val="20"/>
          <w:szCs w:val="20"/>
          <w:color w:val="auto"/>
        </w:rPr>
      </w:pPr>
    </w:p>
    <w:p>
      <w:pPr>
        <w:jc w:val="both"/>
        <w:ind w:left="2240"/>
        <w:spacing w:after="0" w:line="257" w:lineRule="auto"/>
        <w:rPr>
          <w:sz w:val="20"/>
          <w:szCs w:val="20"/>
          <w:color w:val="auto"/>
        </w:rPr>
      </w:pPr>
      <w:r>
        <w:rPr>
          <w:rFonts w:ascii="Arial" w:cs="Arial" w:eastAsia="Arial" w:hAnsi="Arial"/>
          <w:sz w:val="18"/>
          <w:szCs w:val="18"/>
          <w:color w:val="auto"/>
        </w:rPr>
        <w:t>•The efficiency ratio decreased 250 bps QoQ due to a reduction in operating expenses, in line with the seasonality effect that is present every 1Q. The YoY analysis reveals an increase of 100 bps, which reflects a scenario in which operating income expanded at a lower rate than that at which operating expenses did. This was primarily attributable to YoY growth in Employees’ Salaries and Benefits, which was in line with an increase in the number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1466215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160" w:type="dxa"/>
            <w:vAlign w:val="bottom"/>
            <w:gridSpan w:val="5"/>
          </w:tcPr>
          <w:p>
            <w:pPr>
              <w:spacing w:after="0"/>
              <w:rPr>
                <w:sz w:val="20"/>
                <w:szCs w:val="20"/>
                <w:color w:val="auto"/>
              </w:rPr>
            </w:pPr>
            <w:r>
              <w:rPr>
                <w:rFonts w:ascii="Arial" w:cs="Arial" w:eastAsia="Arial" w:hAnsi="Arial"/>
                <w:sz w:val="18"/>
                <w:szCs w:val="18"/>
                <w:b w:val="1"/>
                <w:bCs w:val="1"/>
                <w:color w:val="auto"/>
              </w:rPr>
              <w:t>Table of Contents</w:t>
            </w:r>
          </w:p>
        </w:tc>
        <w:tc>
          <w:tcPr>
            <w:tcW w:w="3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40" w:type="dxa"/>
            <w:vAlign w:val="bottom"/>
            <w:gridSpan w:val="4"/>
          </w:tcPr>
          <w:p>
            <w:pPr>
              <w:spacing w:after="0"/>
              <w:rPr>
                <w:sz w:val="18"/>
                <w:szCs w:val="18"/>
                <w:color w:val="auto"/>
              </w:rPr>
            </w:pPr>
          </w:p>
        </w:tc>
        <w:tc>
          <w:tcPr>
            <w:tcW w:w="3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Credicorp (NYSE: BAP): First Quarter Results 2018</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4"/>
          </w:tcPr>
          <w:p>
            <w:pPr>
              <w:ind w:left="320"/>
              <w:spacing w:after="0"/>
              <w:rPr>
                <w:sz w:val="20"/>
                <w:szCs w:val="20"/>
                <w:color w:val="auto"/>
              </w:rPr>
            </w:pPr>
            <w:r>
              <w:rPr>
                <w:rFonts w:ascii="Arial" w:cs="Arial" w:eastAsia="Arial" w:hAnsi="Arial"/>
                <w:sz w:val="18"/>
                <w:szCs w:val="18"/>
                <w:color w:val="auto"/>
              </w:rPr>
              <w:t>Financial Overview</w:t>
            </w:r>
          </w:p>
        </w:tc>
        <w:tc>
          <w:tcPr>
            <w:tcW w:w="32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Interest-earning assets (IEA)</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Evolution of IEA</w:t>
            </w:r>
          </w:p>
        </w:tc>
        <w:tc>
          <w:tcPr>
            <w:tcW w:w="32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Credicorp Loans</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4"/>
          </w:tcPr>
          <w:p>
            <w:pPr>
              <w:ind w:left="480"/>
              <w:spacing w:after="0"/>
              <w:rPr>
                <w:sz w:val="20"/>
                <w:szCs w:val="20"/>
                <w:color w:val="auto"/>
              </w:rPr>
            </w:pPr>
            <w:r>
              <w:rPr>
                <w:rFonts w:ascii="Arial" w:cs="Arial" w:eastAsia="Arial" w:hAnsi="Arial"/>
                <w:sz w:val="18"/>
                <w:szCs w:val="18"/>
                <w:color w:val="auto"/>
              </w:rPr>
              <w:t>1.2.1  Loan evolution by business segment</w:t>
            </w:r>
          </w:p>
        </w:tc>
        <w:tc>
          <w:tcPr>
            <w:tcW w:w="32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1.2.2  Evolution of the level of dollarization by segment</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4"/>
          </w:tcPr>
          <w:p>
            <w:pPr>
              <w:ind w:left="480"/>
              <w:spacing w:after="0"/>
              <w:rPr>
                <w:sz w:val="20"/>
                <w:szCs w:val="20"/>
                <w:color w:val="auto"/>
              </w:rPr>
            </w:pPr>
            <w:r>
              <w:rPr>
                <w:rFonts w:ascii="Arial" w:cs="Arial" w:eastAsia="Arial" w:hAnsi="Arial"/>
                <w:sz w:val="18"/>
                <w:szCs w:val="18"/>
                <w:color w:val="auto"/>
              </w:rPr>
              <w:t>1.2.3  Evolution of the level of dollarization by segment</w:t>
            </w:r>
          </w:p>
        </w:tc>
        <w:tc>
          <w:tcPr>
            <w:tcW w:w="32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1.2.4  BCRP de-dollarization plan at BCP Stand-alone</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4"/>
          </w:tcPr>
          <w:p>
            <w:pPr>
              <w:ind w:left="480"/>
              <w:spacing w:after="0"/>
              <w:rPr>
                <w:sz w:val="20"/>
                <w:szCs w:val="20"/>
                <w:color w:val="auto"/>
              </w:rPr>
            </w:pPr>
            <w:r>
              <w:rPr>
                <w:rFonts w:ascii="Arial" w:cs="Arial" w:eastAsia="Arial" w:hAnsi="Arial"/>
                <w:sz w:val="18"/>
                <w:szCs w:val="18"/>
                <w:color w:val="auto"/>
              </w:rPr>
              <w:t>1.2.5  Market share in loans</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Funding Sources</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Funding Structure</w:t>
            </w:r>
          </w:p>
        </w:tc>
        <w:tc>
          <w:tcPr>
            <w:tcW w:w="32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3"/>
          </w:tcPr>
          <w:p>
            <w:pPr>
              <w:ind w:left="480"/>
              <w:spacing w:after="0"/>
              <w:rPr>
                <w:sz w:val="20"/>
                <w:szCs w:val="20"/>
                <w:color w:val="auto"/>
              </w:rPr>
            </w:pPr>
            <w:r>
              <w:rPr>
                <w:rFonts w:ascii="Arial" w:cs="Arial" w:eastAsia="Arial" w:hAnsi="Arial"/>
                <w:sz w:val="18"/>
                <w:szCs w:val="18"/>
                <w:color w:val="auto"/>
                <w:w w:val="99"/>
              </w:rPr>
              <w:t>2.2.1</w:t>
            </w:r>
          </w:p>
        </w:tc>
        <w:tc>
          <w:tcPr>
            <w:tcW w:w="7240" w:type="dxa"/>
            <w:vAlign w:val="bottom"/>
          </w:tcPr>
          <w:p>
            <w:pPr>
              <w:ind w:left="60"/>
              <w:spacing w:after="0"/>
              <w:rPr>
                <w:sz w:val="20"/>
                <w:szCs w:val="20"/>
                <w:color w:val="auto"/>
              </w:rPr>
            </w:pPr>
            <w:r>
              <w:rPr>
                <w:rFonts w:ascii="Arial" w:cs="Arial" w:eastAsia="Arial" w:hAnsi="Arial"/>
                <w:sz w:val="18"/>
                <w:szCs w:val="18"/>
                <w:color w:val="auto"/>
              </w:rPr>
              <w:t>Deposits: dollarization level</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2.2.2  Market share in Deposits</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Other funding sources</w:t>
            </w:r>
          </w:p>
        </w:tc>
        <w:tc>
          <w:tcPr>
            <w:tcW w:w="32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2.4</w:t>
            </w:r>
          </w:p>
        </w:tc>
        <w:tc>
          <w:tcPr>
            <w:tcW w:w="75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Loan / Deposit (L/D)</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Funding Cost</w:t>
            </w:r>
          </w:p>
        </w:tc>
        <w:tc>
          <w:tcPr>
            <w:tcW w:w="32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Portfolio quality and Provisions for loan losses</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3.1</w:t>
            </w:r>
          </w:p>
        </w:tc>
        <w:tc>
          <w:tcPr>
            <w:tcW w:w="7540" w:type="dxa"/>
            <w:vAlign w:val="bottom"/>
            <w:gridSpan w:val="3"/>
          </w:tcPr>
          <w:p>
            <w:pPr>
              <w:ind w:left="80"/>
              <w:spacing w:after="0"/>
              <w:rPr>
                <w:sz w:val="20"/>
                <w:szCs w:val="20"/>
                <w:color w:val="auto"/>
              </w:rPr>
            </w:pPr>
            <w:r>
              <w:rPr>
                <w:rFonts w:ascii="Arial" w:cs="Arial" w:eastAsia="Arial" w:hAnsi="Arial"/>
                <w:sz w:val="18"/>
                <w:szCs w:val="18"/>
                <w:color w:val="auto"/>
              </w:rPr>
              <w:t>Provisions for loan losses</w:t>
            </w:r>
          </w:p>
        </w:tc>
        <w:tc>
          <w:tcPr>
            <w:tcW w:w="32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Portfolio Quality</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4"/>
          </w:tcPr>
          <w:p>
            <w:pPr>
              <w:ind w:left="480"/>
              <w:spacing w:after="0"/>
              <w:rPr>
                <w:sz w:val="20"/>
                <w:szCs w:val="20"/>
                <w:color w:val="auto"/>
              </w:rPr>
            </w:pPr>
            <w:r>
              <w:rPr>
                <w:rFonts w:ascii="Arial" w:cs="Arial" w:eastAsia="Arial" w:hAnsi="Arial"/>
                <w:sz w:val="18"/>
                <w:szCs w:val="18"/>
                <w:color w:val="auto"/>
              </w:rPr>
              <w:t>3.2.1  Delinquency indicators by business line</w:t>
            </w:r>
          </w:p>
        </w:tc>
        <w:tc>
          <w:tcPr>
            <w:tcW w:w="32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Income (NII)</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2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Expenses</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4.3</w:t>
            </w:r>
          </w:p>
        </w:tc>
        <w:tc>
          <w:tcPr>
            <w:tcW w:w="7540" w:type="dxa"/>
            <w:vAlign w:val="bottom"/>
            <w:gridSpan w:val="3"/>
          </w:tcPr>
          <w:p>
            <w:pPr>
              <w:ind w:left="80"/>
              <w:spacing w:after="0"/>
              <w:rPr>
                <w:sz w:val="20"/>
                <w:szCs w:val="20"/>
                <w:color w:val="auto"/>
              </w:rPr>
            </w:pPr>
            <w:r>
              <w:rPr>
                <w:rFonts w:ascii="Arial" w:cs="Arial" w:eastAsia="Arial" w:hAnsi="Arial"/>
                <w:sz w:val="18"/>
                <w:szCs w:val="18"/>
                <w:color w:val="auto"/>
              </w:rPr>
              <w:t>Net Interest Margin (NIM) and Risk-Adjusted NIM</w:t>
            </w:r>
          </w:p>
        </w:tc>
        <w:tc>
          <w:tcPr>
            <w:tcW w:w="32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Non-Financial Income</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Fee Income</w:t>
            </w:r>
          </w:p>
        </w:tc>
        <w:tc>
          <w:tcPr>
            <w:tcW w:w="32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5.1.1</w:t>
            </w:r>
          </w:p>
        </w:tc>
        <w:tc>
          <w:tcPr>
            <w:tcW w:w="7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By subsidiary</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3"/>
          </w:tcPr>
          <w:p>
            <w:pPr>
              <w:ind w:left="480"/>
              <w:spacing w:after="0"/>
              <w:rPr>
                <w:sz w:val="20"/>
                <w:szCs w:val="20"/>
                <w:color w:val="auto"/>
              </w:rPr>
            </w:pPr>
            <w:r>
              <w:rPr>
                <w:rFonts w:ascii="Arial" w:cs="Arial" w:eastAsia="Arial" w:hAnsi="Arial"/>
                <w:sz w:val="18"/>
                <w:szCs w:val="18"/>
                <w:color w:val="auto"/>
                <w:w w:val="99"/>
              </w:rPr>
              <w:t>5.1.2</w:t>
            </w:r>
          </w:p>
        </w:tc>
        <w:tc>
          <w:tcPr>
            <w:tcW w:w="7240" w:type="dxa"/>
            <w:vAlign w:val="bottom"/>
          </w:tcPr>
          <w:p>
            <w:pPr>
              <w:ind w:left="60"/>
              <w:spacing w:after="0"/>
              <w:rPr>
                <w:sz w:val="20"/>
                <w:szCs w:val="20"/>
                <w:color w:val="auto"/>
              </w:rPr>
            </w:pPr>
            <w:r>
              <w:rPr>
                <w:rFonts w:ascii="Arial" w:cs="Arial" w:eastAsia="Arial" w:hAnsi="Arial"/>
                <w:sz w:val="18"/>
                <w:szCs w:val="18"/>
                <w:color w:val="auto"/>
              </w:rPr>
              <w:t>Banking Business</w:t>
            </w:r>
          </w:p>
        </w:tc>
        <w:tc>
          <w:tcPr>
            <w:tcW w:w="32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Insurance Underwriting Result</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7500" w:type="dxa"/>
            <w:vAlign w:val="bottom"/>
            <w:gridSpan w:val="2"/>
          </w:tcPr>
          <w:p>
            <w:pPr>
              <w:ind w:left="40"/>
              <w:spacing w:after="0"/>
              <w:rPr>
                <w:sz w:val="20"/>
                <w:szCs w:val="20"/>
                <w:color w:val="auto"/>
              </w:rPr>
            </w:pPr>
            <w:r>
              <w:rPr>
                <w:rFonts w:ascii="Arial" w:cs="Arial" w:eastAsia="Arial" w:hAnsi="Arial"/>
                <w:sz w:val="18"/>
                <w:szCs w:val="18"/>
                <w:color w:val="auto"/>
              </w:rPr>
              <w:t>Net earned premiums</w:t>
            </w:r>
          </w:p>
        </w:tc>
        <w:tc>
          <w:tcPr>
            <w:tcW w:w="32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claims</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Acquisition cost</w:t>
            </w:r>
          </w:p>
        </w:tc>
        <w:tc>
          <w:tcPr>
            <w:tcW w:w="32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 and Efficiency</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Regulatory Capital</w:t>
            </w:r>
          </w:p>
        </w:tc>
        <w:tc>
          <w:tcPr>
            <w:tcW w:w="32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8.1</w:t>
            </w:r>
          </w:p>
        </w:tc>
        <w:tc>
          <w:tcPr>
            <w:tcW w:w="75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Regulatory Capital – BAP</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8.2</w:t>
            </w:r>
          </w:p>
        </w:tc>
        <w:tc>
          <w:tcPr>
            <w:tcW w:w="7540" w:type="dxa"/>
            <w:vAlign w:val="bottom"/>
            <w:gridSpan w:val="3"/>
          </w:tcPr>
          <w:p>
            <w:pPr>
              <w:ind w:left="80"/>
              <w:spacing w:after="0"/>
              <w:rPr>
                <w:sz w:val="20"/>
                <w:szCs w:val="20"/>
                <w:color w:val="auto"/>
              </w:rPr>
            </w:pPr>
            <w:r>
              <w:rPr>
                <w:rFonts w:ascii="Arial" w:cs="Arial" w:eastAsia="Arial" w:hAnsi="Arial"/>
                <w:sz w:val="18"/>
                <w:szCs w:val="18"/>
                <w:color w:val="auto"/>
              </w:rPr>
              <w:t>Regulatory Capital – BCP Stand-alone based on Peru GAAP</w:t>
            </w:r>
          </w:p>
        </w:tc>
        <w:tc>
          <w:tcPr>
            <w:tcW w:w="326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Banking business’s Distribution channels</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Economic Perspectives</w:t>
            </w:r>
          </w:p>
        </w:tc>
        <w:tc>
          <w:tcPr>
            <w:tcW w:w="32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Appendix</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w w:val="85"/>
              </w:rPr>
              <w:t>11.1</w:t>
            </w:r>
          </w:p>
        </w:tc>
        <w:tc>
          <w:tcPr>
            <w:tcW w:w="7500" w:type="dxa"/>
            <w:vAlign w:val="bottom"/>
            <w:gridSpan w:val="2"/>
          </w:tcPr>
          <w:p>
            <w:pPr>
              <w:ind w:left="160"/>
              <w:spacing w:after="0"/>
              <w:rPr>
                <w:sz w:val="20"/>
                <w:szCs w:val="20"/>
                <w:color w:val="auto"/>
              </w:rPr>
            </w:pPr>
            <w:r>
              <w:rPr>
                <w:rFonts w:ascii="Arial" w:cs="Arial" w:eastAsia="Arial" w:hAnsi="Arial"/>
                <w:sz w:val="18"/>
                <w:szCs w:val="18"/>
                <w:color w:val="auto"/>
              </w:rPr>
              <w:t>Credicorp</w:t>
            </w:r>
          </w:p>
        </w:tc>
        <w:tc>
          <w:tcPr>
            <w:tcW w:w="32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5"/>
              </w:rPr>
              <w:t>11.2</w:t>
            </w:r>
          </w:p>
        </w:tc>
        <w:tc>
          <w:tcPr>
            <w:tcW w:w="7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BCP Consolidated</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w w:val="85"/>
              </w:rPr>
              <w:t>11.3</w:t>
            </w:r>
          </w:p>
        </w:tc>
        <w:tc>
          <w:tcPr>
            <w:tcW w:w="7500" w:type="dxa"/>
            <w:vAlign w:val="bottom"/>
            <w:gridSpan w:val="2"/>
          </w:tcPr>
          <w:p>
            <w:pPr>
              <w:ind w:left="120"/>
              <w:spacing w:after="0"/>
              <w:rPr>
                <w:sz w:val="20"/>
                <w:szCs w:val="20"/>
                <w:color w:val="auto"/>
              </w:rPr>
            </w:pPr>
            <w:r>
              <w:rPr>
                <w:rFonts w:ascii="Arial" w:cs="Arial" w:eastAsia="Arial" w:hAnsi="Arial"/>
                <w:sz w:val="18"/>
                <w:szCs w:val="18"/>
                <w:color w:val="auto"/>
              </w:rPr>
              <w:t>Mibanco</w:t>
            </w:r>
          </w:p>
        </w:tc>
        <w:tc>
          <w:tcPr>
            <w:tcW w:w="326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5"/>
              </w:rPr>
              <w:t>11.4</w:t>
            </w:r>
          </w:p>
        </w:tc>
        <w:tc>
          <w:tcPr>
            <w:tcW w:w="7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BCP Bolivia</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w w:val="85"/>
              </w:rPr>
              <w:t>11.5</w:t>
            </w:r>
          </w:p>
        </w:tc>
        <w:tc>
          <w:tcPr>
            <w:tcW w:w="7500" w:type="dxa"/>
            <w:vAlign w:val="bottom"/>
            <w:gridSpan w:val="2"/>
          </w:tcPr>
          <w:p>
            <w:pPr>
              <w:ind w:left="120"/>
              <w:spacing w:after="0"/>
              <w:rPr>
                <w:sz w:val="20"/>
                <w:szCs w:val="20"/>
                <w:color w:val="auto"/>
              </w:rPr>
            </w:pPr>
            <w:r>
              <w:rPr>
                <w:rFonts w:ascii="Arial" w:cs="Arial" w:eastAsia="Arial" w:hAnsi="Arial"/>
                <w:sz w:val="18"/>
                <w:szCs w:val="18"/>
                <w:color w:val="auto"/>
              </w:rPr>
              <w:t>Credicorp Capital</w:t>
            </w:r>
          </w:p>
        </w:tc>
        <w:tc>
          <w:tcPr>
            <w:tcW w:w="326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5"/>
              </w:rPr>
              <w:t>11.6</w:t>
            </w:r>
          </w:p>
        </w:tc>
        <w:tc>
          <w:tcPr>
            <w:tcW w:w="7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Atlantic Security Bank</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w w:val="85"/>
              </w:rPr>
              <w:t>11.7</w:t>
            </w:r>
          </w:p>
        </w:tc>
        <w:tc>
          <w:tcPr>
            <w:tcW w:w="7500" w:type="dxa"/>
            <w:vAlign w:val="bottom"/>
            <w:gridSpan w:val="2"/>
          </w:tcPr>
          <w:p>
            <w:pPr>
              <w:ind w:left="120"/>
              <w:spacing w:after="0"/>
              <w:rPr>
                <w:sz w:val="20"/>
                <w:szCs w:val="20"/>
                <w:color w:val="auto"/>
              </w:rPr>
            </w:pPr>
            <w:r>
              <w:rPr>
                <w:rFonts w:ascii="Arial" w:cs="Arial" w:eastAsia="Arial" w:hAnsi="Arial"/>
                <w:sz w:val="18"/>
                <w:szCs w:val="18"/>
                <w:color w:val="auto"/>
              </w:rPr>
              <w:t>Grupo Pacifico</w:t>
            </w:r>
          </w:p>
        </w:tc>
        <w:tc>
          <w:tcPr>
            <w:tcW w:w="326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5"/>
              </w:rPr>
              <w:t>11.8</w:t>
            </w:r>
          </w:p>
        </w:tc>
        <w:tc>
          <w:tcPr>
            <w:tcW w:w="7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Prima AFP</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w w:val="85"/>
              </w:rPr>
              <w:t>11.9</w:t>
            </w:r>
          </w:p>
        </w:tc>
        <w:tc>
          <w:tcPr>
            <w:tcW w:w="7500" w:type="dxa"/>
            <w:vAlign w:val="bottom"/>
            <w:gridSpan w:val="2"/>
          </w:tcPr>
          <w:p>
            <w:pPr>
              <w:ind w:left="120"/>
              <w:spacing w:after="0"/>
              <w:rPr>
                <w:sz w:val="20"/>
                <w:szCs w:val="20"/>
                <w:color w:val="auto"/>
              </w:rPr>
            </w:pPr>
            <w:r>
              <w:rPr>
                <w:rFonts w:ascii="Arial" w:cs="Arial" w:eastAsia="Arial" w:hAnsi="Arial"/>
                <w:sz w:val="18"/>
                <w:szCs w:val="18"/>
                <w:color w:val="auto"/>
              </w:rPr>
              <w:t>Table of calculations</w:t>
            </w:r>
          </w:p>
        </w:tc>
        <w:tc>
          <w:tcPr>
            <w:tcW w:w="326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11.10  Disclosure about the impact of IFRS 9</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60" w:type="dxa"/>
            <w:vAlign w:val="bottom"/>
            <w:gridSpan w:val="7"/>
          </w:tcPr>
          <w:p>
            <w:pPr>
              <w:ind w:left="180"/>
              <w:spacing w:after="0"/>
              <w:rPr>
                <w:sz w:val="20"/>
                <w:szCs w:val="20"/>
                <w:color w:val="auto"/>
              </w:rPr>
            </w:pPr>
            <w:r>
              <w:rPr>
                <w:rFonts w:ascii="Arial" w:cs="Arial" w:eastAsia="Arial" w:hAnsi="Arial"/>
                <w:sz w:val="18"/>
                <w:szCs w:val="18"/>
                <w:b w:val="1"/>
                <w:bCs w:val="1"/>
                <w:color w:val="auto"/>
                <w:w w:val="95"/>
              </w:rPr>
              <w:t>Credicorp (NYSE: BAP): First Quarter Results 2018</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Financial Overview</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Credicorp Ltd.</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ind w:left="620"/>
              <w:spacing w:after="0"/>
              <w:rPr>
                <w:sz w:val="20"/>
                <w:szCs w:val="20"/>
                <w:color w:val="auto"/>
              </w:rPr>
            </w:pPr>
            <w:r>
              <w:rPr>
                <w:rFonts w:ascii="Arial" w:cs="Arial" w:eastAsia="Arial" w:hAnsi="Arial"/>
                <w:sz w:val="18"/>
                <w:szCs w:val="18"/>
                <w:b w:val="1"/>
                <w:bCs w:val="1"/>
                <w:color w:val="auto"/>
                <w:w w:val="95"/>
              </w:rPr>
              <w:t>% change</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1Q17</w:t>
            </w:r>
          </w:p>
        </w:tc>
        <w:tc>
          <w:tcPr>
            <w:tcW w:w="2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4Q17</w:t>
            </w:r>
          </w:p>
        </w:tc>
        <w:tc>
          <w:tcPr>
            <w:tcW w:w="2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1Q18</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 *</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2,013,087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2,065,974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2,048,702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Provision for loan losses, net of recoveries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(536,494)</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(441,250)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(371,024)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income after provisions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1,476,593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1,624,724</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1,677,678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13.6%</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Non-financial income *</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1,043,533</w:t>
            </w:r>
          </w:p>
        </w:tc>
        <w:tc>
          <w:tcPr>
            <w:tcW w:w="1140" w:type="dxa"/>
            <w:vAlign w:val="bottom"/>
          </w:tcPr>
          <w:p>
            <w:pPr>
              <w:jc w:val="right"/>
              <w:spacing w:after="0"/>
              <w:rPr>
                <w:sz w:val="20"/>
                <w:szCs w:val="20"/>
                <w:color w:val="auto"/>
              </w:rPr>
            </w:pPr>
            <w:r>
              <w:rPr>
                <w:rFonts w:ascii="Arial" w:cs="Arial" w:eastAsia="Arial" w:hAnsi="Arial"/>
                <w:sz w:val="18"/>
                <w:szCs w:val="18"/>
                <w:color w:val="auto"/>
              </w:rPr>
              <w:t>1,278,590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1,096,201</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services underwriting result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122,279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121,342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115,909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(1,407,111)</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(1,566,239)</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(1,439,744)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1,235,294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1,458,417</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1,450,044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17.4%</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(325,668)</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(371,284)</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(385,392)</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909,626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1,087,133</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1,064,652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17.0%</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20,051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23,475</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26,844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889,575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1,063,658</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1,037,808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16.7%</w:t>
            </w: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Net income / share (S/)</w:t>
            </w:r>
          </w:p>
        </w:tc>
        <w:tc>
          <w:tcPr>
            <w:tcW w:w="1120" w:type="dxa"/>
            <w:vAlign w:val="bottom"/>
          </w:tcPr>
          <w:p>
            <w:pPr>
              <w:jc w:val="right"/>
              <w:spacing w:after="0"/>
              <w:rPr>
                <w:sz w:val="20"/>
                <w:szCs w:val="20"/>
                <w:color w:val="auto"/>
              </w:rPr>
            </w:pPr>
            <w:r>
              <w:rPr>
                <w:rFonts w:ascii="Arial" w:cs="Arial" w:eastAsia="Arial" w:hAnsi="Arial"/>
                <w:sz w:val="18"/>
                <w:szCs w:val="18"/>
                <w:color w:val="auto"/>
              </w:rPr>
              <w:t>11.15</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13.34</w:t>
            </w: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13.01</w:t>
            </w:r>
          </w:p>
        </w:tc>
        <w:tc>
          <w:tcPr>
            <w:tcW w:w="2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35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 loans</w:t>
            </w:r>
          </w:p>
        </w:tc>
        <w:tc>
          <w:tcPr>
            <w:tcW w:w="11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gridSpan w:val="2"/>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92,414,588</w:t>
            </w:r>
          </w:p>
        </w:tc>
        <w:tc>
          <w:tcPr>
            <w:tcW w:w="24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100,477,774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100,570,511</w:t>
            </w:r>
          </w:p>
        </w:tc>
        <w:tc>
          <w:tcPr>
            <w:tcW w:w="2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Deposits and obligations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89,880,882</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97,170,411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98,193,105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equity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19,699,940</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21,756,568</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21,312,210</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20"/>
                <w:szCs w:val="20"/>
                <w:color w:val="auto"/>
              </w:rPr>
            </w:pPr>
            <w:r>
              <w:rPr>
                <w:rFonts w:ascii="Arial" w:cs="Arial" w:eastAsia="Arial" w:hAnsi="Arial"/>
                <w:sz w:val="18"/>
                <w:szCs w:val="18"/>
                <w:b w:val="1"/>
                <w:bCs w:val="1"/>
                <w:color w:val="auto"/>
              </w:rPr>
              <w:t>Profitability</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interest margin *</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 bps</w:t>
            </w:r>
          </w:p>
        </w:tc>
        <w:tc>
          <w:tcPr>
            <w:tcW w:w="1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-28 bps</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Risk adjusted Net interest margin *</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8 bps</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23 bps</w:t>
            </w:r>
          </w:p>
        </w:tc>
      </w:tr>
      <w:tr>
        <w:trPr>
          <w:trHeight w:val="257"/>
        </w:trPr>
        <w:tc>
          <w:tcPr>
            <w:tcW w:w="3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Funding cost * </w:t>
            </w:r>
            <w:r>
              <w:rPr>
                <w:rFonts w:ascii="Arial" w:cs="Arial" w:eastAsia="Arial" w:hAnsi="Arial"/>
                <w:sz w:val="29"/>
                <w:szCs w:val="29"/>
                <w:color w:val="auto"/>
                <w:vertAlign w:val="superscript"/>
              </w:rPr>
              <w:t>(1)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 bps</w:t>
            </w:r>
          </w:p>
        </w:tc>
        <w:tc>
          <w:tcPr>
            <w:tcW w:w="1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 bps</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ROAE</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-20 bps</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120 bps</w:t>
            </w: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ROAA</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 bps</w:t>
            </w:r>
          </w:p>
        </w:tc>
        <w:tc>
          <w:tcPr>
            <w:tcW w:w="1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 bps</w:t>
            </w:r>
          </w:p>
        </w:tc>
      </w:tr>
      <w:tr>
        <w:trPr>
          <w:trHeight w:val="210"/>
        </w:trPr>
        <w:tc>
          <w:tcPr>
            <w:tcW w:w="3500" w:type="dxa"/>
            <w:vAlign w:val="bottom"/>
          </w:tcPr>
          <w:p>
            <w:pPr>
              <w:spacing w:after="0"/>
              <w:rPr>
                <w:sz w:val="20"/>
                <w:szCs w:val="20"/>
                <w:color w:val="auto"/>
              </w:rPr>
            </w:pPr>
            <w:r>
              <w:rPr>
                <w:rFonts w:ascii="Arial" w:cs="Arial" w:eastAsia="Arial" w:hAnsi="Arial"/>
                <w:sz w:val="18"/>
                <w:szCs w:val="18"/>
                <w:b w:val="1"/>
                <w:bCs w:val="1"/>
                <w:color w:val="auto"/>
              </w:rPr>
              <w:t>Loan portfolio quality</w:t>
            </w: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Delinquency ratio over 90 days</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 bps</w:t>
            </w:r>
          </w:p>
        </w:tc>
        <w:tc>
          <w:tcPr>
            <w:tcW w:w="1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 bps</w:t>
            </w:r>
          </w:p>
        </w:tc>
      </w:tr>
      <w:tr>
        <w:trPr>
          <w:trHeight w:val="257"/>
        </w:trPr>
        <w:tc>
          <w:tcPr>
            <w:tcW w:w="3500" w:type="dxa"/>
            <w:vAlign w:val="bottom"/>
          </w:tcPr>
          <w:p>
            <w:pPr>
              <w:spacing w:after="0" w:line="256" w:lineRule="exact"/>
              <w:rPr>
                <w:sz w:val="20"/>
                <w:szCs w:val="20"/>
                <w:color w:val="auto"/>
              </w:rPr>
            </w:pPr>
            <w:r>
              <w:rPr>
                <w:rFonts w:ascii="Arial" w:cs="Arial" w:eastAsia="Arial" w:hAnsi="Arial"/>
                <w:sz w:val="18"/>
                <w:szCs w:val="18"/>
                <w:color w:val="auto"/>
              </w:rPr>
              <w:t xml:space="preserve">Internal overdue ratio </w:t>
            </w:r>
            <w:r>
              <w:rPr>
                <w:rFonts w:ascii="Arial" w:cs="Arial" w:eastAsia="Arial" w:hAnsi="Arial"/>
                <w:sz w:val="29"/>
                <w:szCs w:val="29"/>
                <w:color w:val="auto"/>
                <w:vertAlign w:val="superscript"/>
              </w:rPr>
              <w:t>(2)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-2 bps</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-1 bps</w:t>
            </w:r>
          </w:p>
        </w:tc>
      </w:tr>
      <w:tr>
        <w:trPr>
          <w:trHeight w:val="257"/>
        </w:trPr>
        <w:tc>
          <w:tcPr>
            <w:tcW w:w="3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NPL ratio </w:t>
            </w:r>
            <w:r>
              <w:rPr>
                <w:rFonts w:ascii="Arial" w:cs="Arial" w:eastAsia="Arial" w:hAnsi="Arial"/>
                <w:sz w:val="29"/>
                <w:szCs w:val="29"/>
                <w:color w:val="auto"/>
                <w:vertAlign w:val="superscript"/>
              </w:rPr>
              <w:t>(3)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 bps</w:t>
            </w:r>
          </w:p>
        </w:tc>
        <w:tc>
          <w:tcPr>
            <w:tcW w:w="1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 bps</w:t>
            </w:r>
          </w:p>
        </w:tc>
      </w:tr>
      <w:tr>
        <w:trPr>
          <w:trHeight w:val="257"/>
        </w:trPr>
        <w:tc>
          <w:tcPr>
            <w:tcW w:w="3500" w:type="dxa"/>
            <w:vAlign w:val="bottom"/>
          </w:tcPr>
          <w:p>
            <w:pPr>
              <w:spacing w:after="0" w:line="256"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-28 bps</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-84 bps</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Coverage of internal overdue loans</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151.9%</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w:t>
            </w: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1130 bps</w:t>
            </w:r>
          </w:p>
        </w:tc>
        <w:tc>
          <w:tcPr>
            <w:tcW w:w="1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850 bps</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Coverage of NPLs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115.5%</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114.4%</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123.0%</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860 bps</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750 bps</w:t>
            </w: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efficiency</w:t>
            </w: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57"/>
        </w:trPr>
        <w:tc>
          <w:tcPr>
            <w:tcW w:w="3500" w:type="dxa"/>
            <w:vAlign w:val="bottom"/>
          </w:tcPr>
          <w:p>
            <w:pPr>
              <w:spacing w:after="0" w:line="256" w:lineRule="exact"/>
              <w:rPr>
                <w:sz w:val="20"/>
                <w:szCs w:val="20"/>
                <w:color w:val="auto"/>
              </w:rPr>
            </w:pPr>
            <w:r>
              <w:rPr>
                <w:rFonts w:ascii="Arial" w:cs="Arial" w:eastAsia="Arial" w:hAnsi="Arial"/>
                <w:sz w:val="18"/>
                <w:szCs w:val="18"/>
                <w:color w:val="auto"/>
              </w:rPr>
              <w:t xml:space="preserve">Efficiency ratio * </w:t>
            </w:r>
            <w:r>
              <w:rPr>
                <w:rFonts w:ascii="Arial" w:cs="Arial" w:eastAsia="Arial" w:hAnsi="Arial"/>
                <w:sz w:val="29"/>
                <w:szCs w:val="29"/>
                <w:color w:val="auto"/>
                <w:vertAlign w:val="superscript"/>
              </w:rPr>
              <w:t>(5)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-250 bps</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100 bps</w:t>
            </w: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 Total average assets</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-30 bps</w:t>
            </w:r>
          </w:p>
        </w:tc>
        <w:tc>
          <w:tcPr>
            <w:tcW w:w="1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 bps</w:t>
            </w:r>
          </w:p>
        </w:tc>
      </w:tr>
      <w:tr>
        <w:trPr>
          <w:trHeight w:val="210"/>
        </w:trPr>
        <w:tc>
          <w:tcPr>
            <w:tcW w:w="3500" w:type="dxa"/>
            <w:vAlign w:val="bottom"/>
          </w:tcPr>
          <w:p>
            <w:pPr>
              <w:spacing w:after="0"/>
              <w:rPr>
                <w:sz w:val="20"/>
                <w:szCs w:val="20"/>
                <w:color w:val="auto"/>
              </w:rPr>
            </w:pPr>
            <w:r>
              <w:rPr>
                <w:rFonts w:ascii="Arial" w:cs="Arial" w:eastAsia="Arial" w:hAnsi="Arial"/>
                <w:sz w:val="18"/>
                <w:szCs w:val="18"/>
                <w:b w:val="1"/>
                <w:bCs w:val="1"/>
                <w:color w:val="auto"/>
              </w:rPr>
              <w:t>Insurance ratios</w:t>
            </w: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57"/>
        </w:trPr>
        <w:tc>
          <w:tcPr>
            <w:tcW w:w="3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Combined ratio of P&amp;C </w:t>
            </w:r>
            <w:r>
              <w:rPr>
                <w:rFonts w:ascii="Arial" w:cs="Arial" w:eastAsia="Arial" w:hAnsi="Arial"/>
                <w:sz w:val="29"/>
                <w:szCs w:val="29"/>
                <w:color w:val="auto"/>
                <w:vertAlign w:val="superscript"/>
              </w:rPr>
              <w:t>(6)(7)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w:t>
            </w: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620 bps</w:t>
            </w:r>
          </w:p>
        </w:tc>
        <w:tc>
          <w:tcPr>
            <w:tcW w:w="1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860 bps</w:t>
            </w:r>
          </w:p>
        </w:tc>
      </w:tr>
      <w:tr>
        <w:trPr>
          <w:trHeight w:val="257"/>
        </w:trPr>
        <w:tc>
          <w:tcPr>
            <w:tcW w:w="3500" w:type="dxa"/>
            <w:vAlign w:val="bottom"/>
          </w:tcPr>
          <w:p>
            <w:pPr>
              <w:spacing w:after="0" w:line="256" w:lineRule="exact"/>
              <w:rPr>
                <w:sz w:val="20"/>
                <w:szCs w:val="20"/>
                <w:color w:val="auto"/>
              </w:rPr>
            </w:pPr>
            <w:r>
              <w:rPr>
                <w:rFonts w:ascii="Arial" w:cs="Arial" w:eastAsia="Arial" w:hAnsi="Arial"/>
                <w:sz w:val="18"/>
                <w:szCs w:val="18"/>
                <w:color w:val="auto"/>
              </w:rPr>
              <w:t xml:space="preserve">Loss ratio </w:t>
            </w:r>
            <w:r>
              <w:rPr>
                <w:rFonts w:ascii="Arial" w:cs="Arial" w:eastAsia="Arial" w:hAnsi="Arial"/>
                <w:sz w:val="29"/>
                <w:szCs w:val="29"/>
                <w:color w:val="auto"/>
                <w:vertAlign w:val="superscript"/>
              </w:rPr>
              <w:t>(7)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58.6%</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57.6%</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-100 bps</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-230 bps</w:t>
            </w:r>
          </w:p>
        </w:tc>
      </w:tr>
      <w:tr>
        <w:trPr>
          <w:trHeight w:val="270"/>
        </w:trPr>
        <w:tc>
          <w:tcPr>
            <w:tcW w:w="350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w w:val="95"/>
              </w:rPr>
              <w:t xml:space="preserve">Underwriting result / net earned premiums </w:t>
            </w:r>
            <w:r>
              <w:rPr>
                <w:rFonts w:ascii="Arial" w:cs="Arial" w:eastAsia="Arial" w:hAnsi="Arial"/>
                <w:sz w:val="30"/>
                <w:szCs w:val="30"/>
                <w:color w:val="auto"/>
                <w:w w:val="95"/>
                <w:vertAlign w:val="superscript"/>
              </w:rPr>
              <w:t>(7)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-110 bps</w:t>
            </w:r>
          </w:p>
        </w:tc>
        <w:tc>
          <w:tcPr>
            <w:tcW w:w="1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-200 bps</w:t>
            </w:r>
          </w:p>
        </w:tc>
      </w:tr>
      <w:tr>
        <w:trPr>
          <w:trHeight w:val="237"/>
        </w:trPr>
        <w:tc>
          <w:tcPr>
            <w:tcW w:w="3500" w:type="dxa"/>
            <w:vAlign w:val="bottom"/>
          </w:tcPr>
          <w:p>
            <w:pPr>
              <w:spacing w:after="0" w:line="236" w:lineRule="exact"/>
              <w:rPr>
                <w:sz w:val="20"/>
                <w:szCs w:val="20"/>
                <w:color w:val="auto"/>
              </w:rPr>
            </w:pPr>
            <w:r>
              <w:rPr>
                <w:rFonts w:ascii="Arial" w:cs="Arial" w:eastAsia="Arial" w:hAnsi="Arial"/>
                <w:sz w:val="17"/>
                <w:szCs w:val="17"/>
                <w:b w:val="1"/>
                <w:bCs w:val="1"/>
                <w:color w:val="auto"/>
              </w:rPr>
              <w:t xml:space="preserve">Capital adequacy - BCP Stand-alone </w:t>
            </w:r>
            <w:r>
              <w:rPr>
                <w:rFonts w:ascii="Arial" w:cs="Arial" w:eastAsia="Arial" w:hAnsi="Arial"/>
                <w:sz w:val="27"/>
                <w:szCs w:val="27"/>
                <w:b w:val="1"/>
                <w:bCs w:val="1"/>
                <w:color w:val="auto"/>
                <w:vertAlign w:val="superscript"/>
              </w:rPr>
              <w:t>(8)</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57"/>
        </w:trPr>
        <w:tc>
          <w:tcPr>
            <w:tcW w:w="3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w:t>
            </w: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86 bps</w:t>
            </w:r>
          </w:p>
        </w:tc>
        <w:tc>
          <w:tcPr>
            <w:tcW w:w="1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-82 bps</w:t>
            </w:r>
          </w:p>
        </w:tc>
      </w:tr>
      <w:tr>
        <w:trPr>
          <w:trHeight w:val="257"/>
        </w:trPr>
        <w:tc>
          <w:tcPr>
            <w:tcW w:w="3500" w:type="dxa"/>
            <w:vAlign w:val="bottom"/>
          </w:tcPr>
          <w:p>
            <w:pPr>
              <w:spacing w:after="0" w:line="256" w:lineRule="exact"/>
              <w:rPr>
                <w:sz w:val="20"/>
                <w:szCs w:val="20"/>
                <w:color w:val="auto"/>
              </w:rPr>
            </w:pPr>
            <w:r>
              <w:rPr>
                <w:rFonts w:ascii="Arial" w:cs="Arial" w:eastAsia="Arial" w:hAnsi="Arial"/>
                <w:sz w:val="18"/>
                <w:szCs w:val="18"/>
                <w:color w:val="auto"/>
              </w:rPr>
              <w:t xml:space="preserve">Tier 1 Ratio </w:t>
            </w:r>
            <w:r>
              <w:rPr>
                <w:rFonts w:ascii="Arial" w:cs="Arial" w:eastAsia="Arial" w:hAnsi="Arial"/>
                <w:sz w:val="29"/>
                <w:szCs w:val="29"/>
                <w:color w:val="auto"/>
                <w:vertAlign w:val="superscript"/>
              </w:rPr>
              <w:t>(10)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11.76%</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11.75%</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91 bps</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-1 bps</w:t>
            </w:r>
          </w:p>
        </w:tc>
      </w:tr>
      <w:tr>
        <w:trPr>
          <w:trHeight w:val="270"/>
        </w:trPr>
        <w:tc>
          <w:tcPr>
            <w:tcW w:w="350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30"/>
                <w:szCs w:val="30"/>
                <w:color w:val="auto"/>
                <w:vertAlign w:val="superscript"/>
              </w:rPr>
              <w:t>(11)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w:t>
            </w: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-61 bps</w:t>
            </w:r>
          </w:p>
        </w:tc>
        <w:tc>
          <w:tcPr>
            <w:tcW w:w="1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30 bps</w:t>
            </w:r>
          </w:p>
        </w:tc>
      </w:tr>
      <w:tr>
        <w:trPr>
          <w:trHeight w:val="210"/>
        </w:trPr>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Employees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33,230</w:t>
            </w:r>
          </w:p>
        </w:tc>
        <w:tc>
          <w:tcPr>
            <w:tcW w:w="24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33,636</w:t>
            </w:r>
          </w:p>
        </w:tc>
        <w:tc>
          <w:tcPr>
            <w:tcW w:w="24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33,445</w:t>
            </w:r>
          </w:p>
        </w:tc>
        <w:tc>
          <w:tcPr>
            <w:tcW w:w="26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87"/>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 Information</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Outstanding Shares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94,382</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94,382</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94,382</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57"/>
        </w:trPr>
        <w:tc>
          <w:tcPr>
            <w:tcW w:w="3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Treasury Shares </w:t>
            </w:r>
            <w:r>
              <w:rPr>
                <w:rFonts w:ascii="Arial" w:cs="Arial" w:eastAsia="Arial" w:hAnsi="Arial"/>
                <w:sz w:val="29"/>
                <w:szCs w:val="29"/>
                <w:color w:val="auto"/>
                <w:vertAlign w:val="superscript"/>
              </w:rPr>
              <w:t>(12)</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14,621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14,621</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Floating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79,761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79,761</w:t>
            </w: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79,761</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0"/>
        </w:trPr>
        <w:tc>
          <w:tcPr>
            <w:tcW w:w="35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58" w:lineRule="auto"/>
        <w:tabs>
          <w:tab w:leader="none" w:pos="17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account or ratio has been modified retroactively, as a result of the improvement in the presentation of Credicorp's accounting accounts. This improvement allowed to</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show the net gain in derivatives and the result by difference in exchange.</w:t>
      </w:r>
    </w:p>
    <w:p>
      <w:pPr>
        <w:spacing w:after="0" w:line="9" w:lineRule="exact"/>
        <w:rPr>
          <w:rFonts w:ascii="Arial" w:cs="Arial" w:eastAsia="Arial" w:hAnsi="Arial"/>
          <w:sz w:val="18"/>
          <w:szCs w:val="18"/>
          <w:color w:val="auto"/>
        </w:rPr>
      </w:pPr>
    </w:p>
    <w:p>
      <w:pPr>
        <w:ind w:right="20"/>
        <w:spacing w:after="0" w:line="281" w:lineRule="auto"/>
        <w:rPr>
          <w:rFonts w:ascii="Arial" w:cs="Arial" w:eastAsia="Arial" w:hAnsi="Arial"/>
          <w:sz w:val="18"/>
          <w:szCs w:val="18"/>
          <w:color w:val="auto"/>
        </w:rPr>
      </w:pPr>
      <w:r>
        <w:rPr>
          <w:rFonts w:ascii="Arial" w:cs="Arial" w:eastAsia="Arial" w:hAnsi="Arial"/>
          <w:sz w:val="16"/>
          <w:szCs w:val="16"/>
          <w:color w:val="auto"/>
        </w:rPr>
        <w:t>(1) 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spacing w:after="0" w:line="1" w:lineRule="exact"/>
        <w:rPr>
          <w:rFonts w:ascii="Arial" w:cs="Arial" w:eastAsia="Arial" w:hAnsi="Arial"/>
          <w:sz w:val="18"/>
          <w:szCs w:val="18"/>
          <w:color w:val="auto"/>
        </w:rPr>
      </w:pPr>
    </w:p>
    <w:p>
      <w:pPr>
        <w:spacing w:after="0" w:line="250" w:lineRule="auto"/>
        <w:rPr>
          <w:rFonts w:ascii="Arial" w:cs="Arial" w:eastAsia="Arial" w:hAnsi="Arial"/>
          <w:sz w:val="18"/>
          <w:szCs w:val="18"/>
          <w:color w:val="auto"/>
        </w:rPr>
      </w:pPr>
      <w:r>
        <w:rPr>
          <w:rFonts w:ascii="Arial" w:cs="Arial" w:eastAsia="Arial" w:hAnsi="Arial"/>
          <w:sz w:val="18"/>
          <w:szCs w:val="18"/>
          <w:color w:val="auto"/>
        </w:rPr>
        <w:t>(2) Internal overdue loans: includes overdue loans and loans under legal collection, according to our internal policy for overdue loans. Internal Overdue Ratio: Internal Overdue Loans / Total Loans.</w:t>
      </w:r>
    </w:p>
    <w:p>
      <w:pPr>
        <w:spacing w:after="0"/>
        <w:rPr>
          <w:rFonts w:ascii="Arial" w:cs="Arial" w:eastAsia="Arial" w:hAnsi="Arial"/>
          <w:sz w:val="18"/>
          <w:szCs w:val="18"/>
          <w:color w:val="auto"/>
        </w:rPr>
      </w:pPr>
      <w:r>
        <w:rPr>
          <w:rFonts w:ascii="Arial" w:cs="Arial" w:eastAsia="Arial" w:hAnsi="Arial"/>
          <w:sz w:val="18"/>
          <w:szCs w:val="18"/>
          <w:color w:val="auto"/>
        </w:rPr>
        <w:t>(3) Non-performing loans (NPL): Internal overdue loans + Refinanced loans. NPL ratio: NPLs / Total loans.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 Cost of risk: Annualized provision for loan losses / Total loans.</w:t>
      </w:r>
    </w:p>
    <w:p>
      <w:pPr>
        <w:spacing w:after="0" w:line="9" w:lineRule="exact"/>
        <w:rPr>
          <w:rFonts w:ascii="Arial" w:cs="Arial" w:eastAsia="Arial" w:hAnsi="Arial"/>
          <w:sz w:val="18"/>
          <w:szCs w:val="18"/>
          <w:color w:val="auto"/>
        </w:rPr>
      </w:pPr>
    </w:p>
    <w:p>
      <w:pPr>
        <w:ind w:right="20"/>
        <w:spacing w:after="0" w:line="250" w:lineRule="auto"/>
        <w:rPr>
          <w:rFonts w:ascii="Arial" w:cs="Arial" w:eastAsia="Arial" w:hAnsi="Arial"/>
          <w:sz w:val="18"/>
          <w:szCs w:val="18"/>
          <w:color w:val="auto"/>
        </w:rPr>
      </w:pPr>
      <w:r>
        <w:rPr>
          <w:rFonts w:ascii="Arial" w:cs="Arial" w:eastAsia="Arial" w:hAnsi="Arial"/>
          <w:sz w:val="18"/>
          <w:szCs w:val="18"/>
          <w:color w:val="auto"/>
        </w:rPr>
        <w:t>(5) Efficiency ratio = [Total Expenses + Acquisition Cost - Other expenses] / [Net Interest Income + Fee Income + Net Gain on Foreign Exchange Transactions + Net Gain from Subsidiaries + Net Premiums Earned].</w:t>
      </w:r>
    </w:p>
    <w:p>
      <w:pPr>
        <w:ind w:right="20"/>
        <w:spacing w:after="0" w:line="250" w:lineRule="auto"/>
        <w:rPr>
          <w:rFonts w:ascii="Arial" w:cs="Arial" w:eastAsia="Arial" w:hAnsi="Arial"/>
          <w:sz w:val="18"/>
          <w:szCs w:val="18"/>
          <w:color w:val="auto"/>
        </w:rPr>
      </w:pPr>
      <w:r>
        <w:rPr>
          <w:rFonts w:ascii="Arial" w:cs="Arial" w:eastAsia="Arial" w:hAnsi="Arial"/>
          <w:sz w:val="18"/>
          <w:szCs w:val="18"/>
          <w:color w:val="auto"/>
        </w:rPr>
        <w:t>(6) Combined ratio= (Net claims / Net earned premiums) + [(Acquisition cost + Operating expenses) / Net earned premiums]. Does not include Life insurance business.</w:t>
      </w:r>
    </w:p>
    <w:p>
      <w:pPr>
        <w:spacing w:after="0"/>
        <w:rPr>
          <w:rFonts w:ascii="Arial" w:cs="Arial" w:eastAsia="Arial" w:hAnsi="Arial"/>
          <w:sz w:val="18"/>
          <w:szCs w:val="18"/>
          <w:color w:val="auto"/>
        </w:rPr>
      </w:pPr>
      <w:r>
        <w:rPr>
          <w:rFonts w:ascii="Arial" w:cs="Arial" w:eastAsia="Arial" w:hAnsi="Arial"/>
          <w:sz w:val="18"/>
          <w:szCs w:val="18"/>
          <w:color w:val="auto"/>
        </w:rPr>
        <w:t>(7) Considers Grupo Pacifico's figures before eliminations for consolidation to Credicorp.</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(8) All Capital ratios are for BCP Stand-alone and based on Peru GAAP.</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 Regulatory Capital / Risk-weighted assets (legal minimum = 10% since July 2011).</w:t>
      </w:r>
    </w:p>
    <w:p>
      <w:pPr>
        <w:spacing w:after="0" w:line="9" w:lineRule="exact"/>
        <w:rPr>
          <w:rFonts w:ascii="Arial" w:cs="Arial" w:eastAsia="Arial" w:hAnsi="Arial"/>
          <w:sz w:val="18"/>
          <w:szCs w:val="18"/>
          <w:color w:val="auto"/>
        </w:rPr>
      </w:pPr>
    </w:p>
    <w:p>
      <w:pPr>
        <w:jc w:val="both"/>
        <w:spacing w:after="0" w:line="323" w:lineRule="auto"/>
        <w:rPr>
          <w:rFonts w:ascii="Arial" w:cs="Arial" w:eastAsia="Arial" w:hAnsi="Arial"/>
          <w:sz w:val="18"/>
          <w:szCs w:val="18"/>
          <w:color w:val="auto"/>
        </w:rPr>
      </w:pPr>
      <w:r>
        <w:rPr>
          <w:rFonts w:ascii="Arial" w:cs="Arial" w:eastAsia="Arial" w:hAnsi="Arial"/>
          <w:sz w:val="16"/>
          <w:szCs w:val="16"/>
          <w:color w:val="auto"/>
        </w:rPr>
        <w:t>(10) 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w:t>
      </w:r>
    </w:p>
    <w:p>
      <w:pPr>
        <w:sectPr>
          <w:pgSz w:w="11900" w:h="16866" w:orient="portrait"/>
          <w:cols w:equalWidth="0" w:num="1">
            <w:col w:w="11420"/>
          </w:cols>
          <w:pgMar w:left="240" w:top="904" w:right="239" w:bottom="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Reserves + Accumulated earnings with capitalization agreement + Unrealized profit and net income in subsidiaries - Goodwill).</w:t>
      </w:r>
    </w:p>
    <w:p>
      <w:pPr>
        <w:spacing w:after="0" w:line="23" w:lineRule="exact"/>
        <w:rPr>
          <w:sz w:val="20"/>
          <w:szCs w:val="20"/>
          <w:color w:val="auto"/>
        </w:rPr>
      </w:pPr>
    </w:p>
    <w:p>
      <w:pPr>
        <w:ind w:firstLine="8"/>
        <w:spacing w:after="0" w:line="250" w:lineRule="auto"/>
        <w:tabs>
          <w:tab w:leader="none" w:pos="35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right="20"/>
        <w:spacing w:after="0" w:line="250" w:lineRule="auto"/>
        <w:rPr>
          <w:rFonts w:ascii="Arial" w:cs="Arial" w:eastAsia="Arial" w:hAnsi="Arial"/>
          <w:sz w:val="18"/>
          <w:szCs w:val="18"/>
          <w:color w:val="auto"/>
        </w:rPr>
      </w:pPr>
      <w:r>
        <w:rPr>
          <w:rFonts w:ascii="Arial" w:cs="Arial" w:eastAsia="Arial" w:hAnsi="Arial"/>
          <w:sz w:val="18"/>
          <w:szCs w:val="18"/>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shares are held by Atlantic Security Holding Corporation (ASHC).</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Credicorp and subsidiaries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Earnings contribution *</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3"/>
          </w:tcPr>
          <w:p>
            <w:pPr>
              <w:ind w:left="880"/>
              <w:spacing w:after="0"/>
              <w:rPr>
                <w:sz w:val="20"/>
                <w:szCs w:val="20"/>
                <w:color w:val="auto"/>
              </w:rPr>
            </w:pPr>
            <w:r>
              <w:rPr>
                <w:rFonts w:ascii="Arial" w:cs="Arial" w:eastAsia="Arial" w:hAnsi="Arial"/>
                <w:sz w:val="18"/>
                <w:szCs w:val="18"/>
                <w:b w:val="1"/>
                <w:bCs w:val="1"/>
                <w:color w:val="auto"/>
                <w:w w:val="97"/>
              </w:rPr>
              <w:t>% change</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1Q17</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4Q17</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1Q18</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50"/>
        </w:trPr>
        <w:tc>
          <w:tcPr>
            <w:tcW w:w="354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Banco de Crédito BCP </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692,162</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733,244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860,241</w:t>
            </w: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17.3%</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57"/>
        </w:trPr>
        <w:tc>
          <w:tcPr>
            <w:tcW w:w="362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Mibanco </w:t>
            </w:r>
            <w:r>
              <w:rPr>
                <w:rFonts w:ascii="Arial" w:cs="Arial" w:eastAsia="Arial" w:hAnsi="Arial"/>
                <w:sz w:val="29"/>
                <w:szCs w:val="29"/>
                <w:color w:val="auto"/>
                <w:vertAlign w:val="superscript"/>
              </w:rPr>
              <w:t>(2)</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65,241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116,851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123,621</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89.5%</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BCB</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19,594</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18,755</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18,480</w:t>
            </w: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57"/>
        </w:trPr>
        <w:tc>
          <w:tcPr>
            <w:tcW w:w="36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Grupo Pacífico </w:t>
            </w:r>
            <w:r>
              <w:rPr>
                <w:rFonts w:ascii="Arial" w:cs="Arial" w:eastAsia="Arial" w:hAnsi="Arial"/>
                <w:sz w:val="29"/>
                <w:szCs w:val="29"/>
                <w:color w:val="auto"/>
                <w:vertAlign w:val="superscript"/>
              </w:rPr>
              <w:t>(3)</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80,191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80,584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77,295</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 AFP</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41,711</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30,424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35,257</w:t>
            </w: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Credicorp Capital</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14,513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14,142</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21,074</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49.0%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45.2%</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Atlantic Security Bank</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40,320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48,904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30,699</w:t>
            </w: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-37.2%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70"/>
        </w:trPr>
        <w:tc>
          <w:tcPr>
            <w:tcW w:w="362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30"/>
                <w:szCs w:val="30"/>
                <w:color w:val="auto"/>
                <w:vertAlign w:val="superscript"/>
              </w:rPr>
              <w:t>(4)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1,084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137,605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(5,238)</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-103.8%</w:t>
            </w:r>
          </w:p>
        </w:tc>
        <w:tc>
          <w:tcPr>
            <w:tcW w:w="320" w:type="dxa"/>
            <w:vAlign w:val="bottom"/>
          </w:tcPr>
          <w:p>
            <w:pPr>
              <w:spacing w:after="0"/>
              <w:rPr>
                <w:sz w:val="23"/>
                <w:szCs w:val="23"/>
                <w:color w:val="auto"/>
              </w:rPr>
            </w:pPr>
          </w:p>
        </w:tc>
        <w:tc>
          <w:tcPr>
            <w:tcW w:w="1000" w:type="dxa"/>
            <w:vAlign w:val="bottom"/>
            <w:gridSpan w:val="2"/>
          </w:tcPr>
          <w:p>
            <w:pPr>
              <w:jc w:val="right"/>
              <w:ind w:right="110"/>
              <w:spacing w:after="0"/>
              <w:rPr>
                <w:sz w:val="20"/>
                <w:szCs w:val="20"/>
                <w:color w:val="auto"/>
              </w:rPr>
            </w:pPr>
            <w:r>
              <w:rPr>
                <w:rFonts w:ascii="Arial" w:cs="Arial" w:eastAsia="Arial" w:hAnsi="Arial"/>
                <w:sz w:val="18"/>
                <w:szCs w:val="18"/>
                <w:color w:val="auto"/>
              </w:rPr>
              <w:t>N/A</w:t>
            </w:r>
          </w:p>
        </w:tc>
      </w:tr>
      <w:tr>
        <w:trPr>
          <w:trHeight w:val="210"/>
        </w:trPr>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Credicorp</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889,575</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1,063,658</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1,037,808</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ind w:right="1840"/>
        <w:spacing w:after="0" w:line="258" w:lineRule="auto"/>
        <w:rPr>
          <w:sz w:val="20"/>
          <w:szCs w:val="20"/>
          <w:color w:val="auto"/>
        </w:rPr>
      </w:pPr>
      <w:r>
        <w:rPr>
          <w:rFonts w:ascii="Arial" w:cs="Arial" w:eastAsia="Arial" w:hAnsi="Arial"/>
          <w:sz w:val="18"/>
          <w:szCs w:val="18"/>
          <w:color w:val="auto"/>
        </w:rPr>
        <w:t>*Contributions to Credicorp reflect the eliminations for consolidation purposes (e.g. eliminations for transactions among Credicorp’s subsidiaries or between Credicorp and its subsidiaries)</w:t>
      </w:r>
    </w:p>
    <w:p>
      <w:pPr>
        <w:spacing w:after="0" w:line="1"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Banco de Credito BCP includes BCP Stand-alone and subsidiaries such as Mibanco.</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figure is lower than the net income of Mibanco because Credicorp owns 95.36% of Mibanco (directly and indirectly).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contribution is higher than Grupo Pacifico’s net income because Credicorp owns 65.20% directly, and 33.59% through Grupo Credito.</w:t>
      </w:r>
    </w:p>
    <w:p>
      <w:pPr>
        <w:spacing w:after="0" w:line="9" w:lineRule="exact"/>
        <w:rPr>
          <w:rFonts w:ascii="Arial" w:cs="Arial" w:eastAsia="Arial" w:hAnsi="Arial"/>
          <w:sz w:val="18"/>
          <w:szCs w:val="18"/>
          <w:color w:val="auto"/>
        </w:rPr>
      </w:pPr>
    </w:p>
    <w:p>
      <w:pPr>
        <w:ind w:right="1520" w:firstLine="8"/>
        <w:spacing w:after="0" w:line="261"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Grupo Credito excluding Prima (Servicorp and Emisiones BCP Latam), others of Atlantic Security Holding Corporation and others of Credicorp Ltd.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Quarter</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5420" w:type="dxa"/>
            <w:vAlign w:val="bottom"/>
            <w:tcBorders>
              <w:bottom w:val="single" w:sz="8" w:color="auto"/>
            </w:tcBorders>
          </w:tcPr>
          <w:p>
            <w:pPr>
              <w:ind w:left="2440"/>
              <w:spacing w:after="0"/>
              <w:rPr>
                <w:sz w:val="20"/>
                <w:szCs w:val="20"/>
                <w:color w:val="auto"/>
              </w:rPr>
            </w:pPr>
            <w:r>
              <w:rPr>
                <w:rFonts w:ascii="Arial" w:cs="Arial" w:eastAsia="Arial" w:hAnsi="Arial"/>
                <w:sz w:val="18"/>
                <w:szCs w:val="18"/>
                <w:b w:val="1"/>
                <w:bCs w:val="1"/>
                <w:color w:val="auto"/>
              </w:rPr>
              <w:t>ROAE</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1Q17</w:t>
            </w:r>
          </w:p>
        </w:tc>
        <w:tc>
          <w:tcPr>
            <w:tcW w:w="2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4Q17</w:t>
            </w:r>
          </w:p>
        </w:tc>
        <w:tc>
          <w:tcPr>
            <w:tcW w:w="2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1Q18</w:t>
            </w:r>
          </w:p>
        </w:tc>
        <w:tc>
          <w:tcPr>
            <w:tcW w:w="180" w:type="dxa"/>
            <w:vAlign w:val="bottom"/>
            <w:tcBorders>
              <w:bottom w:val="single" w:sz="8" w:color="CCEEFF"/>
            </w:tcBorders>
          </w:tcPr>
          <w:p>
            <w:pPr>
              <w:spacing w:after="0"/>
              <w:rPr>
                <w:sz w:val="20"/>
                <w:szCs w:val="20"/>
                <w:color w:val="auto"/>
              </w:rPr>
            </w:pPr>
          </w:p>
        </w:tc>
      </w:tr>
      <w:tr>
        <w:trPr>
          <w:trHeight w:val="250"/>
        </w:trPr>
        <w:tc>
          <w:tcPr>
            <w:tcW w:w="542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Banco de Credito BCP </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3"/>
              </w:rPr>
              <w:t>23.1%</w:t>
            </w:r>
          </w:p>
        </w:tc>
      </w:tr>
      <w:tr>
        <w:trPr>
          <w:trHeight w:val="257"/>
        </w:trPr>
        <w:tc>
          <w:tcPr>
            <w:tcW w:w="550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Mibanco </w:t>
            </w:r>
            <w:r>
              <w:rPr>
                <w:rFonts w:ascii="Arial" w:cs="Arial" w:eastAsia="Arial" w:hAnsi="Arial"/>
                <w:sz w:val="29"/>
                <w:szCs w:val="29"/>
                <w:color w:val="auto"/>
                <w:vertAlign w:val="superscript"/>
              </w:rPr>
              <w:t>(2)</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17.9%</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28.8%</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w w:val="93"/>
              </w:rPr>
              <w:t>29.4%</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BCB</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3"/>
              </w:rPr>
              <w:t>11.8%</w:t>
            </w:r>
          </w:p>
        </w:tc>
      </w:tr>
      <w:tr>
        <w:trPr>
          <w:trHeight w:val="257"/>
        </w:trPr>
        <w:tc>
          <w:tcPr>
            <w:tcW w:w="55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Grupo Pacífico </w:t>
            </w:r>
            <w:r>
              <w:rPr>
                <w:rFonts w:ascii="Arial" w:cs="Arial" w:eastAsia="Arial" w:hAnsi="Arial"/>
                <w:sz w:val="29"/>
                <w:szCs w:val="29"/>
                <w:color w:val="auto"/>
                <w:vertAlign w:val="superscript"/>
              </w:rPr>
              <w:t>(3)</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14.8%</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11.7%</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w w:val="93"/>
              </w:rPr>
              <w:t>11.3%</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30.6%</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3"/>
              </w:rPr>
              <w:t>24.3%</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Credicorp Capital</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7.3%</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7.1%</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w w:val="93"/>
              </w:rPr>
              <w:t>11.1%</w:t>
            </w:r>
          </w:p>
        </w:tc>
      </w:tr>
      <w:tr>
        <w:trPr>
          <w:trHeight w:val="230"/>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Atlantic Security Bank</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3"/>
              </w:rPr>
              <w:t>15.4%</w:t>
            </w:r>
          </w:p>
        </w:tc>
      </w:tr>
      <w:tr>
        <w:trPr>
          <w:trHeight w:val="210"/>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Credicorp</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18.1</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19.5</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ind w:left="660"/>
              <w:spacing w:after="0"/>
              <w:rPr>
                <w:sz w:val="20"/>
                <w:szCs w:val="20"/>
                <w:color w:val="auto"/>
              </w:rPr>
            </w:pPr>
            <w:r>
              <w:rPr>
                <w:rFonts w:ascii="Arial" w:cs="Arial" w:eastAsia="Arial" w:hAnsi="Arial"/>
                <w:sz w:val="18"/>
                <w:szCs w:val="18"/>
                <w:b w:val="1"/>
                <w:bCs w:val="1"/>
                <w:color w:val="auto"/>
                <w:w w:val="79"/>
              </w:rPr>
              <w:t>19.3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5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Banco de Credito BCP includes BCP Stand-alone and subsidiaries such as Mibanco.</w:t>
      </w:r>
    </w:p>
    <w:p>
      <w:pPr>
        <w:spacing w:after="0" w:line="23" w:lineRule="exact"/>
        <w:rPr>
          <w:rFonts w:ascii="Arial" w:cs="Arial" w:eastAsia="Arial" w:hAnsi="Arial"/>
          <w:sz w:val="18"/>
          <w:szCs w:val="18"/>
          <w:color w:val="auto"/>
        </w:rPr>
      </w:pPr>
    </w:p>
    <w:p>
      <w:pPr>
        <w:ind w:firstLine="8"/>
        <w:spacing w:after="0" w:line="250"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ROAE including goodwill of BCP from the acquisition of Edyficar (Approximately US$ 50.7 million) was 16.3% in 1Q17, 26.5% in 4Q17 and 27.1% in 1Q18.</w:t>
      </w:r>
    </w:p>
    <w:p>
      <w:pPr>
        <w:ind w:firstLine="8"/>
        <w:spacing w:after="0" w:line="261" w:lineRule="auto"/>
        <w:tabs>
          <w:tab w:leader="none" w:pos="267" w:val="left"/>
        </w:tabs>
        <w:numPr>
          <w:ilvl w:val="0"/>
          <w:numId w:val="5"/>
        </w:numPr>
        <w:rPr>
          <w:rFonts w:ascii="Arial" w:cs="Arial" w:eastAsia="Arial" w:hAnsi="Arial"/>
          <w:sz w:val="18"/>
          <w:szCs w:val="18"/>
          <w:color w:val="auto"/>
        </w:rPr>
      </w:pPr>
      <w:r>
        <w:rPr>
          <w:rFonts w:ascii="Arial" w:cs="Arial" w:eastAsia="Arial" w:hAnsi="Arial"/>
          <w:sz w:val="18"/>
          <w:szCs w:val="18"/>
          <w:color w:val="auto"/>
        </w:rPr>
        <w:t>Figures include unrealized gains or losses that are considered in Pacifico’s Net Equity from the investment portfolio of Pacifico Vida. ROAE excluding such unrealized gains was 17.4% in 1Q17, 15.5% in 4Q17 and 15.1% in 1Q18.</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Interest-earning assets (IEA)</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At the end of March 2018, IEAs reported a slight contraction QoQ after posting relatively significant growth in 4Q17 due to an increase in year-end loan balances. Nevertheless, the YoY evolution, which eliminates the effect of seasonality of loans, reveals an improvement that was mainly attributable to loan growth, and to a lesser extent, to the evolution of total investments. In terms of loans, our most profitable asset, the slight recovery posted by average daily balances, which expanded 2.8% QoQ and 7% YoY, was primarily due to growth in the Wholesale Banking, Consumer, Mibanco and Mortgage segments.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As of</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3"/>
          </w:tcPr>
          <w:p>
            <w:pPr>
              <w:ind w:left="800"/>
              <w:spacing w:after="0"/>
              <w:rPr>
                <w:sz w:val="20"/>
                <w:szCs w:val="20"/>
                <w:color w:val="auto"/>
              </w:rPr>
            </w:pPr>
            <w:r>
              <w:rPr>
                <w:rFonts w:ascii="Arial" w:cs="Arial" w:eastAsia="Arial" w:hAnsi="Arial"/>
                <w:sz w:val="18"/>
                <w:szCs w:val="18"/>
                <w:b w:val="1"/>
                <w:bCs w:val="1"/>
                <w:color w:val="auto"/>
                <w:w w:val="95"/>
              </w:rPr>
              <w:t>% change</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 17</w:t>
            </w:r>
          </w:p>
        </w:tc>
        <w:tc>
          <w:tcPr>
            <w:tcW w:w="1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Dec 17</w:t>
            </w:r>
          </w:p>
        </w:tc>
        <w:tc>
          <w:tcPr>
            <w:tcW w:w="1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 18</w:t>
            </w:r>
          </w:p>
        </w:tc>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BCRP and other banks</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24,829,640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25,103,566</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22,290,932</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270,032</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207,559</w:t>
            </w:r>
          </w:p>
        </w:tc>
        <w:tc>
          <w:tcPr>
            <w:tcW w:w="1060" w:type="dxa"/>
            <w:vAlign w:val="bottom"/>
          </w:tcPr>
          <w:p>
            <w:pPr>
              <w:jc w:val="right"/>
              <w:spacing w:after="0"/>
              <w:rPr>
                <w:sz w:val="20"/>
                <w:szCs w:val="20"/>
                <w:color w:val="auto"/>
              </w:rPr>
            </w:pPr>
            <w:r>
              <w:rPr>
                <w:rFonts w:ascii="Arial" w:cs="Arial" w:eastAsia="Arial" w:hAnsi="Arial"/>
                <w:sz w:val="18"/>
                <w:szCs w:val="18"/>
                <w:color w:val="auto"/>
              </w:rPr>
              <w:t>72,611</w:t>
            </w:r>
          </w:p>
        </w:tc>
        <w:tc>
          <w:tcPr>
            <w:tcW w:w="200" w:type="dxa"/>
            <w:vAlign w:val="bottom"/>
          </w:tcPr>
          <w:p>
            <w:pPr>
              <w:spacing w:after="0"/>
              <w:rPr>
                <w:sz w:val="18"/>
                <w:szCs w:val="18"/>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-65.0%</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-73.1%</w:t>
            </w: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31,315,828</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33,415,912</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35,062,878</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70"/>
        </w:trPr>
        <w:tc>
          <w:tcPr>
            <w:tcW w:w="342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Total loans </w:t>
            </w:r>
            <w:r>
              <w:rPr>
                <w:rFonts w:ascii="Arial" w:cs="Arial" w:eastAsia="Arial" w:hAnsi="Arial"/>
                <w:sz w:val="30"/>
                <w:szCs w:val="30"/>
                <w:color w:val="auto"/>
                <w:vertAlign w:val="superscript"/>
              </w:rPr>
              <w:t>(1)</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92,414,588</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100,477,774</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100,570,511</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10"/>
        </w:trPr>
        <w:tc>
          <w:tcPr>
            <w:tcW w:w="3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interest earning assets</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148,830,088</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159,204,811</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157,996,932</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461"/>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Investments </w:t>
            </w:r>
            <w:r>
              <w:rPr>
                <w:rFonts w:ascii="Arial" w:cs="Arial" w:eastAsia="Arial" w:hAnsi="Arial"/>
                <w:sz w:val="30"/>
                <w:szCs w:val="30"/>
                <w:b w:val="1"/>
                <w:bCs w:val="1"/>
                <w:color w:val="auto"/>
                <w:vertAlign w:val="superscript"/>
              </w:rPr>
              <w:t>(2)</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As of</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3"/>
          </w:tcPr>
          <w:p>
            <w:pPr>
              <w:ind w:left="800"/>
              <w:spacing w:after="0"/>
              <w:rPr>
                <w:sz w:val="20"/>
                <w:szCs w:val="20"/>
                <w:color w:val="auto"/>
              </w:rPr>
            </w:pPr>
            <w:r>
              <w:rPr>
                <w:rFonts w:ascii="Arial" w:cs="Arial" w:eastAsia="Arial" w:hAnsi="Arial"/>
                <w:sz w:val="18"/>
                <w:szCs w:val="18"/>
                <w:b w:val="1"/>
                <w:bCs w:val="1"/>
                <w:color w:val="auto"/>
                <w:w w:val="95"/>
              </w:rPr>
              <w:t>% change</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 17</w:t>
            </w:r>
          </w:p>
        </w:tc>
        <w:tc>
          <w:tcPr>
            <w:tcW w:w="1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Dec 17</w:t>
            </w:r>
          </w:p>
        </w:tc>
        <w:tc>
          <w:tcPr>
            <w:tcW w:w="1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 18</w:t>
            </w:r>
          </w:p>
        </w:tc>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5,248,004</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4,549,050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8,312,081</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82.7%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Investments available for sale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21,031,475</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24,437,263</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22,673,306</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held to maturity</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5,036,349</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4,429,599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4,077,491</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10"/>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31,315,828</w:t>
            </w:r>
          </w:p>
        </w:tc>
        <w:tc>
          <w:tcPr>
            <w:tcW w:w="18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33,415,912</w:t>
            </w:r>
          </w:p>
        </w:tc>
        <w:tc>
          <w:tcPr>
            <w:tcW w:w="18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35,062,878</w:t>
            </w:r>
          </w:p>
        </w:tc>
        <w:tc>
          <w:tcPr>
            <w:tcW w:w="2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Evolution of IEA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loans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loans, measured in quarter-end balances, remained at a similar level as in 4Q17, which was expected since last quarter growth was concentrated near the end of the period. This was in line with:</w:t>
      </w:r>
    </w:p>
    <w:p>
      <w:pPr>
        <w:spacing w:after="0" w:line="170" w:lineRule="exact"/>
        <w:rPr>
          <w:sz w:val="20"/>
          <w:szCs w:val="20"/>
          <w:color w:val="auto"/>
        </w:rPr>
      </w:pPr>
    </w:p>
    <w:p>
      <w:pPr>
        <w:ind w:left="880" w:hanging="49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Loan growth in wholesale banking; and</w:t>
      </w:r>
    </w:p>
    <w:p>
      <w:pPr>
        <w:spacing w:after="0" w:line="225"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Growth in all segments of Retail Banking and Mibanco, partially explained by seasonality. In the Retail Banking portfolio, the SME-Pyme segment led expansion.</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YoY evolution of quarter-end balances, which eliminates the seasonality effect, shows a significant improvement in loan growth, particularly if compared with the low loan growth YoY registered in 1Q17 (+1%).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noteworthy that 1Q18 shows an improvement in loan evolution, particularly since loan growth measured in quarter-end balances in 1Q17 was -2.5% QoQ and 1% YoY.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YoY analysis of the composition of the investment portfolio mainly reflects the impact of applying NIIF 9 at the Credicorp level, which has meant that approximately S/ 1,593.4 million in investments that were previously classified as available for sale (in accordance with NIC 39) are currently classified as trading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809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2" w:lineRule="exact"/>
        <w:rPr>
          <w:sz w:val="20"/>
          <w:szCs w:val="20"/>
          <w:color w:val="auto"/>
        </w:rPr>
      </w:pPr>
    </w:p>
    <w:p>
      <w:pPr>
        <w:ind w:left="120" w:hanging="112"/>
        <w:spacing w:after="0"/>
        <w:tabs>
          <w:tab w:leader="none" w:pos="12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Quarter-end balance</w:t>
      </w:r>
    </w:p>
    <w:p>
      <w:pPr>
        <w:spacing w:after="0" w:line="26" w:lineRule="exact"/>
        <w:rPr>
          <w:sz w:val="20"/>
          <w:szCs w:val="20"/>
          <w:color w:val="auto"/>
        </w:rPr>
      </w:pPr>
    </w:p>
    <w:p>
      <w:pPr>
        <w:jc w:val="both"/>
        <w:ind w:firstLine="8"/>
        <w:spacing w:after="0" w:line="218" w:lineRule="auto"/>
        <w:tabs>
          <w:tab w:leader="none" w:pos="134"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The names that IFRS 9 defines for accounts related to investments are: Investment Securities at Fair Value Through Profit or Loss Investment (FVTPL), Investment Securities at Fair Value Through Other Comprehensive Income Investment (FVOCI) and Investment Securities at Amortized Cost. These names will not be used for practical reasons, instead the following will be used: Trading Securities, Investments Available for Sale and Investments Held to Maturity, respectively.</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Other IEA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BCRP and other banks fell -11.2% QoQ and -10.2% YoY due to lower balances in BCRP, which was in line with a contraction in BCRP instruments at the BCP consolidated level due to maturities.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Credicorp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Loan evolution by business segment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Next, we will discuss loan composition by business segments measured in average daily balances, which provides a clearer picture of interest income generation relative to loans, Credicorp’s primary source of income. Additionally, average daily loans reveal trends or variations to a different degree than quarter-end balances, which immediately reflect the effect of loan payments or disbursements that take place at quarter-end. These factors have a less marked effect on average daily balances and as such, provide a less distorted view of the evolution of interest income generation on loans.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general, average daily loan balances posted an improvement in their dynamic both QoQ and YoY due to a recovery in Wholesale Banking volumes, which was accompanied by loan growth in the Retail Banking, Mibanco and BCP Bolivia segments.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regard to the portfolio risk, a shift has occurred at BCP Stand-alone, where Wholesale Banking has increased its share of total loans QoQ. This has had a negative impact on the Net Interest Margin (NIM), which we will explain later in this report.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evolution measured in average daily balances by segment</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2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9"/>
              </w:rPr>
              <w:t>TOTAL LOANS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vMerge w:val="restart"/>
          </w:tcPr>
          <w:p>
            <w:pPr>
              <w:ind w:left="560"/>
              <w:spacing w:after="0"/>
              <w:rPr>
                <w:sz w:val="20"/>
                <w:szCs w:val="20"/>
                <w:color w:val="auto"/>
              </w:rPr>
            </w:pPr>
            <w:r>
              <w:rPr>
                <w:rFonts w:ascii="Arial" w:cs="Arial" w:eastAsia="Arial" w:hAnsi="Arial"/>
                <w:sz w:val="18"/>
                <w:szCs w:val="18"/>
                <w:b w:val="1"/>
                <w:bCs w:val="1"/>
                <w:color w:val="auto"/>
                <w:w w:val="90"/>
              </w:rPr>
              <w:t>% change</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4"/>
            <w:vMerge w:val="restart"/>
          </w:tcPr>
          <w:p>
            <w:pPr>
              <w:jc w:val="right"/>
              <w:ind w:right="330"/>
              <w:spacing w:after="0"/>
              <w:rPr>
                <w:sz w:val="20"/>
                <w:szCs w:val="20"/>
                <w:color w:val="auto"/>
              </w:rPr>
            </w:pPr>
            <w:r>
              <w:rPr>
                <w:rFonts w:ascii="Arial" w:cs="Arial" w:eastAsia="Arial" w:hAnsi="Arial"/>
                <w:sz w:val="18"/>
                <w:szCs w:val="18"/>
                <w:b w:val="1"/>
                <w:bCs w:val="1"/>
                <w:color w:val="auto"/>
              </w:rPr>
              <w:t>% Part. in total loans</w:t>
            </w:r>
          </w:p>
        </w:tc>
        <w:tc>
          <w:tcPr>
            <w:tcW w:w="0" w:type="dxa"/>
            <w:vAlign w:val="bottom"/>
          </w:tcPr>
          <w:p>
            <w:pPr>
              <w:spacing w:after="0"/>
              <w:rPr>
                <w:sz w:val="1"/>
                <w:szCs w:val="1"/>
                <w:color w:val="auto"/>
              </w:rPr>
            </w:pPr>
          </w:p>
        </w:tc>
      </w:tr>
      <w:tr>
        <w:trPr>
          <w:trHeight w:val="226"/>
        </w:trPr>
        <w:tc>
          <w:tcPr>
            <w:tcW w:w="2380" w:type="dxa"/>
            <w:vAlign w:val="bottom"/>
          </w:tcPr>
          <w:p>
            <w:pPr>
              <w:spacing w:after="0"/>
              <w:rPr>
                <w:sz w:val="19"/>
                <w:szCs w:val="19"/>
                <w:color w:val="auto"/>
              </w:rPr>
            </w:pPr>
          </w:p>
        </w:tc>
        <w:tc>
          <w:tcPr>
            <w:tcW w:w="2400" w:type="dxa"/>
            <w:vAlign w:val="bottom"/>
            <w:gridSpan w:val="5"/>
          </w:tcPr>
          <w:p>
            <w:pPr>
              <w:jc w:val="center"/>
              <w:ind w:left="550"/>
              <w:spacing w:after="0"/>
              <w:rPr>
                <w:sz w:val="20"/>
                <w:szCs w:val="20"/>
                <w:color w:val="auto"/>
              </w:rPr>
            </w:pPr>
            <w:r>
              <w:rPr>
                <w:rFonts w:ascii="Arial" w:cs="Arial" w:eastAsia="Arial" w:hAnsi="Arial"/>
                <w:sz w:val="18"/>
                <w:szCs w:val="18"/>
                <w:b w:val="1"/>
                <w:bCs w:val="1"/>
                <w:i w:val="1"/>
                <w:iCs w:val="1"/>
                <w:color w:val="auto"/>
                <w:w w:val="87"/>
              </w:rPr>
              <w:t>Expressed in million 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vMerge w:val="continue"/>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1Q17</w:t>
            </w:r>
          </w:p>
        </w:tc>
        <w:tc>
          <w:tcPr>
            <w:tcW w:w="2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4Q17</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1Q18</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gridSpan w:val="2"/>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1Q17</w:t>
            </w:r>
          </w:p>
        </w:tc>
        <w:tc>
          <w:tcPr>
            <w:tcW w:w="2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1Q18</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BCP Stand-alone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77,027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79,755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82,078</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81.7%</w:t>
            </w:r>
          </w:p>
        </w:tc>
        <w:tc>
          <w:tcPr>
            <w:tcW w:w="0" w:type="dxa"/>
            <w:vAlign w:val="bottom"/>
          </w:tcPr>
          <w:p>
            <w:pPr>
              <w:spacing w:after="0"/>
              <w:rPr>
                <w:sz w:val="1"/>
                <w:szCs w:val="1"/>
                <w:color w:val="auto"/>
              </w:rPr>
            </w:pPr>
          </w:p>
        </w:tc>
      </w:tr>
      <w:tr>
        <w:trPr>
          <w:trHeight w:val="216"/>
        </w:trPr>
        <w:tc>
          <w:tcPr>
            <w:tcW w:w="2380" w:type="dxa"/>
            <w:vAlign w:val="bottom"/>
          </w:tcPr>
          <w:p>
            <w:pPr>
              <w:ind w:left="160"/>
              <w:spacing w:after="0"/>
              <w:rPr>
                <w:sz w:val="20"/>
                <w:szCs w:val="20"/>
                <w:color w:val="auto"/>
              </w:rPr>
            </w:pPr>
            <w:r>
              <w:rPr>
                <w:rFonts w:ascii="Arial" w:cs="Arial" w:eastAsia="Arial" w:hAnsi="Arial"/>
                <w:sz w:val="18"/>
                <w:szCs w:val="18"/>
                <w:b w:val="1"/>
                <w:bCs w:val="1"/>
                <w:color w:val="auto"/>
              </w:rPr>
              <w:t>Wholesale Banking</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40,704</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41,481</w:t>
            </w: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43,372</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6.6%</w:t>
            </w:r>
          </w:p>
        </w:tc>
        <w:tc>
          <w:tcPr>
            <w:tcW w:w="12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43.4%</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43.2%</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27,096</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26,696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27,564</w:t>
            </w:r>
          </w:p>
        </w:tc>
        <w:tc>
          <w:tcPr>
            <w:tcW w:w="100" w:type="dxa"/>
            <w:vAlign w:val="bottom"/>
            <w:shd w:val="clear" w:color="auto" w:fill="C5D9F1"/>
          </w:tcPr>
          <w:p>
            <w:pPr>
              <w:spacing w:after="0"/>
              <w:rPr>
                <w:sz w:val="18"/>
                <w:szCs w:val="18"/>
                <w:color w:val="auto"/>
              </w:rPr>
            </w:pPr>
          </w:p>
        </w:tc>
        <w:tc>
          <w:tcPr>
            <w:tcW w:w="980" w:type="dxa"/>
            <w:vAlign w:val="bottom"/>
            <w:gridSpan w:val="2"/>
            <w:shd w:val="clear" w:color="auto" w:fill="C5D9F1"/>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380" w:type="dxa"/>
            <w:vAlign w:val="bottom"/>
          </w:tcPr>
          <w:p>
            <w:pPr>
              <w:ind w:left="320"/>
              <w:spacing w:after="0"/>
              <w:rPr>
                <w:sz w:val="20"/>
                <w:szCs w:val="20"/>
                <w:color w:val="auto"/>
              </w:rPr>
            </w:pPr>
            <w:r>
              <w:rPr>
                <w:rFonts w:ascii="Arial" w:cs="Arial" w:eastAsia="Arial" w:hAnsi="Arial"/>
                <w:sz w:val="18"/>
                <w:szCs w:val="18"/>
                <w:color w:val="auto"/>
              </w:rPr>
              <w:t>Middle - Market</w:t>
            </w:r>
          </w:p>
        </w:tc>
        <w:tc>
          <w:tcPr>
            <w:tcW w:w="880" w:type="dxa"/>
            <w:vAlign w:val="bottom"/>
          </w:tcPr>
          <w:p>
            <w:pPr>
              <w:jc w:val="right"/>
              <w:spacing w:after="0"/>
              <w:rPr>
                <w:sz w:val="20"/>
                <w:szCs w:val="20"/>
                <w:color w:val="auto"/>
              </w:rPr>
            </w:pPr>
            <w:r>
              <w:rPr>
                <w:rFonts w:ascii="Arial" w:cs="Arial" w:eastAsia="Arial" w:hAnsi="Arial"/>
                <w:sz w:val="18"/>
                <w:szCs w:val="18"/>
                <w:color w:val="auto"/>
              </w:rPr>
              <w:t>13,607</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14,784</w:t>
            </w: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15,808</w:t>
            </w:r>
          </w:p>
        </w:tc>
        <w:tc>
          <w:tcPr>
            <w:tcW w:w="100" w:type="dxa"/>
            <w:vAlign w:val="bottom"/>
            <w:shd w:val="clear" w:color="auto" w:fill="C5D9F1"/>
          </w:tcPr>
          <w:p>
            <w:pPr>
              <w:spacing w:after="0"/>
              <w:rPr>
                <w:sz w:val="18"/>
                <w:szCs w:val="18"/>
                <w:color w:val="auto"/>
              </w:rPr>
            </w:pPr>
          </w:p>
        </w:tc>
        <w:tc>
          <w:tcPr>
            <w:tcW w:w="980" w:type="dxa"/>
            <w:vAlign w:val="bottom"/>
            <w:gridSpan w:val="2"/>
            <w:shd w:val="clear" w:color="auto" w:fill="C5D9F1"/>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5D9F1"/>
          </w:tcPr>
          <w:p>
            <w:pPr>
              <w:spacing w:after="0"/>
              <w:rPr>
                <w:sz w:val="18"/>
                <w:szCs w:val="18"/>
                <w:color w:val="auto"/>
              </w:rPr>
            </w:pPr>
          </w:p>
        </w:tc>
        <w:tc>
          <w:tcPr>
            <w:tcW w:w="260" w:type="dxa"/>
            <w:vAlign w:val="bottom"/>
            <w:shd w:val="clear" w:color="auto" w:fill="C5D9F1"/>
          </w:tcPr>
          <w:p>
            <w:pPr>
              <w:spacing w:after="0"/>
              <w:rPr>
                <w:sz w:val="18"/>
                <w:szCs w:val="18"/>
                <w:color w:val="auto"/>
              </w:rPr>
            </w:pPr>
          </w:p>
        </w:tc>
        <w:tc>
          <w:tcPr>
            <w:tcW w:w="820" w:type="dxa"/>
            <w:vAlign w:val="bottom"/>
            <w:gridSpan w:val="2"/>
            <w:shd w:val="clear" w:color="auto" w:fill="C5D9F1"/>
          </w:tcPr>
          <w:p>
            <w:pPr>
              <w:jc w:val="right"/>
              <w:spacing w:after="0"/>
              <w:rPr>
                <w:sz w:val="20"/>
                <w:szCs w:val="20"/>
                <w:color w:val="auto"/>
              </w:rPr>
            </w:pPr>
            <w:r>
              <w:rPr>
                <w:rFonts w:ascii="Arial" w:cs="Arial" w:eastAsia="Arial" w:hAnsi="Arial"/>
                <w:sz w:val="18"/>
                <w:szCs w:val="18"/>
                <w:color w:val="auto"/>
              </w:rPr>
              <w:t>16.2%</w:t>
            </w:r>
          </w:p>
        </w:tc>
        <w:tc>
          <w:tcPr>
            <w:tcW w:w="1280" w:type="dxa"/>
            <w:vAlign w:val="bottom"/>
            <w:gridSpan w:val="3"/>
          </w:tcPr>
          <w:p>
            <w:pPr>
              <w:jc w:val="right"/>
              <w:ind w:right="30"/>
              <w:spacing w:after="0"/>
              <w:rPr>
                <w:sz w:val="20"/>
                <w:szCs w:val="20"/>
                <w:color w:val="auto"/>
              </w:rPr>
            </w:pPr>
            <w:r>
              <w:rPr>
                <w:rFonts w:ascii="Arial" w:cs="Arial" w:eastAsia="Arial" w:hAnsi="Arial"/>
                <w:sz w:val="18"/>
                <w:szCs w:val="18"/>
                <w:color w:val="auto"/>
              </w:rPr>
              <w:t>14.5%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Retail Banking</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35,583</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37,544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37,959</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1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37.8%</w:t>
            </w:r>
          </w:p>
        </w:tc>
        <w:tc>
          <w:tcPr>
            <w:tcW w:w="0" w:type="dxa"/>
            <w:vAlign w:val="bottom"/>
          </w:tcPr>
          <w:p>
            <w:pPr>
              <w:spacing w:after="0"/>
              <w:rPr>
                <w:sz w:val="1"/>
                <w:szCs w:val="1"/>
                <w:color w:val="auto"/>
              </w:rPr>
            </w:pPr>
          </w:p>
        </w:tc>
      </w:tr>
      <w:tr>
        <w:trPr>
          <w:trHeight w:val="216"/>
        </w:trPr>
        <w:tc>
          <w:tcPr>
            <w:tcW w:w="2380" w:type="dxa"/>
            <w:vAlign w:val="bottom"/>
          </w:tcPr>
          <w:p>
            <w:pPr>
              <w:ind w:left="320"/>
              <w:spacing w:after="0"/>
              <w:rPr>
                <w:sz w:val="20"/>
                <w:szCs w:val="20"/>
                <w:color w:val="auto"/>
              </w:rPr>
            </w:pPr>
            <w:r>
              <w:rPr>
                <w:rFonts w:ascii="Arial" w:cs="Arial" w:eastAsia="Arial" w:hAnsi="Arial"/>
                <w:sz w:val="18"/>
                <w:szCs w:val="18"/>
                <w:color w:val="auto"/>
              </w:rPr>
              <w:t>SME - Business</w:t>
            </w:r>
          </w:p>
        </w:tc>
        <w:tc>
          <w:tcPr>
            <w:tcW w:w="880" w:type="dxa"/>
            <w:vAlign w:val="bottom"/>
          </w:tcPr>
          <w:p>
            <w:pPr>
              <w:jc w:val="right"/>
              <w:spacing w:after="0"/>
              <w:rPr>
                <w:sz w:val="20"/>
                <w:szCs w:val="20"/>
                <w:color w:val="auto"/>
              </w:rPr>
            </w:pPr>
            <w:r>
              <w:rPr>
                <w:rFonts w:ascii="Arial" w:cs="Arial" w:eastAsia="Arial" w:hAnsi="Arial"/>
                <w:sz w:val="18"/>
                <w:szCs w:val="18"/>
                <w:color w:val="auto"/>
              </w:rPr>
              <w:t>4,448</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4,877</w:t>
            </w: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4,705</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280" w:type="dxa"/>
            <w:vAlign w:val="bottom"/>
            <w:gridSpan w:val="3"/>
          </w:tcPr>
          <w:p>
            <w:pPr>
              <w:jc w:val="right"/>
              <w:ind w:right="30"/>
              <w:spacing w:after="0"/>
              <w:rPr>
                <w:sz w:val="20"/>
                <w:szCs w:val="20"/>
                <w:color w:val="auto"/>
              </w:rPr>
            </w:pPr>
            <w:r>
              <w:rPr>
                <w:rFonts w:ascii="Arial" w:cs="Arial" w:eastAsia="Arial" w:hAnsi="Arial"/>
                <w:sz w:val="18"/>
                <w:szCs w:val="18"/>
                <w:color w:val="auto"/>
              </w:rPr>
              <w:t>4.7%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SME - Pyme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8,664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8,631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260" w:type="dxa"/>
            <w:vAlign w:val="bottom"/>
            <w:shd w:val="clear" w:color="auto" w:fill="C5D9F1"/>
          </w:tcPr>
          <w:p>
            <w:pPr>
              <w:spacing w:after="0"/>
              <w:rPr>
                <w:sz w:val="18"/>
                <w:szCs w:val="18"/>
                <w:color w:val="auto"/>
              </w:rPr>
            </w:pPr>
          </w:p>
        </w:tc>
        <w:tc>
          <w:tcPr>
            <w:tcW w:w="820" w:type="dxa"/>
            <w:vAlign w:val="bottom"/>
            <w:gridSpan w:val="2"/>
            <w:shd w:val="clear" w:color="auto" w:fill="C5D9F1"/>
          </w:tcPr>
          <w:p>
            <w:pPr>
              <w:jc w:val="right"/>
              <w:spacing w:after="0"/>
              <w:rPr>
                <w:sz w:val="20"/>
                <w:szCs w:val="20"/>
                <w:color w:val="auto"/>
              </w:rPr>
            </w:pPr>
            <w:r>
              <w:rPr>
                <w:rFonts w:ascii="Arial" w:cs="Arial" w:eastAsia="Arial" w:hAnsi="Arial"/>
                <w:sz w:val="18"/>
                <w:szCs w:val="18"/>
                <w:color w:val="auto"/>
              </w:rPr>
              <w:t>11.1%</w:t>
            </w:r>
          </w:p>
        </w:tc>
        <w:tc>
          <w:tcPr>
            <w:tcW w:w="1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380" w:type="dxa"/>
            <w:vAlign w:val="bottom"/>
          </w:tcPr>
          <w:p>
            <w:pPr>
              <w:ind w:left="320"/>
              <w:spacing w:after="0"/>
              <w:rPr>
                <w:sz w:val="20"/>
                <w:szCs w:val="20"/>
                <w:color w:val="auto"/>
              </w:rPr>
            </w:pPr>
            <w:r>
              <w:rPr>
                <w:rFonts w:ascii="Arial" w:cs="Arial" w:eastAsia="Arial" w:hAnsi="Arial"/>
                <w:sz w:val="18"/>
                <w:szCs w:val="18"/>
                <w:color w:val="auto"/>
              </w:rPr>
              <w:t>Mortgage</w:t>
            </w:r>
          </w:p>
        </w:tc>
        <w:tc>
          <w:tcPr>
            <w:tcW w:w="880" w:type="dxa"/>
            <w:vAlign w:val="bottom"/>
          </w:tcPr>
          <w:p>
            <w:pPr>
              <w:jc w:val="right"/>
              <w:spacing w:after="0"/>
              <w:rPr>
                <w:sz w:val="20"/>
                <w:szCs w:val="20"/>
                <w:color w:val="auto"/>
              </w:rPr>
            </w:pPr>
            <w:r>
              <w:rPr>
                <w:rFonts w:ascii="Arial" w:cs="Arial" w:eastAsia="Arial" w:hAnsi="Arial"/>
                <w:sz w:val="18"/>
                <w:szCs w:val="18"/>
                <w:color w:val="auto"/>
              </w:rPr>
              <w:t>12,430</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12,963</w:t>
            </w: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13,221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260" w:type="dxa"/>
            <w:vAlign w:val="bottom"/>
            <w:shd w:val="clear" w:color="auto" w:fill="C5D9F1"/>
          </w:tcPr>
          <w:p>
            <w:pPr>
              <w:spacing w:after="0"/>
              <w:rPr>
                <w:sz w:val="18"/>
                <w:szCs w:val="18"/>
                <w:color w:val="auto"/>
              </w:rPr>
            </w:pPr>
          </w:p>
        </w:tc>
        <w:tc>
          <w:tcPr>
            <w:tcW w:w="820" w:type="dxa"/>
            <w:vAlign w:val="bottom"/>
            <w:gridSpan w:val="2"/>
            <w:shd w:val="clear" w:color="auto" w:fill="C5D9F1"/>
          </w:tcPr>
          <w:p>
            <w:pPr>
              <w:jc w:val="right"/>
              <w:spacing w:after="0"/>
              <w:rPr>
                <w:sz w:val="20"/>
                <w:szCs w:val="20"/>
                <w:color w:val="auto"/>
              </w:rPr>
            </w:pPr>
            <w:r>
              <w:rPr>
                <w:rFonts w:ascii="Arial" w:cs="Arial" w:eastAsia="Arial" w:hAnsi="Arial"/>
                <w:sz w:val="18"/>
                <w:szCs w:val="18"/>
                <w:color w:val="auto"/>
              </w:rPr>
              <w:t>6.4%</w:t>
            </w:r>
          </w:p>
        </w:tc>
        <w:tc>
          <w:tcPr>
            <w:tcW w:w="1280" w:type="dxa"/>
            <w:vAlign w:val="bottom"/>
            <w:gridSpan w:val="3"/>
          </w:tcPr>
          <w:p>
            <w:pPr>
              <w:jc w:val="right"/>
              <w:ind w:right="30"/>
              <w:spacing w:after="0"/>
              <w:rPr>
                <w:sz w:val="20"/>
                <w:szCs w:val="20"/>
                <w:color w:val="auto"/>
              </w:rPr>
            </w:pPr>
            <w:r>
              <w:rPr>
                <w:rFonts w:ascii="Arial" w:cs="Arial" w:eastAsia="Arial" w:hAnsi="Arial"/>
                <w:sz w:val="18"/>
                <w:szCs w:val="18"/>
                <w:color w:val="auto"/>
              </w:rPr>
              <w:t>13.2%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6,672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6,970</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380" w:type="dxa"/>
            <w:vAlign w:val="bottom"/>
          </w:tcPr>
          <w:p>
            <w:pPr>
              <w:ind w:left="320"/>
              <w:spacing w:after="0"/>
              <w:rPr>
                <w:sz w:val="20"/>
                <w:szCs w:val="20"/>
                <w:color w:val="auto"/>
              </w:rPr>
            </w:pPr>
            <w:r>
              <w:rPr>
                <w:rFonts w:ascii="Arial" w:cs="Arial" w:eastAsia="Arial" w:hAnsi="Arial"/>
                <w:sz w:val="18"/>
                <w:szCs w:val="18"/>
                <w:color w:val="auto"/>
              </w:rPr>
              <w:t>Credit Card</w:t>
            </w:r>
          </w:p>
        </w:tc>
        <w:tc>
          <w:tcPr>
            <w:tcW w:w="880" w:type="dxa"/>
            <w:vAlign w:val="bottom"/>
          </w:tcPr>
          <w:p>
            <w:pPr>
              <w:jc w:val="right"/>
              <w:spacing w:after="0"/>
              <w:rPr>
                <w:sz w:val="20"/>
                <w:szCs w:val="20"/>
                <w:color w:val="auto"/>
              </w:rPr>
            </w:pPr>
            <w:r>
              <w:rPr>
                <w:rFonts w:ascii="Arial" w:cs="Arial" w:eastAsia="Arial" w:hAnsi="Arial"/>
                <w:sz w:val="18"/>
                <w:szCs w:val="18"/>
                <w:color w:val="auto"/>
              </w:rPr>
              <w:t>4,404</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4,368</w:t>
            </w: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4,433</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280" w:type="dxa"/>
            <w:vAlign w:val="bottom"/>
            <w:gridSpan w:val="3"/>
          </w:tcPr>
          <w:p>
            <w:pPr>
              <w:jc w:val="right"/>
              <w:ind w:right="30"/>
              <w:spacing w:after="0"/>
              <w:rPr>
                <w:sz w:val="20"/>
                <w:szCs w:val="20"/>
                <w:color w:val="auto"/>
              </w:rPr>
            </w:pPr>
            <w:r>
              <w:rPr>
                <w:rFonts w:ascii="Arial" w:cs="Arial" w:eastAsia="Arial" w:hAnsi="Arial"/>
                <w:sz w:val="18"/>
                <w:szCs w:val="18"/>
                <w:color w:val="auto"/>
              </w:rPr>
              <w:t>4.7%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7"/>
        </w:trPr>
        <w:tc>
          <w:tcPr>
            <w:tcW w:w="238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b w:val="1"/>
                <w:bCs w:val="1"/>
                <w:color w:val="auto"/>
              </w:rPr>
              <w:t xml:space="preserve">Others </w:t>
            </w:r>
            <w:r>
              <w:rPr>
                <w:rFonts w:ascii="Arial" w:cs="Arial" w:eastAsia="Arial" w:hAnsi="Arial"/>
                <w:sz w:val="29"/>
                <w:szCs w:val="29"/>
                <w:b w:val="1"/>
                <w:bCs w:val="1"/>
                <w:color w:val="auto"/>
                <w:vertAlign w:val="superscript"/>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741</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730</w:t>
            </w:r>
          </w:p>
        </w:tc>
        <w:tc>
          <w:tcPr>
            <w:tcW w:w="2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747</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1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b w:val="1"/>
                <w:bCs w:val="1"/>
                <w:color w:val="auto"/>
              </w:rPr>
              <w:t>Mibanco</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8,593</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9,078</w:t>
            </w: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9,366</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8"/>
                <w:szCs w:val="18"/>
                <w:color w:val="auto"/>
              </w:rPr>
            </w:pPr>
          </w:p>
        </w:tc>
        <w:tc>
          <w:tcPr>
            <w:tcW w:w="260" w:type="dxa"/>
            <w:vAlign w:val="bottom"/>
            <w:shd w:val="clear" w:color="auto" w:fill="C5D9F1"/>
          </w:tcPr>
          <w:p>
            <w:pPr>
              <w:spacing w:after="0"/>
              <w:rPr>
                <w:sz w:val="18"/>
                <w:szCs w:val="18"/>
                <w:color w:val="auto"/>
              </w:rPr>
            </w:pPr>
          </w:p>
        </w:tc>
        <w:tc>
          <w:tcPr>
            <w:tcW w:w="820" w:type="dxa"/>
            <w:vAlign w:val="bottom"/>
            <w:gridSpan w:val="2"/>
            <w:shd w:val="clear" w:color="auto" w:fill="C5D9F1"/>
          </w:tcPr>
          <w:p>
            <w:pPr>
              <w:jc w:val="right"/>
              <w:spacing w:after="0"/>
              <w:rPr>
                <w:sz w:val="20"/>
                <w:szCs w:val="20"/>
                <w:color w:val="auto"/>
              </w:rPr>
            </w:pPr>
            <w:r>
              <w:rPr>
                <w:rFonts w:ascii="Arial" w:cs="Arial" w:eastAsia="Arial" w:hAnsi="Arial"/>
                <w:sz w:val="18"/>
                <w:szCs w:val="18"/>
                <w:b w:val="1"/>
                <w:bCs w:val="1"/>
                <w:color w:val="auto"/>
              </w:rPr>
              <w:t>9.0%</w:t>
            </w:r>
          </w:p>
        </w:tc>
        <w:tc>
          <w:tcPr>
            <w:tcW w:w="12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9.2%</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Bolivia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5,383</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6,153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6,256</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8"/>
                <w:szCs w:val="18"/>
                <w:color w:val="auto"/>
              </w:rPr>
            </w:pPr>
          </w:p>
        </w:tc>
        <w:tc>
          <w:tcPr>
            <w:tcW w:w="260" w:type="dxa"/>
            <w:vAlign w:val="bottom"/>
            <w:shd w:val="clear" w:color="auto" w:fill="C5D9F1"/>
          </w:tcPr>
          <w:p>
            <w:pPr>
              <w:spacing w:after="0"/>
              <w:rPr>
                <w:sz w:val="18"/>
                <w:szCs w:val="18"/>
                <w:color w:val="auto"/>
              </w:rPr>
            </w:pPr>
          </w:p>
        </w:tc>
        <w:tc>
          <w:tcPr>
            <w:tcW w:w="820" w:type="dxa"/>
            <w:vAlign w:val="bottom"/>
            <w:gridSpan w:val="2"/>
            <w:shd w:val="clear" w:color="auto" w:fill="C5D9F1"/>
          </w:tcPr>
          <w:p>
            <w:pPr>
              <w:jc w:val="right"/>
              <w:spacing w:after="0"/>
              <w:rPr>
                <w:sz w:val="20"/>
                <w:szCs w:val="20"/>
                <w:color w:val="auto"/>
              </w:rPr>
            </w:pPr>
            <w:r>
              <w:rPr>
                <w:rFonts w:ascii="Arial" w:cs="Arial" w:eastAsia="Arial" w:hAnsi="Arial"/>
                <w:sz w:val="18"/>
                <w:szCs w:val="18"/>
                <w:b w:val="1"/>
                <w:bCs w:val="1"/>
                <w:color w:val="auto"/>
              </w:rPr>
              <w:t>16.2%</w:t>
            </w:r>
          </w:p>
        </w:tc>
        <w:tc>
          <w:tcPr>
            <w:tcW w:w="1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b w:val="1"/>
                <w:bCs w:val="1"/>
                <w:color w:val="auto"/>
              </w:rPr>
              <w:t>ASB</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2,862</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2,663</w:t>
            </w:r>
          </w:p>
        </w:tc>
        <w:tc>
          <w:tcPr>
            <w:tcW w:w="2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2,710</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-5.3%</w:t>
            </w:r>
          </w:p>
        </w:tc>
        <w:tc>
          <w:tcPr>
            <w:tcW w:w="12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3.0%</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10"/>
        </w:trPr>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BAP's total loans</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93,865</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97,648</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100,409</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consolidation purposes, loans generated in FC are converted to 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Work out unit, and other banking.</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-121920</wp:posOffset>
            </wp:positionV>
            <wp:extent cx="283210"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3210" cy="214630"/>
                    </a:xfrm>
                    <a:prstGeom prst="rect">
                      <a:avLst/>
                    </a:prstGeom>
                    <a:noFill/>
                  </pic:spPr>
                </pic:pic>
              </a:graphicData>
            </a:graphic>
          </wp:anchor>
        </w:drawing>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Largest contraction in volumes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Loan Growth QoQ in Average Daily Balances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millions of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142875</wp:posOffset>
            </wp:positionV>
            <wp:extent cx="5737225" cy="175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37225"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In the analysis by segment, QoQ expansion in loans reflects:</w:t>
      </w:r>
    </w:p>
    <w:p>
      <w:pPr>
        <w:spacing w:after="0" w:line="225" w:lineRule="exact"/>
        <w:rPr>
          <w:sz w:val="20"/>
          <w:szCs w:val="20"/>
          <w:color w:val="auto"/>
        </w:rPr>
      </w:pPr>
    </w:p>
    <w:p>
      <w:pPr>
        <w:ind w:left="880" w:right="40" w:hanging="494"/>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Loan growth in Wholesale Banking, both in the Corporate Banking sub-segment (+3.2% QoQ) and in Middle Market Banking (6.9% QoQ). Both segments reported growth in short- and long-term loans.</w:t>
      </w:r>
    </w:p>
    <w:p>
      <w:pPr>
        <w:spacing w:after="0" w:line="170" w:lineRule="exact"/>
        <w:rPr>
          <w:rFonts w:ascii="Arial" w:cs="Arial" w:eastAsia="Arial" w:hAnsi="Arial"/>
          <w:sz w:val="18"/>
          <w:szCs w:val="18"/>
          <w:color w:val="auto"/>
        </w:rPr>
      </w:pPr>
    </w:p>
    <w:p>
      <w:pPr>
        <w:ind w:left="880" w:hanging="49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Growth in the Consumer and Mortgage segments within Retail Banking.</w:t>
      </w:r>
    </w:p>
    <w:p>
      <w:pPr>
        <w:spacing w:after="0" w:line="225" w:lineRule="exact"/>
        <w:rPr>
          <w:rFonts w:ascii="Arial" w:cs="Arial" w:eastAsia="Arial" w:hAnsi="Arial"/>
          <w:sz w:val="18"/>
          <w:szCs w:val="18"/>
          <w:color w:val="auto"/>
        </w:rPr>
      </w:pPr>
    </w:p>
    <w:p>
      <w:pPr>
        <w:ind w:left="880" w:right="20" w:hanging="494"/>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Growth in Mibanco loans, which was attributable to an improvement in loan officers’ productivity. This has allowed the subsidiary to continue focusing on financial inclusion (new clients in the System) as well as supporting business-growth of current clients.</w:t>
      </w:r>
    </w:p>
    <w:p>
      <w:pPr>
        <w:spacing w:after="0" w:line="170"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BCP Bolivia reported growth of +1.7% QoQ in 1Q18, measured in average daily balances, this evolution was due primarily to growth in Corporate Banking and in the Mortgage segment.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It is important to note that the Consumer and Credit Card segments continue to post growth after a decision was made to resume efforts to drive expansion in these portfolios (+4.5% and +1.5% QoQ respectively). The aforementioned represents a significant improvement if we consider that these segments reported either a contraction or very low growth in 2017: 1T reported negative growth of -0.4% and -0.5% in the Consumer and Credit Card segments respectively; 2Q also posted contractions of -0.5% and -2.7% respectively; while 3Q reported rates of +0.2% and -1.2%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Growth YoY in Average Daily Balances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millions of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142875</wp:posOffset>
            </wp:positionV>
            <wp:extent cx="5728335" cy="1809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2833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The YoY analysis of average daily loan balances shows growth of +7%, which was led by Middle Market Banking; SME-Pyme, Mortgage and Corporate Banking within BCP Stand-alone. Growth at Mibanco and BCP Bolivia was also noteworthy.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Evolution of the level of dollarization by segment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evolution by currency - average daily balances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6"/>
          </w:tcPr>
          <w:p>
            <w:pPr>
              <w:jc w:val="center"/>
              <w:ind w:right="128"/>
              <w:spacing w:after="0"/>
              <w:rPr>
                <w:sz w:val="20"/>
                <w:szCs w:val="20"/>
                <w:color w:val="auto"/>
              </w:rPr>
            </w:pPr>
            <w:r>
              <w:rPr>
                <w:rFonts w:ascii="Arial" w:cs="Arial" w:eastAsia="Arial" w:hAnsi="Arial"/>
                <w:sz w:val="14"/>
                <w:szCs w:val="14"/>
                <w:b w:val="1"/>
                <w:bCs w:val="1"/>
                <w:color w:val="auto"/>
              </w:rPr>
              <w:t>DOMESTIC CURRENCY LOANS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6"/>
          </w:tcPr>
          <w:p>
            <w:pPr>
              <w:jc w:val="center"/>
              <w:ind w:right="128"/>
              <w:spacing w:after="0"/>
              <w:rPr>
                <w:sz w:val="20"/>
                <w:szCs w:val="20"/>
                <w:color w:val="auto"/>
              </w:rPr>
            </w:pPr>
            <w:r>
              <w:rPr>
                <w:rFonts w:ascii="Arial" w:cs="Arial" w:eastAsia="Arial" w:hAnsi="Arial"/>
                <w:sz w:val="14"/>
                <w:szCs w:val="14"/>
                <w:b w:val="1"/>
                <w:bCs w:val="1"/>
                <w:color w:val="auto"/>
              </w:rPr>
              <w:t>FOREIGN CURRENCY LOANS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 part. by currency</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6"/>
          </w:tcPr>
          <w:p>
            <w:pPr>
              <w:jc w:val="center"/>
              <w:ind w:right="128"/>
              <w:spacing w:after="0"/>
              <w:rPr>
                <w:sz w:val="20"/>
                <w:szCs w:val="20"/>
                <w:color w:val="auto"/>
              </w:rPr>
            </w:pPr>
            <w:r>
              <w:rPr>
                <w:rFonts w:ascii="Arial" w:cs="Arial" w:eastAsia="Arial" w:hAnsi="Arial"/>
                <w:sz w:val="14"/>
                <w:szCs w:val="14"/>
                <w:b w:val="1"/>
                <w:bCs w:val="1"/>
                <w:i w:val="1"/>
                <w:iCs w:val="1"/>
                <w:color w:val="auto"/>
                <w:w w:val="89"/>
              </w:rPr>
              <w:t>Expressed in million 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6"/>
          </w:tcPr>
          <w:p>
            <w:pPr>
              <w:jc w:val="center"/>
              <w:ind w:right="148"/>
              <w:spacing w:after="0"/>
              <w:rPr>
                <w:sz w:val="20"/>
                <w:szCs w:val="20"/>
                <w:color w:val="auto"/>
              </w:rPr>
            </w:pPr>
            <w:r>
              <w:rPr>
                <w:rFonts w:ascii="Arial" w:cs="Arial" w:eastAsia="Arial" w:hAnsi="Arial"/>
                <w:sz w:val="14"/>
                <w:szCs w:val="14"/>
                <w:b w:val="1"/>
                <w:bCs w:val="1"/>
                <w:i w:val="1"/>
                <w:iCs w:val="1"/>
                <w:color w:val="auto"/>
                <w:w w:val="90"/>
              </w:rPr>
              <w:t>Expressed in million US$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w w:val="93"/>
              </w:rPr>
              <w:t>1Q18</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1Q17</w:t>
            </w:r>
          </w:p>
        </w:tc>
        <w:tc>
          <w:tcPr>
            <w:tcW w:w="2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4Q17</w:t>
            </w:r>
          </w:p>
        </w:tc>
        <w:tc>
          <w:tcPr>
            <w:tcW w:w="2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1Q18</w:t>
            </w:r>
          </w:p>
        </w:tc>
        <w:tc>
          <w:tcPr>
            <w:tcW w:w="1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YoY</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1Q17</w:t>
            </w:r>
          </w:p>
        </w:tc>
        <w:tc>
          <w:tcPr>
            <w:tcW w:w="2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4Q17</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1Q18</w:t>
            </w:r>
          </w:p>
        </w:tc>
        <w:tc>
          <w:tcPr>
            <w:tcW w:w="2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YoY</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LC</w:t>
            </w:r>
          </w:p>
        </w:tc>
        <w:tc>
          <w:tcPr>
            <w:tcW w:w="2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FC</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BCP Stand-alone</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47,382</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49,337</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50,401</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2.2%</w:t>
            </w: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6.4%</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9,081</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9,387</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9,794</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4.3%</w:t>
            </w:r>
          </w:p>
        </w:tc>
        <w:tc>
          <w:tcPr>
            <w:tcW w:w="8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7.8%</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61.4%</w:t>
            </w: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38.6%</w:t>
            </w:r>
          </w:p>
        </w:tc>
        <w:tc>
          <w:tcPr>
            <w:tcW w:w="0" w:type="dxa"/>
            <w:vAlign w:val="bottom"/>
          </w:tcPr>
          <w:p>
            <w:pPr>
              <w:spacing w:after="0"/>
              <w:rPr>
                <w:sz w:val="1"/>
                <w:szCs w:val="1"/>
                <w:color w:val="auto"/>
              </w:rPr>
            </w:pPr>
          </w:p>
        </w:tc>
      </w:tr>
      <w:tr>
        <w:trPr>
          <w:trHeight w:val="126"/>
        </w:trPr>
        <w:tc>
          <w:tcPr>
            <w:tcW w:w="1160" w:type="dxa"/>
            <w:vAlign w:val="bottom"/>
          </w:tcPr>
          <w:p>
            <w:pPr>
              <w:ind w:left="180"/>
              <w:spacing w:after="0" w:line="126" w:lineRule="exact"/>
              <w:rPr>
                <w:sz w:val="20"/>
                <w:szCs w:val="20"/>
                <w:color w:val="auto"/>
              </w:rPr>
            </w:pPr>
            <w:r>
              <w:rPr>
                <w:rFonts w:ascii="Arial" w:cs="Arial" w:eastAsia="Arial" w:hAnsi="Arial"/>
                <w:sz w:val="14"/>
                <w:szCs w:val="14"/>
                <w:b w:val="1"/>
                <w:bCs w:val="1"/>
                <w:color w:val="auto"/>
              </w:rPr>
              <w:t>Wholesale</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18,797</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19,173</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19,647</w:t>
            </w:r>
          </w:p>
        </w:tc>
        <w:tc>
          <w:tcPr>
            <w:tcW w:w="86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2.5%</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4.5%</w:t>
            </w:r>
          </w:p>
        </w:tc>
        <w:tc>
          <w:tcPr>
            <w:tcW w:w="9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6,711</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6,884</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7,335</w:t>
            </w:r>
          </w:p>
        </w:tc>
        <w:tc>
          <w:tcPr>
            <w:tcW w:w="90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rPr>
              <w:t>6.6%</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9.3%</w:t>
            </w:r>
          </w:p>
        </w:tc>
        <w:tc>
          <w:tcPr>
            <w:tcW w:w="1020" w:type="dxa"/>
            <w:vAlign w:val="bottom"/>
            <w:gridSpan w:val="3"/>
            <w:vMerge w:val="restart"/>
          </w:tcPr>
          <w:p>
            <w:pPr>
              <w:jc w:val="right"/>
              <w:ind w:right="48"/>
              <w:spacing w:after="0"/>
              <w:rPr>
                <w:sz w:val="20"/>
                <w:szCs w:val="20"/>
                <w:color w:val="auto"/>
              </w:rPr>
            </w:pPr>
            <w:r>
              <w:rPr>
                <w:rFonts w:ascii="Arial" w:cs="Arial" w:eastAsia="Arial" w:hAnsi="Arial"/>
                <w:sz w:val="14"/>
                <w:szCs w:val="14"/>
                <w:b w:val="1"/>
                <w:bCs w:val="1"/>
                <w:color w:val="auto"/>
              </w:rPr>
              <w:t>45.3%</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54.7%</w:t>
            </w:r>
          </w:p>
        </w:tc>
        <w:tc>
          <w:tcPr>
            <w:tcW w:w="0" w:type="dxa"/>
            <w:vAlign w:val="bottom"/>
          </w:tcPr>
          <w:p>
            <w:pPr>
              <w:spacing w:after="0"/>
              <w:rPr>
                <w:sz w:val="1"/>
                <w:szCs w:val="1"/>
                <w:color w:val="auto"/>
              </w:rPr>
            </w:pPr>
          </w:p>
        </w:tc>
      </w:tr>
      <w:tr>
        <w:trPr>
          <w:trHeight w:val="171"/>
        </w:trPr>
        <w:tc>
          <w:tcPr>
            <w:tcW w:w="1160" w:type="dxa"/>
            <w:vAlign w:val="bottom"/>
          </w:tcPr>
          <w:p>
            <w:pPr>
              <w:ind w:left="180"/>
              <w:spacing w:after="0"/>
              <w:rPr>
                <w:sz w:val="20"/>
                <w:szCs w:val="20"/>
                <w:color w:val="auto"/>
              </w:rPr>
            </w:pPr>
            <w:r>
              <w:rPr>
                <w:rFonts w:ascii="Arial" w:cs="Arial" w:eastAsia="Arial" w:hAnsi="Arial"/>
                <w:sz w:val="14"/>
                <w:szCs w:val="14"/>
                <w:b w:val="1"/>
                <w:bCs w:val="1"/>
                <w:color w:val="auto"/>
              </w:rPr>
              <w:t>Banking</w:t>
            </w:r>
          </w:p>
        </w:tc>
        <w:tc>
          <w:tcPr>
            <w:tcW w:w="8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Corporate</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12,051</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11,940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11,908</w:t>
            </w:r>
          </w:p>
        </w:tc>
        <w:tc>
          <w:tcPr>
            <w:tcW w:w="8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-0.3%</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4,609</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4,554</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4,840</w:t>
            </w:r>
          </w:p>
        </w:tc>
        <w:tc>
          <w:tcPr>
            <w:tcW w:w="9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6.3%</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10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43.2%</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130"/>
        </w:trPr>
        <w:tc>
          <w:tcPr>
            <w:tcW w:w="1160" w:type="dxa"/>
            <w:vAlign w:val="bottom"/>
          </w:tcPr>
          <w:p>
            <w:pPr>
              <w:ind w:left="340"/>
              <w:spacing w:after="0" w:line="130" w:lineRule="exact"/>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shd w:val="clear" w:color="auto" w:fill="C5D9F1"/>
          </w:tcPr>
          <w:p>
            <w:pPr>
              <w:spacing w:after="0"/>
              <w:rPr>
                <w:sz w:val="11"/>
                <w:szCs w:val="11"/>
                <w:color w:val="auto"/>
              </w:rPr>
            </w:pPr>
          </w:p>
        </w:tc>
        <w:tc>
          <w:tcPr>
            <w:tcW w:w="260" w:type="dxa"/>
            <w:vAlign w:val="bottom"/>
            <w:shd w:val="clear" w:color="auto" w:fill="C5D9F1"/>
          </w:tcPr>
          <w:p>
            <w:pPr>
              <w:spacing w:after="0"/>
              <w:rPr>
                <w:sz w:val="11"/>
                <w:szCs w:val="11"/>
                <w:color w:val="auto"/>
              </w:rPr>
            </w:pPr>
          </w:p>
        </w:tc>
        <w:tc>
          <w:tcPr>
            <w:tcW w:w="620" w:type="dxa"/>
            <w:vAlign w:val="bottom"/>
            <w:shd w:val="clear" w:color="auto" w:fill="C5D9F1"/>
          </w:tcPr>
          <w:p>
            <w:pPr>
              <w:spacing w:after="0"/>
              <w:rPr>
                <w:sz w:val="11"/>
                <w:szCs w:val="11"/>
                <w:color w:val="auto"/>
              </w:rPr>
            </w:pPr>
          </w:p>
        </w:tc>
        <w:tc>
          <w:tcPr>
            <w:tcW w:w="160" w:type="dxa"/>
            <w:vAlign w:val="bottom"/>
            <w:shd w:val="clear" w:color="auto" w:fill="C5D9F1"/>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shd w:val="clear" w:color="auto" w:fill="C5D9F1"/>
          </w:tcPr>
          <w:p>
            <w:pPr>
              <w:spacing w:after="0"/>
              <w:rPr>
                <w:sz w:val="11"/>
                <w:szCs w:val="11"/>
                <w:color w:val="auto"/>
              </w:rPr>
            </w:pPr>
          </w:p>
        </w:tc>
        <w:tc>
          <w:tcPr>
            <w:tcW w:w="160" w:type="dxa"/>
            <w:vAlign w:val="bottom"/>
            <w:shd w:val="clear" w:color="auto" w:fill="C5D9F1"/>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60" w:type="dxa"/>
            <w:vAlign w:val="bottom"/>
          </w:tcPr>
          <w:p>
            <w:pPr>
              <w:ind w:left="340"/>
              <w:spacing w:after="0"/>
              <w:rPr>
                <w:sz w:val="20"/>
                <w:szCs w:val="20"/>
                <w:color w:val="auto"/>
              </w:rPr>
            </w:pPr>
            <w:r>
              <w:rPr>
                <w:rFonts w:ascii="Arial" w:cs="Arial" w:eastAsia="Arial" w:hAnsi="Arial"/>
                <w:sz w:val="14"/>
                <w:szCs w:val="14"/>
                <w:color w:val="auto"/>
              </w:rPr>
              <w:t>Market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6,746</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7,233</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7,738</w:t>
            </w:r>
          </w:p>
        </w:tc>
        <w:tc>
          <w:tcPr>
            <w:tcW w:w="860" w:type="dxa"/>
            <w:vAlign w:val="bottom"/>
            <w:gridSpan w:val="2"/>
            <w:shd w:val="clear" w:color="auto" w:fill="C5D9F1"/>
          </w:tcPr>
          <w:p>
            <w:pPr>
              <w:jc w:val="right"/>
              <w:ind w:right="68"/>
              <w:spacing w:after="0"/>
              <w:rPr>
                <w:sz w:val="20"/>
                <w:szCs w:val="20"/>
                <w:color w:val="auto"/>
              </w:rPr>
            </w:pPr>
            <w:r>
              <w:rPr>
                <w:rFonts w:ascii="Arial" w:cs="Arial" w:eastAsia="Arial" w:hAnsi="Arial"/>
                <w:sz w:val="14"/>
                <w:szCs w:val="14"/>
                <w:color w:val="auto"/>
              </w:rPr>
              <w:t>7.0%</w:t>
            </w:r>
          </w:p>
        </w:tc>
        <w:tc>
          <w:tcPr>
            <w:tcW w:w="780" w:type="dxa"/>
            <w:vAlign w:val="bottom"/>
            <w:gridSpan w:val="2"/>
            <w:shd w:val="clear" w:color="auto" w:fill="C5D9F1"/>
          </w:tcPr>
          <w:p>
            <w:pPr>
              <w:jc w:val="right"/>
              <w:spacing w:after="0"/>
              <w:rPr>
                <w:sz w:val="20"/>
                <w:szCs w:val="20"/>
                <w:color w:val="auto"/>
              </w:rPr>
            </w:pPr>
            <w:r>
              <w:rPr>
                <w:rFonts w:ascii="Arial" w:cs="Arial" w:eastAsia="Arial" w:hAnsi="Arial"/>
                <w:sz w:val="14"/>
                <w:szCs w:val="14"/>
                <w:color w:val="auto"/>
              </w:rPr>
              <w:t>14.7%</w:t>
            </w:r>
          </w:p>
        </w:tc>
        <w:tc>
          <w:tcPr>
            <w:tcW w:w="960" w:type="dxa"/>
            <w:vAlign w:val="bottom"/>
            <w:gridSpan w:val="3"/>
          </w:tcPr>
          <w:p>
            <w:pPr>
              <w:jc w:val="right"/>
              <w:ind w:right="200"/>
              <w:spacing w:after="0"/>
              <w:rPr>
                <w:sz w:val="20"/>
                <w:szCs w:val="20"/>
                <w:color w:val="auto"/>
              </w:rPr>
            </w:pPr>
            <w:r>
              <w:rPr>
                <w:rFonts w:ascii="Arial" w:cs="Arial" w:eastAsia="Arial" w:hAnsi="Arial"/>
                <w:sz w:val="14"/>
                <w:szCs w:val="14"/>
                <w:color w:val="auto"/>
              </w:rPr>
              <w:t>2,102</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2,330</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2,495</w:t>
            </w: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7.1%</w:t>
            </w:r>
          </w:p>
        </w:tc>
        <w:tc>
          <w:tcPr>
            <w:tcW w:w="800" w:type="dxa"/>
            <w:vAlign w:val="bottom"/>
            <w:gridSpan w:val="2"/>
            <w:shd w:val="clear" w:color="auto" w:fill="C5D9F1"/>
          </w:tcPr>
          <w:p>
            <w:pPr>
              <w:jc w:val="right"/>
              <w:spacing w:after="0"/>
              <w:rPr>
                <w:sz w:val="20"/>
                <w:szCs w:val="20"/>
                <w:color w:val="auto"/>
              </w:rPr>
            </w:pPr>
            <w:r>
              <w:rPr>
                <w:rFonts w:ascii="Arial" w:cs="Arial" w:eastAsia="Arial" w:hAnsi="Arial"/>
                <w:sz w:val="14"/>
                <w:szCs w:val="14"/>
                <w:color w:val="auto"/>
              </w:rPr>
              <w:t>18.7%</w:t>
            </w:r>
          </w:p>
        </w:tc>
        <w:tc>
          <w:tcPr>
            <w:tcW w:w="1020" w:type="dxa"/>
            <w:vAlign w:val="bottom"/>
            <w:gridSpan w:val="3"/>
          </w:tcPr>
          <w:p>
            <w:pPr>
              <w:jc w:val="right"/>
              <w:ind w:right="68"/>
              <w:spacing w:after="0"/>
              <w:rPr>
                <w:sz w:val="20"/>
                <w:szCs w:val="20"/>
                <w:color w:val="auto"/>
              </w:rPr>
            </w:pPr>
            <w:r>
              <w:rPr>
                <w:rFonts w:ascii="Arial" w:cs="Arial" w:eastAsia="Arial" w:hAnsi="Arial"/>
                <w:sz w:val="14"/>
                <w:szCs w:val="14"/>
                <w:color w:val="auto"/>
              </w:rPr>
              <w:t>49.0%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26"/>
        </w:trPr>
        <w:tc>
          <w:tcPr>
            <w:tcW w:w="1160" w:type="dxa"/>
            <w:vAlign w:val="bottom"/>
            <w:shd w:val="clear" w:color="auto" w:fill="CCEEFF"/>
          </w:tcPr>
          <w:p>
            <w:pPr>
              <w:ind w:left="180"/>
              <w:spacing w:after="0" w:line="126" w:lineRule="exact"/>
              <w:rPr>
                <w:sz w:val="20"/>
                <w:szCs w:val="20"/>
                <w:color w:val="auto"/>
              </w:rPr>
            </w:pPr>
            <w:r>
              <w:rPr>
                <w:rFonts w:ascii="Arial" w:cs="Arial" w:eastAsia="Arial" w:hAnsi="Arial"/>
                <w:sz w:val="14"/>
                <w:szCs w:val="14"/>
                <w:b w:val="1"/>
                <w:bCs w:val="1"/>
                <w:color w:val="auto"/>
              </w:rPr>
              <w:t>Retail</w:t>
            </w: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28,256</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29,831</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30,413</w:t>
            </w:r>
          </w:p>
        </w:tc>
        <w:tc>
          <w:tcPr>
            <w:tcW w:w="86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7.6%</w:t>
            </w:r>
          </w:p>
        </w:tc>
        <w:tc>
          <w:tcPr>
            <w:tcW w:w="9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2,244</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2,380</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2,333</w:t>
            </w:r>
          </w:p>
        </w:tc>
        <w:tc>
          <w:tcPr>
            <w:tcW w:w="90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4.0%</w:t>
            </w:r>
          </w:p>
        </w:tc>
        <w:tc>
          <w:tcPr>
            <w:tcW w:w="102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80.1%</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19.9%</w:t>
            </w:r>
          </w:p>
        </w:tc>
        <w:tc>
          <w:tcPr>
            <w:tcW w:w="0" w:type="dxa"/>
            <w:vAlign w:val="bottom"/>
          </w:tcPr>
          <w:p>
            <w:pPr>
              <w:spacing w:after="0"/>
              <w:rPr>
                <w:sz w:val="1"/>
                <w:szCs w:val="1"/>
                <w:color w:val="auto"/>
              </w:rPr>
            </w:pPr>
          </w:p>
        </w:tc>
      </w:tr>
      <w:tr>
        <w:trPr>
          <w:trHeight w:val="171"/>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Banking</w:t>
            </w:r>
          </w:p>
        </w:tc>
        <w:tc>
          <w:tcPr>
            <w:tcW w:w="8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3"/>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60" w:type="dxa"/>
            <w:vAlign w:val="bottom"/>
          </w:tcPr>
          <w:p>
            <w:pPr>
              <w:ind w:left="340"/>
              <w:spacing w:after="0" w:line="130" w:lineRule="exact"/>
              <w:rPr>
                <w:sz w:val="20"/>
                <w:szCs w:val="20"/>
                <w:color w:val="auto"/>
              </w:rPr>
            </w:pPr>
            <w:r>
              <w:rPr>
                <w:rFonts w:ascii="Arial" w:cs="Arial" w:eastAsia="Arial" w:hAnsi="Arial"/>
                <w:sz w:val="14"/>
                <w:szCs w:val="14"/>
                <w:color w:val="auto"/>
              </w:rPr>
              <w:t>SME -</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60" w:type="dxa"/>
            <w:vAlign w:val="bottom"/>
          </w:tcPr>
          <w:p>
            <w:pPr>
              <w:ind w:left="340"/>
              <w:spacing w:after="0"/>
              <w:rPr>
                <w:sz w:val="20"/>
                <w:szCs w:val="20"/>
                <w:color w:val="auto"/>
              </w:rPr>
            </w:pPr>
            <w:r>
              <w:rPr>
                <w:rFonts w:ascii="Arial" w:cs="Arial" w:eastAsia="Arial" w:hAnsi="Arial"/>
                <w:sz w:val="14"/>
                <w:szCs w:val="14"/>
                <w:color w:val="auto"/>
              </w:rPr>
              <w:t>Business</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2,147</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2,262</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2,136</w:t>
            </w:r>
          </w:p>
        </w:tc>
        <w:tc>
          <w:tcPr>
            <w:tcW w:w="860" w:type="dxa"/>
            <w:vAlign w:val="bottom"/>
            <w:gridSpan w:val="2"/>
          </w:tcPr>
          <w:p>
            <w:pPr>
              <w:jc w:val="right"/>
              <w:ind w:right="68"/>
              <w:spacing w:after="0"/>
              <w:rPr>
                <w:sz w:val="20"/>
                <w:szCs w:val="20"/>
                <w:color w:val="auto"/>
              </w:rPr>
            </w:pPr>
            <w:r>
              <w:rPr>
                <w:rFonts w:ascii="Arial" w:cs="Arial" w:eastAsia="Arial" w:hAnsi="Arial"/>
                <w:sz w:val="14"/>
                <w:szCs w:val="14"/>
                <w:color w:val="auto"/>
              </w:rPr>
              <w:t>-5.6%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960" w:type="dxa"/>
            <w:vAlign w:val="bottom"/>
            <w:gridSpan w:val="3"/>
          </w:tcPr>
          <w:p>
            <w:pPr>
              <w:jc w:val="right"/>
              <w:ind w:right="200"/>
              <w:spacing w:after="0"/>
              <w:rPr>
                <w:sz w:val="20"/>
                <w:szCs w:val="20"/>
                <w:color w:val="auto"/>
              </w:rPr>
            </w:pPr>
            <w:r>
              <w:rPr>
                <w:rFonts w:ascii="Arial" w:cs="Arial" w:eastAsia="Arial" w:hAnsi="Arial"/>
                <w:sz w:val="14"/>
                <w:szCs w:val="14"/>
                <w:color w:val="auto"/>
              </w:rPr>
              <w:t>705</w:t>
            </w:r>
          </w:p>
        </w:tc>
        <w:tc>
          <w:tcPr>
            <w:tcW w:w="660" w:type="dxa"/>
            <w:vAlign w:val="bottom"/>
          </w:tcPr>
          <w:p>
            <w:pPr>
              <w:jc w:val="right"/>
              <w:spacing w:after="0"/>
              <w:rPr>
                <w:sz w:val="20"/>
                <w:szCs w:val="20"/>
                <w:color w:val="auto"/>
              </w:rPr>
            </w:pPr>
            <w:r>
              <w:rPr>
                <w:rFonts w:ascii="Arial" w:cs="Arial" w:eastAsia="Arial" w:hAnsi="Arial"/>
                <w:sz w:val="14"/>
                <w:szCs w:val="14"/>
                <w:color w:val="auto"/>
              </w:rPr>
              <w:t>807</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794</w:t>
            </w:r>
          </w:p>
        </w:tc>
        <w:tc>
          <w:tcPr>
            <w:tcW w:w="220" w:type="dxa"/>
            <w:vAlign w:val="bottom"/>
          </w:tcPr>
          <w:p>
            <w:pPr>
              <w:spacing w:after="0"/>
              <w:rPr>
                <w:sz w:val="14"/>
                <w:szCs w:val="14"/>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-1.5%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12.7%</w:t>
            </w:r>
          </w:p>
        </w:tc>
        <w:tc>
          <w:tcPr>
            <w:tcW w:w="1020" w:type="dxa"/>
            <w:vAlign w:val="bottom"/>
            <w:gridSpan w:val="3"/>
          </w:tcPr>
          <w:p>
            <w:pPr>
              <w:jc w:val="right"/>
              <w:ind w:right="68"/>
              <w:spacing w:after="0"/>
              <w:rPr>
                <w:sz w:val="20"/>
                <w:szCs w:val="20"/>
                <w:color w:val="auto"/>
              </w:rPr>
            </w:pPr>
            <w:r>
              <w:rPr>
                <w:rFonts w:ascii="Arial" w:cs="Arial" w:eastAsia="Arial" w:hAnsi="Arial"/>
                <w:sz w:val="14"/>
                <w:szCs w:val="14"/>
                <w:color w:val="auto"/>
              </w:rPr>
              <w:t>45.4%</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30"/>
        </w:trPr>
        <w:tc>
          <w:tcPr>
            <w:tcW w:w="116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SME -</w:t>
            </w: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5D9F1"/>
          </w:tcPr>
          <w:p>
            <w:pPr>
              <w:spacing w:after="0"/>
              <w:rPr>
                <w:sz w:val="11"/>
                <w:szCs w:val="11"/>
                <w:color w:val="auto"/>
              </w:rPr>
            </w:pPr>
          </w:p>
        </w:tc>
        <w:tc>
          <w:tcPr>
            <w:tcW w:w="160" w:type="dxa"/>
            <w:vAlign w:val="bottom"/>
            <w:shd w:val="clear" w:color="auto" w:fill="C5D9F1"/>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Pyme</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7,419</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8,361</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8,343</w:t>
            </w:r>
          </w:p>
        </w:tc>
        <w:tc>
          <w:tcPr>
            <w:tcW w:w="8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-0.2%</w:t>
            </w:r>
          </w:p>
        </w:tc>
        <w:tc>
          <w:tcPr>
            <w:tcW w:w="78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12.5%</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w:t>
            </w:r>
          </w:p>
        </w:tc>
        <w:tc>
          <w:tcPr>
            <w:tcW w:w="10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96.7%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1160" w:type="dxa"/>
            <w:vAlign w:val="bottom"/>
          </w:tcPr>
          <w:p>
            <w:pPr>
              <w:ind w:left="340"/>
              <w:spacing w:after="0" w:line="149" w:lineRule="exact"/>
              <w:rPr>
                <w:sz w:val="20"/>
                <w:szCs w:val="20"/>
                <w:color w:val="auto"/>
              </w:rPr>
            </w:pPr>
            <w:r>
              <w:rPr>
                <w:rFonts w:ascii="Arial" w:cs="Arial" w:eastAsia="Arial" w:hAnsi="Arial"/>
                <w:sz w:val="14"/>
                <w:szCs w:val="14"/>
                <w:color w:val="auto"/>
              </w:rPr>
              <w:t>Mortgage</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9,260</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9,867</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10,320</w:t>
            </w:r>
          </w:p>
        </w:tc>
        <w:tc>
          <w:tcPr>
            <w:tcW w:w="860" w:type="dxa"/>
            <w:vAlign w:val="bottom"/>
            <w:gridSpan w:val="2"/>
            <w:shd w:val="clear" w:color="auto" w:fill="C5D9F1"/>
          </w:tcPr>
          <w:p>
            <w:pPr>
              <w:jc w:val="right"/>
              <w:ind w:right="68"/>
              <w:spacing w:after="0" w:line="149" w:lineRule="exact"/>
              <w:rPr>
                <w:sz w:val="20"/>
                <w:szCs w:val="20"/>
                <w:color w:val="auto"/>
              </w:rPr>
            </w:pPr>
            <w:r>
              <w:rPr>
                <w:rFonts w:ascii="Arial" w:cs="Arial" w:eastAsia="Arial" w:hAnsi="Arial"/>
                <w:sz w:val="14"/>
                <w:szCs w:val="14"/>
                <w:color w:val="auto"/>
              </w:rPr>
              <w:t>4.6%</w:t>
            </w:r>
          </w:p>
        </w:tc>
        <w:tc>
          <w:tcPr>
            <w:tcW w:w="78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11.4%</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971</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955</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897</w:t>
            </w:r>
          </w:p>
        </w:tc>
        <w:tc>
          <w:tcPr>
            <w:tcW w:w="220" w:type="dxa"/>
            <w:vAlign w:val="bottom"/>
          </w:tcPr>
          <w:p>
            <w:pPr>
              <w:spacing w:after="0"/>
              <w:rPr>
                <w:sz w:val="12"/>
                <w:szCs w:val="12"/>
                <w:color w:val="auto"/>
              </w:rPr>
            </w:pP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-6.1%</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w:t>
            </w:r>
          </w:p>
        </w:tc>
        <w:tc>
          <w:tcPr>
            <w:tcW w:w="10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78.1%</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Consumer</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5,518</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5,550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5,772</w:t>
            </w:r>
          </w:p>
        </w:tc>
        <w:tc>
          <w:tcPr>
            <w:tcW w:w="8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w:t>
            </w:r>
          </w:p>
        </w:tc>
        <w:tc>
          <w:tcPr>
            <w:tcW w:w="10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82.8%</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49"/>
        </w:trPr>
        <w:tc>
          <w:tcPr>
            <w:tcW w:w="1160" w:type="dxa"/>
            <w:vAlign w:val="bottom"/>
          </w:tcPr>
          <w:p>
            <w:pPr>
              <w:ind w:left="340"/>
              <w:spacing w:after="0" w:line="149" w:lineRule="exact"/>
              <w:rPr>
                <w:sz w:val="20"/>
                <w:szCs w:val="20"/>
                <w:color w:val="auto"/>
              </w:rPr>
            </w:pPr>
            <w:r>
              <w:rPr>
                <w:rFonts w:ascii="Arial" w:cs="Arial" w:eastAsia="Arial" w:hAnsi="Arial"/>
                <w:sz w:val="14"/>
                <w:szCs w:val="14"/>
                <w:color w:val="auto"/>
              </w:rPr>
              <w:t>Credit Card</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3,912</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3,791</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3,843</w:t>
            </w:r>
          </w:p>
        </w:tc>
        <w:tc>
          <w:tcPr>
            <w:tcW w:w="8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151</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220" w:type="dxa"/>
            <w:vAlign w:val="bottom"/>
          </w:tcPr>
          <w:p>
            <w:pPr>
              <w:spacing w:after="0"/>
              <w:rPr>
                <w:sz w:val="12"/>
                <w:szCs w:val="12"/>
                <w:color w:val="auto"/>
              </w:rPr>
            </w:pP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2.6%</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21.2%</w:t>
            </w:r>
          </w:p>
        </w:tc>
        <w:tc>
          <w:tcPr>
            <w:tcW w:w="10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86.7%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89"/>
        </w:trPr>
        <w:tc>
          <w:tcPr>
            <w:tcW w:w="1160" w:type="dxa"/>
            <w:vAlign w:val="bottom"/>
            <w:shd w:val="clear" w:color="auto" w:fill="CCEEFF"/>
          </w:tcPr>
          <w:p>
            <w:pPr>
              <w:ind w:left="180"/>
              <w:spacing w:after="0" w:line="189" w:lineRule="exact"/>
              <w:rPr>
                <w:sz w:val="20"/>
                <w:szCs w:val="20"/>
                <w:color w:val="auto"/>
              </w:rPr>
            </w:pPr>
            <w:r>
              <w:rPr>
                <w:rFonts w:ascii="Arial" w:cs="Arial" w:eastAsia="Arial" w:hAnsi="Arial"/>
                <w:sz w:val="13"/>
                <w:szCs w:val="13"/>
                <w:b w:val="1"/>
                <w:bCs w:val="1"/>
                <w:color w:val="auto"/>
              </w:rPr>
              <w:t xml:space="preserve">Others </w:t>
            </w:r>
            <w:r>
              <w:rPr>
                <w:rFonts w:ascii="Arial" w:cs="Arial" w:eastAsia="Arial" w:hAnsi="Arial"/>
                <w:sz w:val="21"/>
                <w:szCs w:val="21"/>
                <w:b w:val="1"/>
                <w:bCs w:val="1"/>
                <w:color w:val="auto"/>
                <w:vertAlign w:val="superscript"/>
              </w:rPr>
              <w:t>(1)</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329</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333</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341</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3.8%</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126</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122</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125</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-0.6%</w:t>
            </w:r>
          </w:p>
        </w:tc>
        <w:tc>
          <w:tcPr>
            <w:tcW w:w="10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54.3%</w:t>
            </w:r>
          </w:p>
        </w:tc>
        <w:tc>
          <w:tcPr>
            <w:tcW w:w="0" w:type="dxa"/>
            <w:vAlign w:val="bottom"/>
          </w:tcPr>
          <w:p>
            <w:pPr>
              <w:spacing w:after="0"/>
              <w:rPr>
                <w:sz w:val="1"/>
                <w:szCs w:val="1"/>
                <w:color w:val="auto"/>
              </w:rPr>
            </w:pPr>
          </w:p>
        </w:tc>
      </w:tr>
      <w:tr>
        <w:trPr>
          <w:trHeight w:val="149"/>
        </w:trPr>
        <w:tc>
          <w:tcPr>
            <w:tcW w:w="1160" w:type="dxa"/>
            <w:vAlign w:val="bottom"/>
          </w:tcPr>
          <w:p>
            <w:pPr>
              <w:spacing w:after="0" w:line="149" w:lineRule="exact"/>
              <w:rPr>
                <w:sz w:val="20"/>
                <w:szCs w:val="20"/>
                <w:color w:val="auto"/>
              </w:rPr>
            </w:pPr>
            <w:r>
              <w:rPr>
                <w:rFonts w:ascii="Arial" w:cs="Arial" w:eastAsia="Arial" w:hAnsi="Arial"/>
                <w:sz w:val="14"/>
                <w:szCs w:val="14"/>
                <w:b w:val="1"/>
                <w:bCs w:val="1"/>
                <w:color w:val="auto"/>
              </w:rPr>
              <w:t>Mibanco</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8,087</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8,563</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8,847</w:t>
            </w:r>
          </w:p>
        </w:tc>
        <w:tc>
          <w:tcPr>
            <w:tcW w:w="86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3.3%</w:t>
            </w:r>
          </w:p>
        </w:tc>
        <w:tc>
          <w:tcPr>
            <w:tcW w:w="78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9.4%</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155</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159</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160</w:t>
            </w:r>
          </w:p>
        </w:tc>
        <w:tc>
          <w:tcPr>
            <w:tcW w:w="22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0.9%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3.3%</w:t>
            </w:r>
          </w:p>
        </w:tc>
        <w:tc>
          <w:tcPr>
            <w:tcW w:w="1020" w:type="dxa"/>
            <w:vAlign w:val="bottom"/>
            <w:gridSpan w:val="3"/>
          </w:tcPr>
          <w:p>
            <w:pPr>
              <w:jc w:val="right"/>
              <w:ind w:right="48"/>
              <w:spacing w:after="0" w:line="149" w:lineRule="exact"/>
              <w:rPr>
                <w:sz w:val="20"/>
                <w:szCs w:val="20"/>
                <w:color w:val="auto"/>
              </w:rPr>
            </w:pPr>
            <w:r>
              <w:rPr>
                <w:rFonts w:ascii="Arial" w:cs="Arial" w:eastAsia="Arial" w:hAnsi="Arial"/>
                <w:sz w:val="14"/>
                <w:szCs w:val="14"/>
                <w:b w:val="1"/>
                <w:bCs w:val="1"/>
                <w:color w:val="auto"/>
              </w:rPr>
              <w:t>94.5%</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Bolivia</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1,649</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1,899</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1,934</w:t>
            </w:r>
          </w:p>
        </w:tc>
        <w:tc>
          <w:tcPr>
            <w:tcW w:w="9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1.9%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17.3%</w:t>
            </w:r>
          </w:p>
        </w:tc>
        <w:tc>
          <w:tcPr>
            <w:tcW w:w="1020" w:type="dxa"/>
            <w:vAlign w:val="bottom"/>
            <w:gridSpan w:val="3"/>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20"/>
                <w:szCs w:val="20"/>
                <w:color w:val="auto"/>
              </w:rPr>
            </w:pPr>
            <w:r>
              <w:rPr>
                <w:rFonts w:ascii="Arial" w:cs="Arial" w:eastAsia="Arial" w:hAnsi="Arial"/>
                <w:sz w:val="14"/>
                <w:szCs w:val="14"/>
                <w:b w:val="1"/>
                <w:bCs w:val="1"/>
                <w:color w:val="auto"/>
              </w:rPr>
              <w:t>ASB</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877</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822</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838</w:t>
            </w:r>
          </w:p>
        </w:tc>
        <w:tc>
          <w:tcPr>
            <w:tcW w:w="220" w:type="dxa"/>
            <w:vAlign w:val="bottom"/>
          </w:tcPr>
          <w:p>
            <w:pPr>
              <w:spacing w:after="0"/>
              <w:rPr>
                <w:sz w:val="14"/>
                <w:szCs w:val="14"/>
                <w:color w:val="auto"/>
              </w:rPr>
            </w:pPr>
          </w:p>
        </w:tc>
        <w:tc>
          <w:tcPr>
            <w:tcW w:w="9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-4.4%</w:t>
            </w:r>
          </w:p>
        </w:tc>
        <w:tc>
          <w:tcPr>
            <w:tcW w:w="102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42"/>
        </w:trPr>
        <w:tc>
          <w:tcPr>
            <w:tcW w:w="11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loans</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55,468</w:t>
            </w:r>
          </w:p>
        </w:tc>
        <w:tc>
          <w:tcPr>
            <w:tcW w:w="2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57,900</w:t>
            </w:r>
          </w:p>
        </w:tc>
        <w:tc>
          <w:tcPr>
            <w:tcW w:w="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59,248</w:t>
            </w:r>
          </w:p>
        </w:tc>
        <w:tc>
          <w:tcPr>
            <w:tcW w:w="1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w:t>
            </w:r>
          </w:p>
        </w:tc>
        <w:tc>
          <w:tcPr>
            <w:tcW w:w="2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6.8</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11,762</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12,266</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12,726</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59.0</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41.0</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Work out unit, and other banking.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283210" cy="21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3210" cy="21463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Largest contraction in volumes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 the analysis by currency, QoQ expansion was attributable to increase in both in the LC portfolio (+2.3% QoQ) and in the FC portfolio (+3.8% QoQ).</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dynamic is also observable in the YoY analysis.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Evolution of the level of dollarization by segment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YoY evolution of the level of dollarization by segment </w:t>
      </w:r>
      <w:r>
        <w:rPr>
          <w:rFonts w:ascii="Arial" w:cs="Arial" w:eastAsia="Arial" w:hAnsi="Arial"/>
          <w:sz w:val="30"/>
          <w:szCs w:val="30"/>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90170</wp:posOffset>
            </wp:positionV>
            <wp:extent cx="5600065" cy="2332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0065"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daily balances.</w:t>
      </w:r>
    </w:p>
    <w:p>
      <w:pPr>
        <w:spacing w:after="0" w:line="23" w:lineRule="exact"/>
        <w:rPr>
          <w:rFonts w:ascii="Arial" w:cs="Arial" w:eastAsia="Arial" w:hAnsi="Arial"/>
          <w:sz w:val="18"/>
          <w:szCs w:val="18"/>
          <w:color w:val="auto"/>
        </w:rPr>
      </w:pPr>
    </w:p>
    <w:p>
      <w:pPr>
        <w:ind w:right="920" w:firstLine="8"/>
        <w:spacing w:after="0" w:line="261"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FC share of Credicorp’s loan portfolio is calculated including BCP Bolivia and ASB, however the chart shows only BCP Stand-alone and Mibanco’s loan books.</w:t>
      </w:r>
    </w:p>
    <w:p>
      <w:pPr>
        <w:spacing w:after="0" w:line="400"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ind w:left="260"/>
        <w:spacing w:after="0" w:line="302" w:lineRule="auto"/>
        <w:rPr>
          <w:sz w:val="20"/>
          <w:szCs w:val="20"/>
          <w:color w:val="auto"/>
        </w:rPr>
      </w:pPr>
      <w:r>
        <w:rPr>
          <w:rFonts w:ascii="Arial" w:cs="Arial" w:eastAsia="Arial" w:hAnsi="Arial"/>
          <w:sz w:val="16"/>
          <w:szCs w:val="16"/>
          <w:color w:val="auto"/>
        </w:rPr>
        <w:t>At BCP Stand-alone, the loan dollarization level increased slightly YoY due to an increase in the dollarization levels of Wholesale Banking, SME-Business, Consumer and Credit Card. This was somewhat offset by the decrease in the dollarization levels in the SME-Pyme and Mortgage segments. This increase in the level of dollarization does not represent an increase in FX-risk on credit risk, as is evident in the sensitivity analysis in the figure below, which shows that the percentage of the loan portfolio that is highly exposed to FX risk continues to fall to levels that are increasingly close to 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FX risk on credit risk –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154940</wp:posOffset>
            </wp:positionV>
            <wp:extent cx="3009900" cy="1526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0990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BCRP de-dollarization plan at BCP Stand-alone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2014, BCRP established a Loan De-dollarization Program that included, among other measures, setting progressive targets to reduce the stock of US dollar loans by June 2015, December 2015, December 2016, December 2017 and December 2018. There are two stocks of US dollar loans that should be reduced: the total FC portfolio, with some exceptions, and the joint mortgage and car loan portfolio. The balance required at the end of December 2018 is as follows:</w:t>
      </w:r>
    </w:p>
    <w:p>
      <w:pPr>
        <w:spacing w:after="0" w:line="187" w:lineRule="exact"/>
        <w:rPr>
          <w:sz w:val="20"/>
          <w:szCs w:val="20"/>
          <w:color w:val="auto"/>
        </w:rPr>
      </w:pPr>
    </w:p>
    <w:p>
      <w:pPr>
        <w:ind w:left="880" w:hanging="494"/>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total FC portfolio, 2017’s benchmark will remain in place. In this scenario, the balance at the end of December 2018 must represent no more than 80% of total loans at the end of September 2013 (excluding loans that fulfill certain requirements).</w:t>
      </w:r>
    </w:p>
    <w:p>
      <w:pPr>
        <w:spacing w:after="0" w:line="17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6"/>
          <w:szCs w:val="16"/>
          <w:color w:val="auto"/>
        </w:rPr>
        <w:t>At the end of March 2018, BCP Stand-alone was very close to reaching BCR’s goal of December 2018, achieving a compliance level of 99%.</w:t>
      </w:r>
    </w:p>
    <w:p>
      <w:pPr>
        <w:spacing w:after="0" w:line="248" w:lineRule="exact"/>
        <w:rPr>
          <w:rFonts w:ascii="Arial" w:cs="Arial" w:eastAsia="Arial" w:hAnsi="Arial"/>
          <w:sz w:val="18"/>
          <w:szCs w:val="18"/>
          <w:color w:val="auto"/>
        </w:rPr>
      </w:pPr>
    </w:p>
    <w:p>
      <w:pPr>
        <w:jc w:val="both"/>
        <w:ind w:left="880" w:hanging="494"/>
        <w:spacing w:after="0" w:line="312"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FC loan portfolio in the Mortgage and Car segments, the benchmark will remain at 2017’s level until November 2018, followed by a 10% adjustment in December. Every year, the goal will be adjusted by 10% until reaching a level equivalent to at least 5% of Net Shareholders’ Equity. The balance at the end of December 2018 should represent no more than 60% of the balance posted in February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At the end of March 2018, BCP Stand-alone’s compliance with BCR’s de-dollarization program stands at 102%.</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tabs>
          <w:tab w:leader="none" w:pos="64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b w:val="1"/>
          <w:bCs w:val="1"/>
          <w:color w:val="auto"/>
        </w:rPr>
        <w:t>Market share in loans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154940</wp:posOffset>
            </wp:positionV>
            <wp:extent cx="5942965" cy="1783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4296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 segment includes Mibanco's market share of 1.1% as of February 2018 and December 2017, and of 1.0% as of March 2017.</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Consumer segment includes Mibanco's market share of 1.8% as of February 2018 and December 2017, and of 2.3% as of March 2017.</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Shares for Corporate, Middle-market and SME-Business are as of March 2018.</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February 2018, BCP Stand-alone continued to lead the market with a market share (MS) of 29.2%, which was significantly higher than the level posted by its closest competitor. This level is very similar to that obtained in 4Q17 (29.3%) and in 1Q17 (29.1%).</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Both Corporate Banking and Middle Market Banking reported a decrease of -30 and -20 in their MS QoQ, respectively. In the YoY evolution, Corporate Banking reported a reduction of -120 bps in its MS while Middle Market Banking posted an increase of +250 bps. It is important to mention that both segments continue to lead in their respective markets.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market share of Retail Banking was relatively stable as it continued to lead in the vast majority of its segments, with the exception of SME-Business, where it ranks second but determined to continue growing its market share (up +280 bps YoY).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Mibanco reported an MS for the SME segment that topped 4Q17 result by 60 bps to situate at 23.0%. This represents an increase of +50 bps with regard to the figure posted in 1Q17.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BCP Bolivia’s market share remained stable QoQ but grew +20 bps YoY, allowing the bank to remain in fourth place in the Bolivian Financial System.</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Funding 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At the end of 1Q18, deposits continued to increase its share in Credicorp’s total funding, which had a positive impact on funding cost given that the growth in deposits was mainly attributable to non-interest bearing demand deposits and savings deposits. Additionally, this funding source has replaced BCRP instruments, which continue to decline in this quarter, as they mature. In this context, Credicorp’s funding cost contracted 9 bps QoQ and 7 bps YoY; this reduction was primarily attributable to BCP Stand-alone.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Funding</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As of</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gridSpan w:val="3"/>
          </w:tcPr>
          <w:p>
            <w:pPr>
              <w:ind w:left="160"/>
              <w:spacing w:after="0"/>
              <w:rPr>
                <w:sz w:val="20"/>
                <w:szCs w:val="20"/>
                <w:color w:val="auto"/>
              </w:rPr>
            </w:pPr>
            <w:r>
              <w:rPr>
                <w:rFonts w:ascii="Arial" w:cs="Arial" w:eastAsia="Arial" w:hAnsi="Arial"/>
                <w:sz w:val="18"/>
                <w:szCs w:val="18"/>
                <w:b w:val="1"/>
                <w:bCs w:val="1"/>
                <w:color w:val="auto"/>
                <w:w w:val="99"/>
              </w:rPr>
              <w:t>% change</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Mar 17</w:t>
            </w:r>
          </w:p>
        </w:tc>
        <w:tc>
          <w:tcPr>
            <w:tcW w:w="2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Dec 17</w:t>
            </w:r>
          </w:p>
        </w:tc>
        <w:tc>
          <w:tcPr>
            <w:tcW w:w="2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Mar 18</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2"/>
              </w:rPr>
              <w:t>QoQ</w:t>
            </w:r>
          </w:p>
        </w:tc>
        <w:tc>
          <w:tcPr>
            <w:tcW w:w="40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demand deposits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22,836,306</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24,193,949</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26,464,658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Interest bearing Demand deposits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5,617,946</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5,576,327</w:t>
            </w:r>
          </w:p>
        </w:tc>
        <w:tc>
          <w:tcPr>
            <w:tcW w:w="1180" w:type="dxa"/>
            <w:vAlign w:val="bottom"/>
          </w:tcPr>
          <w:p>
            <w:pPr>
              <w:jc w:val="right"/>
              <w:spacing w:after="0"/>
              <w:rPr>
                <w:sz w:val="20"/>
                <w:szCs w:val="20"/>
                <w:color w:val="auto"/>
              </w:rPr>
            </w:pPr>
            <w:r>
              <w:rPr>
                <w:rFonts w:ascii="Arial" w:cs="Arial" w:eastAsia="Arial" w:hAnsi="Arial"/>
                <w:sz w:val="18"/>
                <w:szCs w:val="18"/>
                <w:color w:val="auto"/>
              </w:rPr>
              <w:t>4,597,370</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w w:val="91"/>
              </w:rPr>
              <w:t>-17.6%</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26,657,831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28,633,099</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29,724,860</w:t>
            </w: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27,876,113</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31,143,365</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30,238,770</w:t>
            </w:r>
          </w:p>
        </w:tc>
        <w:tc>
          <w:tcPr>
            <w:tcW w:w="78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indemnity deposits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6,537,982</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7,170,934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6,676,449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354,704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452,737</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490,998</w:t>
            </w:r>
          </w:p>
        </w:tc>
        <w:tc>
          <w:tcPr>
            <w:tcW w:w="780" w:type="dxa"/>
            <w:vAlign w:val="bottom"/>
          </w:tcPr>
          <w:p>
            <w:pPr>
              <w:spacing w:after="0"/>
              <w:rPr>
                <w:sz w:val="19"/>
                <w:szCs w:val="19"/>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89,880,882</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97,170,411</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98,193,105</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1200" w:type="dxa"/>
            <w:vAlign w:val="bottom"/>
          </w:tcPr>
          <w:p>
            <w:pPr>
              <w:jc w:val="right"/>
              <w:spacing w:after="0"/>
              <w:rPr>
                <w:sz w:val="20"/>
                <w:szCs w:val="20"/>
                <w:color w:val="auto"/>
              </w:rPr>
            </w:pPr>
            <w:r>
              <w:rPr>
                <w:rFonts w:ascii="Arial" w:cs="Arial" w:eastAsia="Arial" w:hAnsi="Arial"/>
                <w:sz w:val="18"/>
                <w:szCs w:val="18"/>
                <w:color w:val="auto"/>
              </w:rPr>
              <w:t>7,639,760</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7,996,889</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7,824,148</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BCRP instruments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9,979,835</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9,286,032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6,494,792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1"/>
              </w:rPr>
              <w:t>-30.1%</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Bonds and subordinated debt</w:t>
            </w:r>
          </w:p>
        </w:tc>
        <w:tc>
          <w:tcPr>
            <w:tcW w:w="1200" w:type="dxa"/>
            <w:vAlign w:val="bottom"/>
          </w:tcPr>
          <w:p>
            <w:pPr>
              <w:jc w:val="right"/>
              <w:spacing w:after="0"/>
              <w:rPr>
                <w:sz w:val="20"/>
                <w:szCs w:val="20"/>
                <w:color w:val="auto"/>
              </w:rPr>
            </w:pPr>
            <w:r>
              <w:rPr>
                <w:rFonts w:ascii="Arial" w:cs="Arial" w:eastAsia="Arial" w:hAnsi="Arial"/>
                <w:sz w:val="18"/>
                <w:szCs w:val="18"/>
                <w:color w:val="auto"/>
              </w:rPr>
              <w:t>15,410,094</w:t>
            </w:r>
          </w:p>
        </w:tc>
        <w:tc>
          <w:tcPr>
            <w:tcW w:w="22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16,242,257</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15,318,649</w:t>
            </w:r>
          </w:p>
        </w:tc>
        <w:tc>
          <w:tcPr>
            <w:tcW w:w="780" w:type="dxa"/>
            <w:vAlign w:val="bottom"/>
          </w:tcPr>
          <w:p>
            <w:pPr>
              <w:spacing w:after="0"/>
              <w:rPr>
                <w:sz w:val="19"/>
                <w:szCs w:val="19"/>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3780" w:type="dxa"/>
            <w:vAlign w:val="bottom"/>
            <w:gridSpan w:val="2"/>
            <w:vMerge w:val="restart"/>
            <w:shd w:val="clear" w:color="auto" w:fill="CCEEFF"/>
          </w:tcPr>
          <w:p>
            <w:pPr>
              <w:spacing w:after="0" w:line="269" w:lineRule="exact"/>
              <w:rPr>
                <w:sz w:val="20"/>
                <w:szCs w:val="20"/>
                <w:color w:val="auto"/>
              </w:rPr>
            </w:pPr>
            <w:r>
              <w:rPr>
                <w:rFonts w:ascii="Arial" w:cs="Arial" w:eastAsia="Arial" w:hAnsi="Arial"/>
                <w:sz w:val="18"/>
                <w:szCs w:val="18"/>
                <w:b w:val="1"/>
                <w:bCs w:val="1"/>
                <w:color w:val="auto"/>
              </w:rPr>
              <w:t xml:space="preserve">Total funding </w:t>
            </w:r>
            <w:r>
              <w:rPr>
                <w:rFonts w:ascii="Arial" w:cs="Arial" w:eastAsia="Arial" w:hAnsi="Arial"/>
                <w:sz w:val="30"/>
                <w:szCs w:val="30"/>
                <w:b w:val="1"/>
                <w:bCs w:val="1"/>
                <w:color w:val="auto"/>
                <w:vertAlign w:val="superscript"/>
              </w:rPr>
              <w:t>(1)</w:t>
            </w: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gridSpan w:val="2"/>
            <w:vMerge w:val="continue"/>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122,910,571</w:t>
            </w: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130,695,589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127,830,694</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3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308" w:lineRule="auto"/>
        <w:tabs>
          <w:tab w:leader="none" w:pos="27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funding costs differs from previously reported due to a methodoloy change in the denominator, which no longer includes the following accounts: acceptances outstanding, reserves for property and casualty claims, reserve for unearned premiums, reinsurance payable and other liabilities.</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Funding Structure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the funding structure and cost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154940</wp:posOffset>
            </wp:positionV>
            <wp:extent cx="5291455" cy="26073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9145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firstLine="8"/>
        <w:spacing w:after="0" w:line="308" w:lineRule="auto"/>
        <w:tabs>
          <w:tab w:leader="none" w:pos="3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funding costs differs from previously reported due to the methodoloy change of the denominator, which do not include the following accounts:acceptances outstanding, reserves for property and casualty claims, reserve for unearned premiums, reinsurance payable and other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figure of the evolution of Credicorp’s funding structure and cost was calculated on quarter-end balances.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QoQ and YoY evolution show a change in the funding structure where deposits have increased their share of total funding. This change has been evident for several quarters and is due primarily to a sustained reduction in BCRP instruments since 2016, which was particularly marked in 1Q18.</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2.2 Deposits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Deposits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gridSpan w:val="3"/>
          </w:tcPr>
          <w:p>
            <w:pPr>
              <w:ind w:left="140"/>
              <w:spacing w:after="0"/>
              <w:rPr>
                <w:sz w:val="20"/>
                <w:szCs w:val="20"/>
                <w:color w:val="auto"/>
              </w:rPr>
            </w:pPr>
            <w:r>
              <w:rPr>
                <w:rFonts w:ascii="Arial" w:cs="Arial" w:eastAsia="Arial" w:hAnsi="Arial"/>
                <w:sz w:val="18"/>
                <w:szCs w:val="18"/>
                <w:b w:val="1"/>
                <w:bCs w:val="1"/>
                <w:color w:val="auto"/>
                <w:w w:val="97"/>
              </w:rPr>
              <w:t>% change</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Mar 17</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 17</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Mar 18</w:t>
            </w: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87"/>
              </w:rPr>
              <w:t>QoQ</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demand deposits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22,836,306</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24,193,949</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26,464,658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Interest bearing Demand deposits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5,617,946</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5,576,327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4,597,370</w:t>
            </w:r>
          </w:p>
        </w:tc>
        <w:tc>
          <w:tcPr>
            <w:tcW w:w="74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w w:val="87"/>
              </w:rPr>
              <w:t>-17.6%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26,657,831</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28,633,099</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29,724,860</w:t>
            </w: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27,876,113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31,143,365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30,238,770</w:t>
            </w:r>
          </w:p>
        </w:tc>
        <w:tc>
          <w:tcPr>
            <w:tcW w:w="74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indemnity deposits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6,537,982</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7,170,934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6,676,449</w:t>
            </w: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354,704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452,737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490,998</w:t>
            </w:r>
          </w:p>
        </w:tc>
        <w:tc>
          <w:tcPr>
            <w:tcW w:w="740" w:type="dxa"/>
            <w:vAlign w:val="bottom"/>
          </w:tcPr>
          <w:p>
            <w:pPr>
              <w:spacing w:after="0"/>
              <w:rPr>
                <w:sz w:val="19"/>
                <w:szCs w:val="19"/>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38.4%</w:t>
            </w:r>
          </w:p>
        </w:tc>
      </w:tr>
      <w:tr>
        <w:trPr>
          <w:trHeight w:val="210"/>
        </w:trPr>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89,880,882</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97,170,411</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98,193,105</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At the subsidiary level, </w:t>
      </w:r>
      <w:r>
        <w:rPr>
          <w:rFonts w:ascii="Arial" w:cs="Arial" w:eastAsia="Arial" w:hAnsi="Arial"/>
          <w:sz w:val="16"/>
          <w:szCs w:val="16"/>
          <w:b w:val="1"/>
          <w:bCs w:val="1"/>
          <w:color w:val="auto"/>
        </w:rPr>
        <w:t>total deposits</w:t>
      </w:r>
      <w:r>
        <w:rPr>
          <w:rFonts w:ascii="Arial" w:cs="Arial" w:eastAsia="Arial" w:hAnsi="Arial"/>
          <w:sz w:val="16"/>
          <w:szCs w:val="16"/>
          <w:color w:val="auto"/>
        </w:rPr>
        <w:t xml:space="preserve"> expanded QoQ, which was mainly associated with an increase in non-interest bearing deposits and savings deposits.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points are noteworthy components of the QoQ increase:</w:t>
      </w:r>
    </w:p>
    <w:p>
      <w:pPr>
        <w:spacing w:after="0" w:line="221" w:lineRule="exact"/>
        <w:rPr>
          <w:sz w:val="20"/>
          <w:szCs w:val="20"/>
          <w:color w:val="auto"/>
        </w:rPr>
      </w:pPr>
    </w:p>
    <w:p>
      <w:pPr>
        <w:ind w:left="880" w:right="20" w:hanging="494"/>
        <w:spacing w:after="0" w:line="261"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non-interest bearing deposits</w:t>
      </w:r>
      <w:r>
        <w:rPr>
          <w:rFonts w:ascii="Arial" w:cs="Arial" w:eastAsia="Arial" w:hAnsi="Arial"/>
          <w:sz w:val="18"/>
          <w:szCs w:val="18"/>
          <w:color w:val="auto"/>
        </w:rPr>
        <w:t>, which is attributable primarily to BCP Stand-alone and in line with an increase in the average volume of current account balances of Wholesale Banking clients, and</w:t>
      </w:r>
    </w:p>
    <w:p>
      <w:pPr>
        <w:ind w:left="880" w:hanging="49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expansion in </w:t>
      </w:r>
      <w:r>
        <w:rPr>
          <w:rFonts w:ascii="Arial" w:cs="Arial" w:eastAsia="Arial" w:hAnsi="Arial"/>
          <w:sz w:val="18"/>
          <w:szCs w:val="18"/>
          <w:b w:val="1"/>
          <w:bCs w:val="1"/>
          <w:color w:val="auto"/>
        </w:rPr>
        <w:t>savings deposits</w:t>
      </w:r>
      <w:r>
        <w:rPr>
          <w:rFonts w:ascii="Arial" w:cs="Arial" w:eastAsia="Arial" w:hAnsi="Arial"/>
          <w:sz w:val="18"/>
          <w:szCs w:val="18"/>
          <w:color w:val="auto"/>
        </w:rPr>
        <w:t>, which was mainly explained through BCP Stand-alone.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helped offset the QoQ reduction in:</w:t>
      </w:r>
    </w:p>
    <w:p>
      <w:pPr>
        <w:spacing w:after="0" w:line="221" w:lineRule="exact"/>
        <w:rPr>
          <w:sz w:val="20"/>
          <w:szCs w:val="20"/>
          <w:color w:val="auto"/>
        </w:rPr>
      </w:pPr>
    </w:p>
    <w:p>
      <w:pPr>
        <w:ind w:left="880" w:hanging="494"/>
        <w:spacing w:after="0" w:line="313" w:lineRule="auto"/>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Time deposits</w:t>
      </w:r>
      <w:r>
        <w:rPr>
          <w:rFonts w:ascii="Arial" w:cs="Arial" w:eastAsia="Arial" w:hAnsi="Arial"/>
          <w:sz w:val="17"/>
          <w:szCs w:val="17"/>
          <w:color w:val="auto"/>
        </w:rPr>
        <w:t>, at BCP Stand-alone, due to the exit of some funds that were obtained through Capital repatriation. The latter was partially offset</w:t>
      </w:r>
      <w:r>
        <w:rPr>
          <w:rFonts w:ascii="Arial" w:cs="Arial" w:eastAsia="Arial" w:hAnsi="Arial"/>
          <w:sz w:val="17"/>
          <w:szCs w:val="17"/>
          <w:b w:val="1"/>
          <w:bCs w:val="1"/>
          <w:color w:val="auto"/>
        </w:rPr>
        <w:t xml:space="preserve"> </w:t>
      </w:r>
      <w:r>
        <w:rPr>
          <w:rFonts w:ascii="Arial" w:cs="Arial" w:eastAsia="Arial" w:hAnsi="Arial"/>
          <w:sz w:val="17"/>
          <w:szCs w:val="17"/>
          <w:color w:val="auto"/>
        </w:rPr>
        <w:t>by QoQ increase in Mibanco’s Time deposits, which was associated with active campaigns in 4Q to capture institutional clients.</w:t>
      </w:r>
    </w:p>
    <w:p>
      <w:pPr>
        <w:spacing w:after="0" w:line="138" w:lineRule="exact"/>
        <w:rPr>
          <w:rFonts w:ascii="Arial" w:cs="Arial" w:eastAsia="Arial" w:hAnsi="Arial"/>
          <w:sz w:val="17"/>
          <w:szCs w:val="17"/>
          <w:color w:val="auto"/>
        </w:rPr>
      </w:pPr>
    </w:p>
    <w:p>
      <w:pPr>
        <w:ind w:left="880" w:right="20" w:hanging="494"/>
        <w:spacing w:after="0" w:line="282"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Severance indemnity deposits</w:t>
      </w:r>
      <w:r>
        <w:rPr>
          <w:rFonts w:ascii="Arial" w:cs="Arial" w:eastAsia="Arial" w:hAnsi="Arial"/>
          <w:sz w:val="18"/>
          <w:szCs w:val="18"/>
          <w:color w:val="auto"/>
        </w:rPr>
        <w:t>, which dropped due to a seasonal effect that is present in the first quarter of every year given that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indemnity payment is made every November; therefore, these deposits increase every 4Q.</w:t>
      </w:r>
    </w:p>
    <w:p>
      <w:pPr>
        <w:spacing w:after="0" w:line="161" w:lineRule="exact"/>
        <w:rPr>
          <w:rFonts w:ascii="Arial" w:cs="Arial" w:eastAsia="Arial" w:hAnsi="Arial"/>
          <w:sz w:val="18"/>
          <w:szCs w:val="18"/>
          <w:color w:val="auto"/>
        </w:rPr>
      </w:pPr>
    </w:p>
    <w:p>
      <w:pPr>
        <w:ind w:left="880" w:hanging="49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Interest bearing demand deposits</w:t>
      </w:r>
      <w:r>
        <w:rPr>
          <w:rFonts w:ascii="Arial" w:cs="Arial" w:eastAsia="Arial" w:hAnsi="Arial"/>
          <w:sz w:val="18"/>
          <w:szCs w:val="18"/>
          <w:color w:val="auto"/>
        </w:rPr>
        <w:t>, associated with institutional clients of Wholesale Banking.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YoY terms, total deposits increased +9.2%, primarily associated with:</w:t>
      </w:r>
    </w:p>
    <w:p>
      <w:pPr>
        <w:spacing w:after="0" w:line="221" w:lineRule="exact"/>
        <w:rPr>
          <w:sz w:val="20"/>
          <w:szCs w:val="20"/>
          <w:color w:val="auto"/>
        </w:rPr>
      </w:pPr>
    </w:p>
    <w:p>
      <w:pPr>
        <w:ind w:left="880" w:hanging="494"/>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growth in </w:t>
      </w:r>
      <w:r>
        <w:rPr>
          <w:rFonts w:ascii="Arial" w:cs="Arial" w:eastAsia="Arial" w:hAnsi="Arial"/>
          <w:sz w:val="17"/>
          <w:szCs w:val="17"/>
          <w:b w:val="1"/>
          <w:bCs w:val="1"/>
          <w:color w:val="auto"/>
        </w:rPr>
        <w:t>Non-interest bearing deposits</w:t>
      </w:r>
      <w:r>
        <w:rPr>
          <w:rFonts w:ascii="Arial" w:cs="Arial" w:eastAsia="Arial" w:hAnsi="Arial"/>
          <w:sz w:val="17"/>
          <w:szCs w:val="17"/>
          <w:color w:val="auto"/>
        </w:rPr>
        <w:t xml:space="preserve"> due to a higher average volume maintained in current accounts held by institutional clients.</w:t>
      </w:r>
    </w:p>
    <w:p>
      <w:pPr>
        <w:spacing w:after="0" w:line="236" w:lineRule="exact"/>
        <w:rPr>
          <w:rFonts w:ascii="Arial" w:cs="Arial" w:eastAsia="Arial" w:hAnsi="Arial"/>
          <w:sz w:val="17"/>
          <w:szCs w:val="17"/>
          <w:color w:val="auto"/>
        </w:rPr>
      </w:pPr>
    </w:p>
    <w:p>
      <w:pPr>
        <w:ind w:left="880" w:hanging="49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expansion in </w:t>
      </w:r>
      <w:r>
        <w:rPr>
          <w:rFonts w:ascii="Arial" w:cs="Arial" w:eastAsia="Arial" w:hAnsi="Arial"/>
          <w:sz w:val="18"/>
          <w:szCs w:val="18"/>
          <w:b w:val="1"/>
          <w:bCs w:val="1"/>
          <w:color w:val="auto"/>
        </w:rPr>
        <w:t>Savings deposits</w:t>
      </w:r>
      <w:r>
        <w:rPr>
          <w:rFonts w:ascii="Arial" w:cs="Arial" w:eastAsia="Arial" w:hAnsi="Arial"/>
          <w:sz w:val="18"/>
          <w:szCs w:val="18"/>
          <w:color w:val="auto"/>
        </w:rPr>
        <w:t>, which was due to campaigns throughout the year to capture savings.</w:t>
      </w:r>
    </w:p>
    <w:p>
      <w:pPr>
        <w:spacing w:after="0" w:line="225" w:lineRule="exact"/>
        <w:rPr>
          <w:rFonts w:ascii="Arial" w:cs="Arial" w:eastAsia="Arial" w:hAnsi="Arial"/>
          <w:sz w:val="18"/>
          <w:szCs w:val="18"/>
          <w:color w:val="auto"/>
        </w:rPr>
      </w:pPr>
    </w:p>
    <w:p>
      <w:pPr>
        <w:ind w:left="880" w:hanging="494"/>
        <w:spacing w:after="0" w:line="282"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Finally, YoY growth in </w:t>
      </w:r>
      <w:r>
        <w:rPr>
          <w:rFonts w:ascii="Arial" w:cs="Arial" w:eastAsia="Arial" w:hAnsi="Arial"/>
          <w:sz w:val="18"/>
          <w:szCs w:val="18"/>
          <w:b w:val="1"/>
          <w:bCs w:val="1"/>
          <w:color w:val="auto"/>
        </w:rPr>
        <w:t>time deposits</w:t>
      </w:r>
      <w:r>
        <w:rPr>
          <w:rFonts w:ascii="Arial" w:cs="Arial" w:eastAsia="Arial" w:hAnsi="Arial"/>
          <w:sz w:val="18"/>
          <w:szCs w:val="18"/>
          <w:color w:val="auto"/>
        </w:rPr>
        <w:t>, which is the result of the campaigns that were rolled out in 2017 to capture funds from individuals and institutional clients.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spacing w:after="0"/>
        <w:tabs>
          <w:tab w:leader="none" w:pos="64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6"/>
          <w:szCs w:val="16"/>
          <w:b w:val="1"/>
          <w:bCs w:val="1"/>
          <w:color w:val="auto"/>
        </w:rPr>
        <w:t>Deposits: dollarization level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Dollarization Level of Deposits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90170</wp:posOffset>
            </wp:positionV>
            <wp:extent cx="2975610" cy="10121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7561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(1) Q-end balances.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Credicorp’s Deposits posted a reduction QoQ in their dollarization levels due to the expansion in LC deposits, which was associated primarily with the increase posted in non-interest bearing deposits and savings deposits. The aforementioned was accentuated by the drop in FC deposits, which was attributable to a decrease in time deposits.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YoY evolution, it is evident that deposits have experienced and on-going reduction in their dollarization levels, which was associated with growth in non-interest bearing, savings and time deposits in LC.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 Deposit Dollarization measured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154940</wp:posOffset>
            </wp:positionV>
            <wp:extent cx="5608320" cy="14490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0832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QoQ evolution reveals on-going reduction in the dollarization level of demand deposits</w:t>
      </w:r>
      <w:r>
        <w:rPr>
          <w:rFonts w:ascii="Arial" w:cs="Arial" w:eastAsia="Arial" w:hAnsi="Arial"/>
          <w:sz w:val="30"/>
          <w:szCs w:val="30"/>
          <w:color w:val="auto"/>
          <w:vertAlign w:val="superscript"/>
        </w:rPr>
        <w:t>3</w:t>
      </w:r>
      <w:r>
        <w:rPr>
          <w:rFonts w:ascii="Arial" w:cs="Arial" w:eastAsia="Arial" w:hAnsi="Arial"/>
          <w:sz w:val="18"/>
          <w:szCs w:val="18"/>
          <w:color w:val="auto"/>
        </w:rPr>
        <w:t>, time deposits and savings deposits. The dollarization level of Severance indemnity deposits increased slightly given that the increase in LC withdrawals outpaced that of FC (refer to the comment on Severance indemnity deposits in section 2.2 Deposits.</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YoY analysis, the on-going contraction in the dollarization level is present in all deposit types, in line with the trend observed in over the last few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8097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1" w:lineRule="exact"/>
        <w:rPr>
          <w:sz w:val="20"/>
          <w:szCs w:val="20"/>
          <w:color w:val="auto"/>
        </w:rPr>
      </w:pPr>
    </w:p>
    <w:p>
      <w:pPr>
        <w:ind w:left="120" w:hanging="112"/>
        <w:spacing w:after="0"/>
        <w:tabs>
          <w:tab w:leader="none" w:pos="12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Includes both interest-earning time deposits and non-interest bearing time deposits.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Arial" w:cs="Arial" w:eastAsia="Arial" w:hAnsi="Arial"/>
                <w:sz w:val="18"/>
                <w:szCs w:val="18"/>
                <w:b w:val="1"/>
                <w:bCs w:val="1"/>
                <w:color w:val="auto"/>
              </w:rPr>
              <w:t>2.2.2 Market share in Deposits</w:t>
            </w:r>
          </w:p>
        </w:tc>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6140" w:type="dxa"/>
            <w:vAlign w:val="bottom"/>
            <w:gridSpan w:val="4"/>
          </w:tcPr>
          <w:p>
            <w:pPr>
              <w:jc w:val="right"/>
              <w:ind w:right="3130"/>
              <w:spacing w:after="0"/>
              <w:rPr>
                <w:sz w:val="20"/>
                <w:szCs w:val="20"/>
                <w:color w:val="auto"/>
              </w:rPr>
            </w:pPr>
            <w:r>
              <w:rPr>
                <w:rFonts w:ascii="Arial" w:cs="Arial" w:eastAsia="Arial" w:hAnsi="Arial"/>
                <w:sz w:val="18"/>
                <w:szCs w:val="18"/>
                <w:b w:val="1"/>
                <w:bCs w:val="1"/>
                <w:color w:val="auto"/>
              </w:rPr>
              <w:t>Market share in Peru</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MS</w:t>
            </w:r>
          </w:p>
        </w:tc>
        <w:tc>
          <w:tcPr>
            <w:tcW w:w="42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Dec 17</w:t>
            </w:r>
          </w:p>
        </w:tc>
        <w:tc>
          <w:tcPr>
            <w:tcW w:w="3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Feb 18</w:t>
            </w:r>
          </w:p>
        </w:tc>
        <w:tc>
          <w:tcPr>
            <w:tcW w:w="180" w:type="dxa"/>
            <w:vAlign w:val="bottom"/>
            <w:tcBorders>
              <w:bottom w:val="single" w:sz="8" w:color="CCEEFF"/>
            </w:tcBorders>
          </w:tcPr>
          <w:p>
            <w:pPr>
              <w:spacing w:after="0"/>
              <w:rPr>
                <w:sz w:val="24"/>
                <w:szCs w:val="24"/>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BCP Stand-alone</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3620" w:type="dxa"/>
            <w:vAlign w:val="bottom"/>
          </w:tcPr>
          <w:p>
            <w:pPr>
              <w:spacing w:after="0"/>
              <w:rPr>
                <w:sz w:val="20"/>
                <w:szCs w:val="20"/>
                <w:color w:val="auto"/>
              </w:rPr>
            </w:pPr>
            <w:r>
              <w:rPr>
                <w:rFonts w:ascii="Arial" w:cs="Arial" w:eastAsia="Arial" w:hAnsi="Arial"/>
                <w:sz w:val="18"/>
                <w:szCs w:val="18"/>
                <w:b w:val="1"/>
                <w:bCs w:val="1"/>
                <w:color w:val="auto"/>
              </w:rPr>
              <w:t>Mibanco</w:t>
            </w:r>
          </w:p>
        </w:tc>
        <w:tc>
          <w:tcPr>
            <w:tcW w:w="6140" w:type="dxa"/>
            <w:vAlign w:val="bottom"/>
            <w:gridSpan w:val="4"/>
          </w:tcPr>
          <w:p>
            <w:pPr>
              <w:jc w:val="right"/>
              <w:ind w:right="50"/>
              <w:spacing w:after="0"/>
              <w:rPr>
                <w:sz w:val="20"/>
                <w:szCs w:val="20"/>
                <w:color w:val="auto"/>
              </w:rPr>
            </w:pPr>
            <w:r>
              <w:rPr>
                <w:rFonts w:ascii="Arial" w:cs="Arial" w:eastAsia="Arial" w:hAnsi="Arial"/>
                <w:sz w:val="18"/>
                <w:szCs w:val="18"/>
                <w:color w:val="auto"/>
              </w:rPr>
              <w:t>2.9%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33.7</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137160</wp:posOffset>
            </wp:positionV>
            <wp:extent cx="5857240" cy="16294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57240"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BCP</w:t>
      </w:r>
    </w:p>
    <w:p>
      <w:pPr>
        <w:spacing w:after="0" w:line="23"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Demand deposits includes Mibanco's market share of 0.2% at the end of March and December 2017, and February 2018.</w:t>
      </w:r>
    </w:p>
    <w:p>
      <w:pPr>
        <w:spacing w:after="0" w:line="9" w:lineRule="exact"/>
        <w:rPr>
          <w:rFonts w:ascii="Arial" w:cs="Arial" w:eastAsia="Arial" w:hAnsi="Arial"/>
          <w:sz w:val="18"/>
          <w:szCs w:val="18"/>
          <w:color w:val="auto"/>
        </w:rPr>
      </w:pPr>
    </w:p>
    <w:p>
      <w:pPr>
        <w:ind w:firstLine="8"/>
        <w:spacing w:after="0" w:line="250" w:lineRule="auto"/>
        <w:tabs>
          <w:tab w:leader="none" w:pos="259"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Savings deposits includes Mibanco's market share of 1.2% at the end of March 2017, 1.3% at the end of December 2017 and 1.2% at the end of February 2018.</w:t>
      </w:r>
    </w:p>
    <w:p>
      <w:pPr>
        <w:ind w:firstLine="8"/>
        <w:spacing w:after="0" w:line="250" w:lineRule="auto"/>
        <w:tabs>
          <w:tab w:leader="none" w:pos="26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 deposits includes Mibanco's narket share of 5.8% at the end of March 2017, 6.1% at the end of December 2017 and 6.0% at the end of February 2018.</w:t>
      </w:r>
    </w:p>
    <w:p>
      <w:pPr>
        <w:ind w:firstLine="8"/>
        <w:spacing w:after="0" w:line="261" w:lineRule="auto"/>
        <w:tabs>
          <w:tab w:leader="none" w:pos="257"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Severance indemnity deposits includes Mibanco's market share of 1.3% at the end of March 2017, 1.2% at the end of December 2017 and 1.3% at the end of February 2018.</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February 2018, the Credicorp’s subsidiaries in Peru, BCP and Mibanco, continued to lead the market for total deposits with a market share (MS) of 32.8%. This MS level is approximately 13.6 percentage points above of the group’s closest competitor.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total MS remained stable in comparison to March 2017 (32.1%), mainly due to growth in the MS of time deposits.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BCP Bolivia continued to rank fifth in the Bolivian financial market system with a MS of 9.9% at the end of March 2018 versus 9.8% at the end of December 2017. The YoY analysis reveals an increase in the MS with regard to the level posted in March 2017 (9.2%), which was associated with efforts to capture more funds.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2.3 Other funding sources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Other funding sources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gridSpan w:val="3"/>
          </w:tcPr>
          <w:p>
            <w:pPr>
              <w:ind w:left="140"/>
              <w:spacing w:after="0"/>
              <w:rPr>
                <w:sz w:val="20"/>
                <w:szCs w:val="20"/>
                <w:color w:val="auto"/>
              </w:rPr>
            </w:pPr>
            <w:r>
              <w:rPr>
                <w:rFonts w:ascii="Arial" w:cs="Arial" w:eastAsia="Arial" w:hAnsi="Arial"/>
                <w:sz w:val="18"/>
                <w:szCs w:val="18"/>
                <w:b w:val="1"/>
                <w:bCs w:val="1"/>
                <w:color w:val="auto"/>
                <w:w w:val="97"/>
              </w:rPr>
              <w:t>% change</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Mar 17</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 17</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Mar 18</w:t>
            </w: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87"/>
              </w:rPr>
              <w:t>QoQ</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7,639,760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7,996,889</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7,824,148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9,979,835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9,286,032</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6,494,792</w:t>
            </w:r>
          </w:p>
        </w:tc>
        <w:tc>
          <w:tcPr>
            <w:tcW w:w="74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w w:val="87"/>
              </w:rPr>
              <w:t>-30.1%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15,410,094</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16,242,257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15,318,649</w:t>
            </w:r>
          </w:p>
        </w:tc>
        <w:tc>
          <w:tcPr>
            <w:tcW w:w="7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1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Total Other funding sources</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33,029,689</w:t>
            </w:r>
          </w:p>
        </w:tc>
        <w:tc>
          <w:tcPr>
            <w:tcW w:w="2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33,525,178</w:t>
            </w:r>
          </w:p>
        </w:tc>
        <w:tc>
          <w:tcPr>
            <w:tcW w:w="1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29,637,589</w:t>
            </w: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-11.6</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of other funding sources fell -11.6% QoQ, mainly due to a drop in the level of BCRP instruments and to a lesser extent, to a decrease in Bonds and Subordinated debt and Due to banks and correspondents.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both"/>
        <w:ind w:right="5700"/>
        <w:spacing w:after="0" w:line="266" w:lineRule="auto"/>
        <w:rPr>
          <w:sz w:val="20"/>
          <w:szCs w:val="20"/>
          <w:color w:val="auto"/>
        </w:rPr>
      </w:pPr>
      <w:r>
        <w:rPr>
          <w:rFonts w:ascii="Arial" w:cs="Arial" w:eastAsia="Arial" w:hAnsi="Arial"/>
          <w:sz w:val="18"/>
          <w:szCs w:val="18"/>
          <w:b w:val="1"/>
          <w:bCs w:val="1"/>
          <w:color w:val="auto"/>
        </w:rPr>
        <w:t xml:space="preserve">BCRP instruments </w:t>
      </w:r>
      <w:r>
        <w:rPr>
          <w:rFonts w:ascii="Arial" w:cs="Arial" w:eastAsia="Arial" w:hAnsi="Arial"/>
          <w:sz w:val="18"/>
          <w:szCs w:val="18"/>
          <w:color w:val="auto"/>
        </w:rPr>
        <w:t>posted a drop in their share of total funding both QoQ and</w:t>
      </w:r>
      <w:r>
        <w:rPr>
          <w:rFonts w:ascii="Arial" w:cs="Arial" w:eastAsia="Arial" w:hAnsi="Arial"/>
          <w:sz w:val="18"/>
          <w:szCs w:val="18"/>
          <w:b w:val="1"/>
          <w:bCs w:val="1"/>
          <w:color w:val="auto"/>
        </w:rPr>
        <w:t xml:space="preserve"> </w:t>
      </w:r>
      <w:r>
        <w:rPr>
          <w:rFonts w:ascii="Arial" w:cs="Arial" w:eastAsia="Arial" w:hAnsi="Arial"/>
          <w:sz w:val="18"/>
          <w:szCs w:val="18"/>
          <w:color w:val="auto"/>
        </w:rPr>
        <w:t>YoY; this was primarily due to expirations of CD repos and repos of public treasury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-424815</wp:posOffset>
            </wp:positionV>
            <wp:extent cx="2263775" cy="15347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6377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Bonds and subordinated debt </w:t>
      </w:r>
      <w:r>
        <w:rPr>
          <w:rFonts w:ascii="Arial" w:cs="Arial" w:eastAsia="Arial" w:hAnsi="Arial"/>
          <w:sz w:val="18"/>
          <w:szCs w:val="18"/>
          <w:color w:val="auto"/>
        </w:rPr>
        <w:t>due to the expiration of an international corporate bond, which expired in January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reduction in </w:t>
      </w:r>
      <w:r>
        <w:rPr>
          <w:rFonts w:ascii="Arial" w:cs="Arial" w:eastAsia="Arial" w:hAnsi="Arial"/>
          <w:sz w:val="18"/>
          <w:szCs w:val="18"/>
          <w:b w:val="1"/>
          <w:bCs w:val="1"/>
          <w:color w:val="auto"/>
        </w:rPr>
        <w:t>due to banks and correspondents</w:t>
      </w:r>
      <w:r>
        <w:rPr>
          <w:rFonts w:ascii="Arial" w:cs="Arial" w:eastAsia="Arial" w:hAnsi="Arial"/>
          <w:sz w:val="18"/>
          <w:szCs w:val="18"/>
          <w:color w:val="auto"/>
        </w:rPr>
        <w:t xml:space="preserve"> originated with the decrease in due to foreign banks through BCP Stand-alone.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YoY analysis shows a similar trend mainly explained by the reduction of BCRP Instruments.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Loan / Deposit (L/D)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 Deposit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154940</wp:posOffset>
            </wp:positionV>
            <wp:extent cx="3764915" cy="14236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64915"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Credicorp’s L/D ratio reduced QoQ to situate at 102.4% after deposits expanded at a greater rate than total loans (+1.1% vs +0.1%). In the analysis by subsidiary, it is evident that this reduction was associated with BCP Stand-alone, in line with the higher level of deposits QoQ. Mibanco’s L/D ratio situate at 128.4% in 1Q18, due to QoQ growth in total loans.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Loan / Deposit Ratio by Currency</w:t>
      </w:r>
    </w:p>
    <w:p>
      <w:pPr>
        <w:spacing w:after="0" w:line="225" w:lineRule="exact"/>
        <w:rPr>
          <w:sz w:val="20"/>
          <w:szCs w:val="20"/>
          <w:color w:val="auto"/>
        </w:rPr>
      </w:pPr>
    </w:p>
    <w:p>
      <w:pPr>
        <w:ind w:left="2260"/>
        <w:spacing w:after="0"/>
        <w:tabs>
          <w:tab w:leader="none" w:pos="7920" w:val="left"/>
        </w:tabs>
        <w:rPr>
          <w:sz w:val="20"/>
          <w:szCs w:val="20"/>
          <w:color w:val="auto"/>
        </w:rPr>
      </w:pPr>
      <w:r>
        <w:rPr>
          <w:rFonts w:ascii="Arial" w:cs="Arial" w:eastAsia="Arial" w:hAnsi="Arial"/>
          <w:sz w:val="18"/>
          <w:szCs w:val="18"/>
          <w:b w:val="1"/>
          <w:bCs w:val="1"/>
          <w:color w:val="auto"/>
        </w:rPr>
        <w:t>Local Currency</w:t>
      </w:r>
      <w:r>
        <w:rPr>
          <w:sz w:val="20"/>
          <w:szCs w:val="20"/>
          <w:color w:val="auto"/>
        </w:rPr>
        <w:tab/>
      </w:r>
      <w:r>
        <w:rPr>
          <w:rFonts w:ascii="Arial" w:cs="Arial" w:eastAsia="Arial" w:hAnsi="Arial"/>
          <w:sz w:val="16"/>
          <w:szCs w:val="16"/>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154940</wp:posOffset>
            </wp:positionV>
            <wp:extent cx="6569075" cy="13804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69075"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QoQ analysis by currency indicates a reduction in the L/D ratio for LC at Credicorp, which was attributable to the increase in LC deposits. The FC L/D ratio registered an increase due to QoQ loan growth in FC at BCP Stand-alone.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the L/D ratio reported a decrease that was attributable to an on-going reduction in the dollarization level of deposits in 2017 and 1Q18. The aforementioned, in turn, had an impact on the L/D ratio for FC, which increased YoY given that the deposit level in FC dropped. Growth was also accentuated by an increase in FC loan volumes throughout 2017 and at the beginning of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Funding Cost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cost of funding at Credicorp fell 9 bps QoQ, which reflects:</w:t>
      </w:r>
    </w:p>
    <w:p>
      <w:pPr>
        <w:spacing w:after="0" w:line="225" w:lineRule="exact"/>
        <w:rPr>
          <w:sz w:val="20"/>
          <w:szCs w:val="20"/>
          <w:color w:val="auto"/>
        </w:rPr>
      </w:pPr>
    </w:p>
    <w:p>
      <w:pPr>
        <w:ind w:left="880" w:hanging="494"/>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on-going changes in the funding structure, as discussed previously in the report; in this scenario, lower-cost deposits continued to increase their share of the funding structure. Additionally, it is important to note that the increase in deposits took place in LC.</w:t>
      </w:r>
    </w:p>
    <w:p>
      <w:pPr>
        <w:spacing w:after="0" w:line="170"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Since 2017, BCRP has adopted measures to systematically reduce the reference rate (50 bps of reduction only in 2018); this has led to a drop in the LC funding cost after three years of upward pressures.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the funding cost fell -7 bps YoY, in line with the evolution of the funding structure. In this scenario, deposits have significantly increased their share of total liabilities (76.7% in 1Q18 and 73.0% in 1Q17), acting as a substitute for BCRP instruments and due to banks and correspondents, which posted lower levels in the mix. This substitution has led to a reduction in the funding cost.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funding cost</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by subsidiary: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BCP</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0"/>
              </w:rPr>
              <w:t xml:space="preserve">Credicorp </w:t>
            </w:r>
            <w:r>
              <w:rPr>
                <w:rFonts w:ascii="Arial" w:cs="Arial" w:eastAsia="Arial" w:hAnsi="Arial"/>
                <w:sz w:val="30"/>
                <w:szCs w:val="30"/>
                <w:b w:val="1"/>
                <w:bCs w:val="1"/>
                <w:color w:val="auto"/>
                <w:w w:val="90"/>
                <w:vertAlign w:val="superscript"/>
              </w:rPr>
              <w:t>(1)</w:t>
            </w:r>
          </w:p>
        </w:tc>
        <w:tc>
          <w:tcPr>
            <w:tcW w:w="2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Stand-alone</w:t>
            </w:r>
          </w:p>
        </w:tc>
        <w:tc>
          <w:tcPr>
            <w:tcW w:w="26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Mibanco</w:t>
            </w:r>
          </w:p>
        </w:tc>
        <w:tc>
          <w:tcPr>
            <w:tcW w:w="2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7"/>
              </w:rPr>
              <w:t>BCP Bolivia</w:t>
            </w:r>
          </w:p>
        </w:tc>
        <w:tc>
          <w:tcPr>
            <w:tcW w:w="2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ASB</w:t>
            </w:r>
          </w:p>
        </w:tc>
        <w:tc>
          <w:tcPr>
            <w:tcW w:w="2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5"/>
              </w:rPr>
              <w:t>Banking business</w:t>
            </w:r>
          </w:p>
        </w:tc>
        <w:tc>
          <w:tcPr>
            <w:tcW w:w="2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1Q17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2.38%</w:t>
            </w:r>
          </w:p>
        </w:tc>
        <w:tc>
          <w:tcPr>
            <w:tcW w:w="0" w:type="dxa"/>
            <w:vAlign w:val="bottom"/>
          </w:tcPr>
          <w:p>
            <w:pPr>
              <w:spacing w:after="0"/>
              <w:rPr>
                <w:sz w:val="1"/>
                <w:szCs w:val="1"/>
                <w:color w:val="auto"/>
              </w:rPr>
            </w:pPr>
          </w:p>
        </w:tc>
      </w:tr>
      <w:tr>
        <w:trPr>
          <w:trHeight w:val="216"/>
        </w:trPr>
        <w:tc>
          <w:tcPr>
            <w:tcW w:w="2060" w:type="dxa"/>
            <w:vAlign w:val="bottom"/>
          </w:tcPr>
          <w:p>
            <w:pPr>
              <w:ind w:left="780"/>
              <w:spacing w:after="0"/>
              <w:rPr>
                <w:sz w:val="20"/>
                <w:szCs w:val="20"/>
                <w:color w:val="auto"/>
              </w:rPr>
            </w:pPr>
            <w:r>
              <w:rPr>
                <w:rFonts w:ascii="Arial" w:cs="Arial" w:eastAsia="Arial" w:hAnsi="Arial"/>
                <w:sz w:val="18"/>
                <w:szCs w:val="18"/>
                <w:b w:val="1"/>
                <w:bCs w:val="1"/>
                <w:color w:val="auto"/>
              </w:rPr>
              <w:t>4Q17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4.68%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2.40%</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1Q18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banking business results, Pacifico, Prima AFP, and other minor subsidiaries and consolidation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09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1" w:lineRule="exact"/>
        <w:rPr>
          <w:sz w:val="20"/>
          <w:szCs w:val="20"/>
          <w:color w:val="auto"/>
        </w:rPr>
      </w:pPr>
    </w:p>
    <w:p>
      <w:pPr>
        <w:ind w:right="540" w:firstLine="8"/>
        <w:spacing w:after="0" w:line="221" w:lineRule="auto"/>
        <w:tabs>
          <w:tab w:leader="none" w:pos="120" w:val="left"/>
        </w:tabs>
        <w:numPr>
          <w:ilvl w:val="0"/>
          <w:numId w:val="23"/>
        </w:numPr>
        <w:rPr>
          <w:rFonts w:ascii="Arial" w:cs="Arial" w:eastAsia="Arial" w:hAnsi="Arial"/>
          <w:sz w:val="26"/>
          <w:szCs w:val="26"/>
          <w:color w:val="auto"/>
          <w:vertAlign w:val="superscript"/>
        </w:rPr>
      </w:pPr>
      <w:r>
        <w:rPr>
          <w:rFonts w:ascii="Arial" w:cs="Arial" w:eastAsia="Arial" w:hAnsi="Arial"/>
          <w:sz w:val="16"/>
          <w:szCs w:val="16"/>
          <w:color w:val="auto"/>
        </w:rPr>
        <w:t>The funding costs differs from previously reported levels due to a change in the methodology to calculate the denominator, which no longer includes: outstanding account acceptances, reserves for property and casualty claims, reserve for unearned premiums, reinsurance payable and other liabilities.</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ind w:left="500" w:hanging="494"/>
        <w:spacing w:after="0" w:line="282"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and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which has experienced upward pressures since 2014, continued to stabilize in 2017. At the beginning of 2018, both institutions posted lower funding costs.</w:t>
      </w:r>
    </w:p>
    <w:p>
      <w:pPr>
        <w:spacing w:after="0" w:line="161" w:lineRule="exact"/>
        <w:rPr>
          <w:rFonts w:ascii="Arial" w:cs="Arial" w:eastAsia="Arial" w:hAnsi="Arial"/>
          <w:sz w:val="18"/>
          <w:szCs w:val="18"/>
          <w:color w:val="auto"/>
        </w:rPr>
      </w:pPr>
    </w:p>
    <w:p>
      <w:pPr>
        <w:ind w:left="500" w:hanging="494"/>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BCP Bolivia</w:t>
      </w:r>
      <w:r>
        <w:rPr>
          <w:rFonts w:ascii="Arial" w:cs="Arial" w:eastAsia="Arial" w:hAnsi="Arial"/>
          <w:sz w:val="18"/>
          <w:szCs w:val="18"/>
          <w:color w:val="auto"/>
        </w:rPr>
        <w:t xml:space="preserve"> continued to increase QoQ due to higher expenses for deposits and for time deposits in particular.</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904" w:right="239" w:bottom="1440" w:gutter="0" w:footer="0" w:header="0"/>
        </w:sectPr>
      </w:pPr>
    </w:p>
    <w:bookmarkStart w:id="21" w:name="page22"/>
    <w:bookmarkEnd w:id="21"/>
    <w:p>
      <w:pPr>
        <w:ind w:left="500" w:hanging="492"/>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Portfolio quality and Provisions for loan losses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It is particularly noteworthy the decrease QoQ and YoY in the cost of risk (CofR), which situated at 1.48%. This was mainly as a result of the improvement in risk-quality achieved in SMEs, Mibanco and Consumer financing business segments in the last three years. Furthermore, the sale of non-performing loans under judiciary process allowed us to reduce IOLs and NPLs ratios, while increased the coverage ratios.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w w:val="99"/>
              </w:rPr>
              <w:t>Portfolio quality and Provisions for loan losses</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gridSpan w:val="3"/>
          </w:tcPr>
          <w:p>
            <w:pPr>
              <w:ind w:left="940"/>
              <w:spacing w:after="0"/>
              <w:rPr>
                <w:sz w:val="20"/>
                <w:szCs w:val="20"/>
                <w:color w:val="auto"/>
              </w:rPr>
            </w:pPr>
            <w:r>
              <w:rPr>
                <w:rFonts w:ascii="Arial" w:cs="Arial" w:eastAsia="Arial" w:hAnsi="Arial"/>
                <w:sz w:val="18"/>
                <w:szCs w:val="18"/>
                <w:b w:val="1"/>
                <w:bCs w:val="1"/>
                <w:color w:val="auto"/>
                <w:w w:val="99"/>
              </w:rPr>
              <w:t>% change</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1Q17</w:t>
            </w:r>
          </w:p>
        </w:tc>
        <w:tc>
          <w:tcPr>
            <w:tcW w:w="3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4Q17</w:t>
            </w:r>
          </w:p>
        </w:tc>
        <w:tc>
          <w:tcPr>
            <w:tcW w:w="3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1Q18</w:t>
            </w:r>
          </w:p>
        </w:tc>
        <w:tc>
          <w:tcPr>
            <w:tcW w:w="3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Gross Provisions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(600,810)</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(509,774)</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(438,873)</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-13.9%</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Loan loss recoveries</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64,316</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68,524</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67,849</w:t>
            </w:r>
          </w:p>
        </w:tc>
        <w:tc>
          <w:tcPr>
            <w:tcW w:w="1460" w:type="dxa"/>
            <w:vAlign w:val="bottom"/>
            <w:gridSpan w:val="2"/>
          </w:tcPr>
          <w:p>
            <w:pPr>
              <w:jc w:val="right"/>
              <w:ind w:right="5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Provision for loan losses, net of recoveries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(536,494)</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(441,250)</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(371,024)</w:t>
            </w:r>
          </w:p>
        </w:tc>
        <w:tc>
          <w:tcPr>
            <w:tcW w:w="1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-15.9%</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-30.8%</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line="256"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(1)</w:t>
            </w: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gridSpan w:val="2"/>
            <w:vMerge w:val="continue"/>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2.32%</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-28 bps</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-84 bps</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w w:val="99"/>
              </w:rPr>
              <w:t xml:space="preserve">Provisions for loan losses / Net interest income </w:t>
            </w:r>
            <w:r>
              <w:rPr>
                <w:rFonts w:ascii="Arial" w:cs="Arial" w:eastAsia="Arial" w:hAnsi="Arial"/>
                <w:sz w:val="30"/>
                <w:szCs w:val="30"/>
                <w:color w:val="auto"/>
                <w:w w:val="99"/>
                <w:vertAlign w:val="superscript"/>
              </w:rPr>
              <w:t>(2)</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-330 bps</w:t>
            </w:r>
          </w:p>
        </w:tc>
        <w:tc>
          <w:tcPr>
            <w:tcW w:w="1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-860 bps</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loans (Quarter-end balance)</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92,414,588</w:t>
            </w:r>
          </w:p>
        </w:tc>
        <w:tc>
          <w:tcPr>
            <w:tcW w:w="30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100,477,774</w:t>
            </w:r>
          </w:p>
        </w:tc>
        <w:tc>
          <w:tcPr>
            <w:tcW w:w="3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100,570,511</w:t>
            </w:r>
          </w:p>
        </w:tc>
        <w:tc>
          <w:tcPr>
            <w:tcW w:w="30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4,205,005</w:t>
            </w:r>
          </w:p>
        </w:tc>
        <w:tc>
          <w:tcPr>
            <w:tcW w:w="3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4,500,498</w:t>
            </w:r>
          </w:p>
        </w:tc>
        <w:tc>
          <w:tcPr>
            <w:tcW w:w="3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4,805,105</w:t>
            </w:r>
          </w:p>
        </w:tc>
        <w:tc>
          <w:tcPr>
            <w:tcW w:w="3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Write-offs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346,799</w:t>
            </w:r>
          </w:p>
        </w:tc>
        <w:tc>
          <w:tcPr>
            <w:tcW w:w="3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357,916</w:t>
            </w:r>
          </w:p>
        </w:tc>
        <w:tc>
          <w:tcPr>
            <w:tcW w:w="3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353,984</w:t>
            </w:r>
          </w:p>
        </w:tc>
        <w:tc>
          <w:tcPr>
            <w:tcW w:w="3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02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Internal overdue loans (IOLs) </w:t>
            </w:r>
            <w:r>
              <w:rPr>
                <w:rFonts w:ascii="Arial" w:cs="Arial" w:eastAsia="Arial" w:hAnsi="Arial"/>
                <w:sz w:val="27"/>
                <w:szCs w:val="27"/>
                <w:color w:val="auto"/>
                <w:vertAlign w:val="superscript"/>
              </w:rPr>
              <w:t>(3)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2,767,804</w:t>
            </w:r>
          </w:p>
        </w:tc>
        <w:tc>
          <w:tcPr>
            <w:tcW w:w="3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3,019,222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2,995,217</w:t>
            </w:r>
          </w:p>
        </w:tc>
        <w:tc>
          <w:tcPr>
            <w:tcW w:w="3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Refinanced loans</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874,261</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915,297</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910,583</w:t>
            </w:r>
          </w:p>
        </w:tc>
        <w:tc>
          <w:tcPr>
            <w:tcW w:w="1460" w:type="dxa"/>
            <w:vAlign w:val="bottom"/>
            <w:gridSpan w:val="2"/>
          </w:tcPr>
          <w:p>
            <w:pPr>
              <w:jc w:val="right"/>
              <w:ind w:right="50"/>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Non-performing loans (NPLs) </w:t>
            </w:r>
            <w:r>
              <w:rPr>
                <w:rFonts w:ascii="Arial" w:cs="Arial" w:eastAsia="Arial" w:hAnsi="Arial"/>
                <w:sz w:val="30"/>
                <w:szCs w:val="30"/>
                <w:color w:val="auto"/>
                <w:vertAlign w:val="superscript"/>
              </w:rPr>
              <w:t>(4)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3,642,065</w:t>
            </w:r>
          </w:p>
        </w:tc>
        <w:tc>
          <w:tcPr>
            <w:tcW w:w="30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3,934,519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3,905,800</w:t>
            </w:r>
          </w:p>
        </w:tc>
        <w:tc>
          <w:tcPr>
            <w:tcW w:w="30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Delinquency ratio over 90 days</w:t>
            </w: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gridSpan w:val="2"/>
            <w:vMerge w:val="continue"/>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2.26%</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2.19%</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IOL ratio</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2.99%</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3.00%</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2.98%</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NPL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3.92%</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3.88%</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ratio of Internal overdue loans</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151.9%</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149.1%</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160.4%</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Coverage ratio of NPLs</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115.5%</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114.4%</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123.0%</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Annualized provisions for loan losses / Total loans.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overdue loans and loans under legal collection. (Quarter-end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Non-performing loans include past-due loans and refinanced loans. (Quarter-end balances)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Credicorp has adopted IFRS9 requirements (See Annex 11.10 IFRS9 Disclosure, for more detail) since January 1st, 2018</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With regard to the impact that the adoption of IFRS9 has had on the allowance for loan losses, it is important to consider two effects:</w:t>
      </w:r>
    </w:p>
    <w:p>
      <w:pPr>
        <w:spacing w:after="0" w:line="229" w:lineRule="exact"/>
        <w:rPr>
          <w:sz w:val="20"/>
          <w:szCs w:val="20"/>
          <w:color w:val="auto"/>
        </w:rPr>
      </w:pPr>
    </w:p>
    <w:p>
      <w:pPr>
        <w:jc w:val="both"/>
        <w:ind w:left="880" w:hanging="494"/>
        <w:spacing w:after="0" w:line="202" w:lineRule="auto"/>
        <w:tabs>
          <w:tab w:leader="none" w:pos="880" w:val="left"/>
        </w:tabs>
        <w:numPr>
          <w:ilvl w:val="0"/>
          <w:numId w:val="27"/>
        </w:numPr>
        <w:rPr>
          <w:rFonts w:ascii="Arial" w:cs="Arial" w:eastAsia="Arial" w:hAnsi="Arial"/>
          <w:sz w:val="36"/>
          <w:szCs w:val="36"/>
          <w:color w:val="auto"/>
          <w:vertAlign w:val="superscript"/>
        </w:rPr>
      </w:pPr>
      <w:r>
        <w:rPr>
          <w:rFonts w:ascii="Arial" w:cs="Arial" w:eastAsia="Arial" w:hAnsi="Arial"/>
          <w:sz w:val="18"/>
          <w:szCs w:val="18"/>
          <w:color w:val="auto"/>
        </w:rPr>
        <w:t>One-off effect: On January 1</w:t>
      </w:r>
      <w:r>
        <w:rPr>
          <w:rFonts w:ascii="Arial" w:cs="Arial" w:eastAsia="Arial" w:hAnsi="Arial"/>
          <w:sz w:val="30"/>
          <w:szCs w:val="30"/>
          <w:color w:val="auto"/>
          <w:vertAlign w:val="superscript"/>
        </w:rPr>
        <w:t>st</w:t>
      </w:r>
      <w:r>
        <w:rPr>
          <w:rFonts w:ascii="Arial" w:cs="Arial" w:eastAsia="Arial" w:hAnsi="Arial"/>
          <w:sz w:val="18"/>
          <w:szCs w:val="18"/>
          <w:color w:val="auto"/>
        </w:rPr>
        <w:t>, 2018, we registered an increase of S/320.7 million in the allowance for loan losses. This led to a reduction in retained earnings of S/226.1 million. In this context, the allowance for loan losses rose +6.8% QoQ and 14.3% YoY. This had a positive effect on the coverage ratios for internal overdue and non-performing loans.</w:t>
      </w:r>
    </w:p>
    <w:p>
      <w:pPr>
        <w:spacing w:after="0" w:line="204" w:lineRule="exact"/>
        <w:rPr>
          <w:rFonts w:ascii="Arial" w:cs="Arial" w:eastAsia="Arial" w:hAnsi="Arial"/>
          <w:sz w:val="36"/>
          <w:szCs w:val="36"/>
          <w:color w:val="auto"/>
          <w:vertAlign w:val="superscript"/>
        </w:rPr>
      </w:pPr>
    </w:p>
    <w:p>
      <w:pPr>
        <w:jc w:val="both"/>
        <w:ind w:left="880" w:hanging="494"/>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Recurring impact through the P&amp;L: Starting on January 1st 2018, provisions for loan losses are calculated under the expected loss methodology, which is mainly based on the probability of default (Forward Looking). In 1Q18, provisions for loan losses contracted -15.9% QoQ and -30.8% YoY, as we will explain later in this report.</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color w:val="auto"/>
        </w:rPr>
        <w:t>Provisions for loan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QoQ analysis </w:t>
      </w:r>
      <w:r>
        <w:rPr>
          <w:rFonts w:ascii="Arial" w:cs="Arial" w:eastAsia="Arial" w:hAnsi="Arial"/>
          <w:sz w:val="18"/>
          <w:szCs w:val="18"/>
          <w:color w:val="auto"/>
        </w:rPr>
        <w:t>shows a reduction of -15.9% in the</w:t>
      </w:r>
      <w:r>
        <w:rPr>
          <w:rFonts w:ascii="Arial" w:cs="Arial" w:eastAsia="Arial" w:hAnsi="Arial"/>
          <w:sz w:val="18"/>
          <w:szCs w:val="18"/>
          <w:b w:val="1"/>
          <w:bCs w:val="1"/>
          <w:color w:val="auto"/>
        </w:rPr>
        <w:t xml:space="preserve"> provision for loan losses net of recoveries, </w:t>
      </w:r>
      <w:r>
        <w:rPr>
          <w:rFonts w:ascii="Arial" w:cs="Arial" w:eastAsia="Arial" w:hAnsi="Arial"/>
          <w:sz w:val="18"/>
          <w:szCs w:val="18"/>
          <w:color w:val="auto"/>
        </w:rPr>
        <w:t>which was attributable to:</w:t>
      </w:r>
    </w:p>
    <w:p>
      <w:pPr>
        <w:spacing w:after="0" w:line="229" w:lineRule="exact"/>
        <w:rPr>
          <w:sz w:val="20"/>
          <w:szCs w:val="20"/>
          <w:color w:val="auto"/>
        </w:rPr>
      </w:pPr>
    </w:p>
    <w:p>
      <w:pPr>
        <w:jc w:val="both"/>
        <w:ind w:left="880" w:hanging="494"/>
        <w:spacing w:after="0" w:line="26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improvement in the risk quality of Retail Banking segments, after having posted higher-than-expected delinquency levels few years ago (SME-Pyme in 2014 and Consumer, Credit Card and Mortgage between 2015 and 2016). This led to an improvement in the default ratios of these segments.</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ind w:left="880" w:hanging="49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improvement in the risk quality of Mibanco’s loan portfolio from 2015 to date.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All aforementioned, together with the slight and gradual recovery observed in the macroeconomic scenario, was also captured by the IFRS9 methodology.</w:t>
      </w:r>
    </w:p>
    <w:p>
      <w:pPr>
        <w:spacing w:after="0" w:line="2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It is important to note that although Mibanco, SME-Pyme, Consumer, Credit card and Mortgage segments represent, when combined, approximately 40% of Credicorp’s loan portfolio, these segments account for approximately 85% of the provisions for loan losses. Therefore, the improvement in the risk quality of these segments generates a more significant impact under the IFRS9 methodology (which is forward-looking in nature) than under the previous methodology.</w:t>
      </w:r>
    </w:p>
    <w:p>
      <w:pPr>
        <w:spacing w:after="0" w:line="14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In the YoY analysis</w:t>
      </w:r>
      <w:r>
        <w:rPr>
          <w:rFonts w:ascii="Arial" w:cs="Arial" w:eastAsia="Arial" w:hAnsi="Arial"/>
          <w:sz w:val="16"/>
          <w:szCs w:val="16"/>
          <w:color w:val="auto"/>
        </w:rPr>
        <w:t>, the provision for loan losses net of recoveries fell -30.8%, in line with the aforementioned improvement in risk quality. Furthermore, it</w:t>
      </w:r>
      <w:r>
        <w:rPr>
          <w:rFonts w:ascii="Arial" w:cs="Arial" w:eastAsia="Arial" w:hAnsi="Arial"/>
          <w:sz w:val="16"/>
          <w:szCs w:val="16"/>
          <w:b w:val="1"/>
          <w:bCs w:val="1"/>
          <w:color w:val="auto"/>
        </w:rPr>
        <w:t xml:space="preserve"> </w:t>
      </w:r>
      <w:r>
        <w:rPr>
          <w:rFonts w:ascii="Arial" w:cs="Arial" w:eastAsia="Arial" w:hAnsi="Arial"/>
          <w:sz w:val="16"/>
          <w:szCs w:val="16"/>
          <w:color w:val="auto"/>
        </w:rPr>
        <w:t>is important to remember that provisions for loan losses made in 1Q17 included the effect of El Nino Phenomenon and the Lava Jato case.</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Portfolio Quality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152400</wp:posOffset>
            </wp:positionV>
            <wp:extent cx="5377180" cy="16465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77180"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0" w:hanging="249"/>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NPL ratio = (Non-performing loans + Charge-offs) / (Total loans + Charge-offs).</w:t>
      </w:r>
    </w:p>
    <w:p>
      <w:pPr>
        <w:spacing w:after="0" w:line="23" w:lineRule="exact"/>
        <w:rPr>
          <w:rFonts w:ascii="Arial" w:cs="Arial" w:eastAsia="Arial" w:hAnsi="Arial"/>
          <w:sz w:val="18"/>
          <w:szCs w:val="18"/>
          <w:color w:val="auto"/>
        </w:rPr>
      </w:pPr>
    </w:p>
    <w:p>
      <w:pPr>
        <w:ind w:left="640" w:hanging="249"/>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 of risk = Annualized provisions for loan losses net of recoveries / Total loans.</w:t>
      </w:r>
    </w:p>
    <w:p>
      <w:pPr>
        <w:spacing w:after="0" w:line="9" w:lineRule="exact"/>
        <w:rPr>
          <w:rFonts w:ascii="Arial" w:cs="Arial" w:eastAsia="Arial" w:hAnsi="Arial"/>
          <w:sz w:val="18"/>
          <w:szCs w:val="18"/>
          <w:color w:val="auto"/>
        </w:rPr>
      </w:pPr>
    </w:p>
    <w:p>
      <w:pPr>
        <w:ind w:left="400" w:right="20" w:hanging="9"/>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risk of the Underlying portfolio for March 17 and June 17 was calculated eliminating provisions related to the construction sector and the El Nino weather phenomenon.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Prior to analyzing the evolution of delinquency indicators, it is important to note that:</w:t>
      </w:r>
    </w:p>
    <w:p>
      <w:pPr>
        <w:spacing w:after="0" w:line="225" w:lineRule="exact"/>
        <w:rPr>
          <w:sz w:val="20"/>
          <w:szCs w:val="20"/>
          <w:color w:val="auto"/>
        </w:rPr>
      </w:pPr>
    </w:p>
    <w:p>
      <w:pPr>
        <w:jc w:val="both"/>
        <w:ind w:left="880" w:hanging="494"/>
        <w:spacing w:after="0" w:line="264"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Traditional delinquency indicators (IOL and NPL ratios) continue to be distorted by the presence of loans with real estate collateral (commercial and residential properties). This means that a significant portion of the loans that are more than 150 days past-due cannot be written-off although provisions have been set aside given that foreclosure takes 5 years on average.</w:t>
      </w:r>
    </w:p>
    <w:p>
      <w:pPr>
        <w:spacing w:after="0" w:line="181" w:lineRule="exact"/>
        <w:rPr>
          <w:rFonts w:ascii="Arial" w:cs="Arial" w:eastAsia="Arial" w:hAnsi="Arial"/>
          <w:sz w:val="18"/>
          <w:szCs w:val="18"/>
          <w:color w:val="auto"/>
        </w:rPr>
      </w:pPr>
    </w:p>
    <w:p>
      <w:pPr>
        <w:jc w:val="both"/>
        <w:ind w:left="880" w:hanging="494"/>
        <w:spacing w:after="0" w:line="264"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second half (2H) of each year, loans are more dynamic, mainly in SME-Pyme and Mibanco given that the main campaigns in these segments (Christmas Campaigns) are conducted in the second half of the year and these short-term loans are paid in full in 1H of the following year.</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important to note that the reduction posted in these ratios is in line with the sale of approximately S/177 million of non-performing loans under judiciary process that were provisioned and had real-estate collateral.</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auto"/>
        </w:rPr>
        <w:t>Coverage ratios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Coverage ratios for the internal overdue and non-performing loan portfolios </w:t>
      </w:r>
      <w:r>
        <w:rPr>
          <w:rFonts w:ascii="Arial" w:cs="Arial" w:eastAsia="Arial" w:hAnsi="Arial"/>
          <w:sz w:val="18"/>
          <w:szCs w:val="18"/>
          <w:color w:val="auto"/>
        </w:rPr>
        <w:t>rose given:</w:t>
      </w:r>
    </w:p>
    <w:p>
      <w:pPr>
        <w:spacing w:after="0" w:line="229" w:lineRule="exact"/>
        <w:rPr>
          <w:sz w:val="20"/>
          <w:szCs w:val="20"/>
          <w:color w:val="auto"/>
        </w:rPr>
      </w:pPr>
    </w:p>
    <w:p>
      <w:pPr>
        <w:ind w:left="880" w:hanging="49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First, the one-off effect related to the adoption of IFRS9 requirements since January 1st, 2018, which we explained earlier;</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Second, the provision for loan losses net of recoveries made in the first quarter of 2018;</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Third, the sale of S/177 million of non-performing loans, mentioned before.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5"/>
          <w:szCs w:val="15"/>
          <w:b w:val="1"/>
          <w:bCs w:val="1"/>
          <w:color w:val="auto"/>
        </w:rPr>
        <w:t>Delinquency indicators by business line</w:t>
      </w:r>
    </w:p>
    <w:p>
      <w:pPr>
        <w:spacing w:after="0" w:line="225"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Wholesale Banking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154940</wp:posOffset>
            </wp:positionV>
            <wp:extent cx="5342890" cy="19812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2890"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880" w:hanging="494"/>
        <w:spacing w:after="0" w:line="259"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QoQ analysis shows a contraction in the internal overdue loan portfolio of the Wholesale Banking segment given that overdue debt was refinanced. However, the non-performing loan portfolio posted slight growth that reflects a degree of deterioration. In a scenario in which loan balances grew +1.5% QoQ, in line with the increase in refinanced loan volumes, the internal overdue loan ratio fell QoQ while the non-performing loan ratio increased.</w:t>
      </w:r>
    </w:p>
    <w:p>
      <w:pPr>
        <w:spacing w:after="0" w:line="18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BCP Bolivia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154940</wp:posOffset>
            </wp:positionV>
            <wp:extent cx="4973955" cy="1826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73955"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80" w:hanging="494"/>
        <w:spacing w:after="0" w:line="282"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BCP Bolivia </w:t>
      </w:r>
      <w:r>
        <w:rPr>
          <w:rFonts w:ascii="Arial" w:cs="Arial" w:eastAsia="Arial" w:hAnsi="Arial"/>
          <w:sz w:val="18"/>
          <w:szCs w:val="18"/>
          <w:color w:val="auto"/>
        </w:rPr>
        <w:t>reported a QoQ and YoY increase in its IOL and NPL ratios. This was attributable to the increase in the volume of overdue loans,</w:t>
      </w:r>
      <w:r>
        <w:rPr>
          <w:rFonts w:ascii="Arial" w:cs="Arial" w:eastAsia="Arial" w:hAnsi="Arial"/>
          <w:sz w:val="18"/>
          <w:szCs w:val="18"/>
          <w:b w:val="1"/>
          <w:bCs w:val="1"/>
          <w:color w:val="auto"/>
        </w:rPr>
        <w:t xml:space="preserve"> </w:t>
      </w:r>
      <w:r>
        <w:rPr>
          <w:rFonts w:ascii="Arial" w:cs="Arial" w:eastAsia="Arial" w:hAnsi="Arial"/>
          <w:sz w:val="18"/>
          <w:szCs w:val="18"/>
          <w:color w:val="auto"/>
        </w:rPr>
        <w:t>mainly in Mortgage and in fixed assets.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center"/>
        <w:ind w:right="380"/>
        <w:spacing w:after="0"/>
        <w:rPr>
          <w:sz w:val="20"/>
          <w:szCs w:val="20"/>
          <w:color w:val="auto"/>
        </w:rPr>
      </w:pPr>
      <w:r>
        <w:rPr>
          <w:rFonts w:ascii="Arial" w:cs="Arial" w:eastAsia="Arial" w:hAnsi="Arial"/>
          <w:sz w:val="18"/>
          <w:szCs w:val="18"/>
          <w:b w:val="1"/>
          <w:bCs w:val="1"/>
          <w:color w:val="auto"/>
        </w:rPr>
        <w:t>SME-Business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154940</wp:posOffset>
            </wp:positionV>
            <wp:extent cx="5282565" cy="1912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82565"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660" w:hanging="654"/>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important to note that the SME-Business segment is also affected by loan seasonality; as much, the YoY analysis generates a more accurate view of loan evolution than the QoQ analysis. Traditional delinquency ratios, IOL and NPL, posted reductions of -76 bps and -75 bps respectively, in line with recoveries of loans subject to judicial processes. It is important to note that the delinquency ratios of this business continue to be within the organization’s risk appetite.</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SME - Pyme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154940</wp:posOffset>
            </wp:positionV>
            <wp:extent cx="5462905" cy="21355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6290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500" w:hanging="494"/>
        <w:spacing w:after="0" w:line="314"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In the </w:t>
      </w:r>
      <w:r>
        <w:rPr>
          <w:rFonts w:ascii="Arial" w:cs="Arial" w:eastAsia="Arial" w:hAnsi="Arial"/>
          <w:sz w:val="16"/>
          <w:szCs w:val="16"/>
          <w:b w:val="1"/>
          <w:bCs w:val="1"/>
          <w:color w:val="auto"/>
        </w:rPr>
        <w:t>SME-Pyme</w:t>
      </w:r>
      <w:r>
        <w:rPr>
          <w:rFonts w:ascii="Arial" w:cs="Arial" w:eastAsia="Arial" w:hAnsi="Arial"/>
          <w:sz w:val="16"/>
          <w:szCs w:val="16"/>
          <w:color w:val="auto"/>
        </w:rPr>
        <w:t xml:space="preserve"> segment, it is important to analyze the early delinquency indicator, which excludes loans that are overdue less than 60 days (volatile loans with a very high percentage of recovery) and those overdue more than 150 days (loans for which provisions have been set aside but which cannot be written-off due to the existence of real estate collateral– commercial properties that take five years on average to liquidate).</w:t>
      </w:r>
    </w:p>
    <w:p>
      <w:pPr>
        <w:spacing w:after="0" w:line="146" w:lineRule="exact"/>
        <w:rPr>
          <w:sz w:val="20"/>
          <w:szCs w:val="20"/>
          <w:color w:val="auto"/>
        </w:rPr>
      </w:pPr>
    </w:p>
    <w:p>
      <w:pPr>
        <w:jc w:val="both"/>
        <w:ind w:left="440" w:right="20"/>
        <w:spacing w:after="0" w:line="264" w:lineRule="auto"/>
        <w:rPr>
          <w:sz w:val="20"/>
          <w:szCs w:val="20"/>
          <w:color w:val="auto"/>
        </w:rPr>
      </w:pPr>
      <w:r>
        <w:rPr>
          <w:rFonts w:ascii="Arial" w:cs="Arial" w:eastAsia="Arial" w:hAnsi="Arial"/>
          <w:sz w:val="18"/>
          <w:szCs w:val="18"/>
          <w:color w:val="auto"/>
        </w:rPr>
        <w:t>SME-Pyme’s early delinquency has posted a YoY downward trend since 2H14, in line with on-going improvement in the risk quality of vintages, which in turn reflects a series of adjustments to the SME-Pyme business model. The positive results of this effort are more evident in the vintages originated from 2015 and on. In this context, early delinquency remained stable YoY in 1Q18.</w:t>
      </w:r>
    </w:p>
    <w:p>
      <w:pPr>
        <w:spacing w:after="0" w:line="181" w:lineRule="exact"/>
        <w:rPr>
          <w:sz w:val="20"/>
          <w:szCs w:val="20"/>
          <w:color w:val="auto"/>
        </w:rPr>
      </w:pPr>
    </w:p>
    <w:p>
      <w:pPr>
        <w:jc w:val="both"/>
        <w:ind w:left="440"/>
        <w:spacing w:after="0" w:line="277" w:lineRule="auto"/>
        <w:rPr>
          <w:sz w:val="20"/>
          <w:szCs w:val="20"/>
          <w:color w:val="auto"/>
        </w:rPr>
      </w:pPr>
      <w:r>
        <w:rPr>
          <w:rFonts w:ascii="Arial" w:cs="Arial" w:eastAsia="Arial" w:hAnsi="Arial"/>
          <w:sz w:val="18"/>
          <w:szCs w:val="18"/>
          <w:color w:val="auto"/>
        </w:rPr>
        <w:t>It is important to note that although traditional delinquency ratios continue to be distorted, they posted a YoY reduction that was driven by the sale of non-performing loans under judiciary process in 1Q18.</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904" w:right="239" w:bottom="1440" w:gutter="0" w:footer="0" w:header="0"/>
        </w:sectPr>
      </w:pPr>
    </w:p>
    <w:bookmarkStart w:id="25" w:name="page26"/>
    <w:bookmarkEnd w:id="25"/>
    <w:p>
      <w:pPr>
        <w:jc w:val="center"/>
        <w:ind w:right="-139"/>
        <w:spacing w:after="0"/>
        <w:rPr>
          <w:sz w:val="20"/>
          <w:szCs w:val="20"/>
          <w:color w:val="auto"/>
        </w:rPr>
      </w:pPr>
      <w:r>
        <w:rPr>
          <w:rFonts w:ascii="Arial" w:cs="Arial" w:eastAsia="Arial" w:hAnsi="Arial"/>
          <w:sz w:val="18"/>
          <w:szCs w:val="18"/>
          <w:b w:val="1"/>
          <w:bCs w:val="1"/>
          <w:color w:val="auto"/>
        </w:rPr>
        <w:t>Mortgage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154940</wp:posOffset>
            </wp:positionV>
            <wp:extent cx="5111115" cy="2040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11115"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500" w:hanging="494"/>
        <w:spacing w:after="0" w:line="259"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terms of Mortgage loans, it is important to remember that these indicators are also affected by the existence of real estate collateral given that loans cannot be written-off until foreclosure, which takes 5 years on average. Regardless, traditional delinquency indicators decreased QoQ given that (i) the total portfolio grew faster than the internal overdue and non-performing loan portfolios and (ii) the sale of non-performing loans under judiciary process in 1Q18.</w:t>
      </w:r>
    </w:p>
    <w:p>
      <w:pPr>
        <w:spacing w:after="0" w:line="186" w:lineRule="exact"/>
        <w:rPr>
          <w:rFonts w:ascii="Arial" w:cs="Arial" w:eastAsia="Arial" w:hAnsi="Arial"/>
          <w:sz w:val="18"/>
          <w:szCs w:val="18"/>
          <w:color w:val="auto"/>
        </w:rPr>
      </w:pPr>
    </w:p>
    <w:p>
      <w:pPr>
        <w:jc w:val="both"/>
        <w:ind w:left="520"/>
        <w:spacing w:after="0" w:line="259" w:lineRule="auto"/>
        <w:rPr>
          <w:rFonts w:ascii="Arial" w:cs="Arial" w:eastAsia="Arial" w:hAnsi="Arial"/>
          <w:sz w:val="18"/>
          <w:szCs w:val="18"/>
          <w:color w:val="auto"/>
        </w:rPr>
      </w:pPr>
      <w:r>
        <w:rPr>
          <w:rFonts w:ascii="Arial" w:cs="Arial" w:eastAsia="Arial" w:hAnsi="Arial"/>
          <w:sz w:val="18"/>
          <w:szCs w:val="18"/>
          <w:color w:val="auto"/>
        </w:rPr>
        <w:t>The Early Delinquency indicator, which excludes the effect of loans that are more than 150 days overdue, rose +16 bps due to Credicorp’s decision to grow in segments with higher risk to maximize the portfolio’s profitability while maintaining this loan book within the organization’s risk appetite. It is important to note that this ratio is within the average range observed over the past two years. The Early Delinquency indicator remained stable YoY.</w:t>
      </w:r>
    </w:p>
    <w:p>
      <w:pPr>
        <w:spacing w:after="0" w:line="183"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Consumer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146050</wp:posOffset>
            </wp:positionV>
            <wp:extent cx="5711190" cy="2006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1119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500" w:hanging="494"/>
        <w:spacing w:after="0" w:line="289" w:lineRule="auto"/>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Consumer portfolio</w:t>
      </w:r>
      <w:r>
        <w:rPr>
          <w:rFonts w:ascii="Arial" w:cs="Arial" w:eastAsia="Arial" w:hAnsi="Arial"/>
          <w:sz w:val="17"/>
          <w:szCs w:val="17"/>
          <w:color w:val="auto"/>
        </w:rPr>
        <w:t xml:space="preserve"> continued to post improvements in its risk profile in comparison to the profile of vintages from 2015 and before, which generated the delinquency problem. The new composition of this portfolio reflects the changes that have been implemented in the risk management and collections policies and also incorporates the calibrated profile generated by changes in the risk policy for admissions.</w:t>
      </w:r>
    </w:p>
    <w:p>
      <w:pPr>
        <w:spacing w:after="0" w:line="162" w:lineRule="exact"/>
        <w:rPr>
          <w:rFonts w:ascii="Arial" w:cs="Arial" w:eastAsia="Arial" w:hAnsi="Arial"/>
          <w:sz w:val="17"/>
          <w:szCs w:val="17"/>
          <w:color w:val="auto"/>
        </w:rPr>
      </w:pPr>
    </w:p>
    <w:p>
      <w:pPr>
        <w:jc w:val="both"/>
        <w:ind w:left="520"/>
        <w:spacing w:after="0" w:line="312" w:lineRule="auto"/>
        <w:rPr>
          <w:rFonts w:ascii="Arial" w:cs="Arial" w:eastAsia="Arial" w:hAnsi="Arial"/>
          <w:sz w:val="17"/>
          <w:szCs w:val="17"/>
          <w:color w:val="auto"/>
        </w:rPr>
      </w:pPr>
      <w:r>
        <w:rPr>
          <w:rFonts w:ascii="Arial" w:cs="Arial" w:eastAsia="Arial" w:hAnsi="Arial"/>
          <w:sz w:val="16"/>
          <w:szCs w:val="16"/>
          <w:color w:val="auto"/>
        </w:rPr>
        <w:t>Early delinquency fell -17 bps QoQ and -36 bps YoY due to improvements in the risk quality of new vintages. In this context, the indicator reached levels lower than those seen in 2013, before the portfolio began to deteriorate. It is evident that we have room to increase the speed of growth, which will allow us to maximize the portfolio’s profitability while maintaining this loan book within the organization’s risk appetite.</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904" w:right="239" w:bottom="1440" w:gutter="0" w:footer="0" w:header="0"/>
        </w:sectPr>
      </w:pPr>
    </w:p>
    <w:bookmarkStart w:id="26" w:name="page27"/>
    <w:bookmarkEnd w:id="26"/>
    <w:p>
      <w:pPr>
        <w:jc w:val="both"/>
        <w:ind w:left="520"/>
        <w:spacing w:after="0" w:line="286" w:lineRule="auto"/>
        <w:rPr>
          <w:sz w:val="20"/>
          <w:szCs w:val="20"/>
          <w:color w:val="auto"/>
        </w:rPr>
      </w:pPr>
      <w:r>
        <w:rPr>
          <w:rFonts w:ascii="Arial" w:cs="Arial" w:eastAsia="Arial" w:hAnsi="Arial"/>
          <w:sz w:val="17"/>
          <w:szCs w:val="17"/>
          <w:color w:val="auto"/>
        </w:rPr>
        <w:t>Traditional delinquency ratios posted a reduction QoQ and YoY, in line with the reduction in internal overdue and non-performing loans balances. This improvement was accompanied by an acceleration in the pace of total portfolio expansion, which was driven by rising loan origination levels. More loans were placed after product offerings were improved and adjustments were made to loan origination policies.</w:t>
      </w:r>
    </w:p>
    <w:p>
      <w:pPr>
        <w:spacing w:after="0" w:line="162"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Credit Card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154940</wp:posOffset>
            </wp:positionV>
            <wp:extent cx="5445760" cy="17240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45760"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500" w:hanging="494"/>
        <w:spacing w:after="0" w:line="259"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Early delinquency decreased -63 bps QoQ and -39 bps YoY, in line with (i) a decrease in the delinquency levels of some clients in FEN disaster areas and (ii) an improvement in the portfolio mix, where riskier segments represented a lower share of total loans. This trend reflects the improvement in the risk quality of new vintages after corrective measures were applied to address the delinquency problem that became evident at the end of 2015.</w:t>
      </w:r>
    </w:p>
    <w:p>
      <w:pPr>
        <w:spacing w:after="0" w:line="183"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Mibanco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154940</wp:posOffset>
            </wp:positionV>
            <wp:extent cx="4853940" cy="18783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85394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500" w:hanging="494"/>
        <w:spacing w:after="0" w:line="286" w:lineRule="auto"/>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IOL and NPL ratios posted increases both QoQ and YoY given that internal overdue loans grew at a faster rate than the total portfolio, which was attributable to (i) the expiration of the skip programs offered to clients affected by FEN and (ii) the slight deterioration at the portfolio level. Additionally, the YoY increase in the NPL ratio was also due to the increase registered in the volumes of refinanced loans.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908" w:right="239" w:bottom="1440" w:gutter="0" w:footer="0" w:header="0"/>
        </w:sectPr>
      </w:pPr>
    </w:p>
    <w:bookmarkStart w:id="27" w:name="page28"/>
    <w:bookmarkEnd w:id="27"/>
    <w:p>
      <w:pPr>
        <w:ind w:left="500" w:hanging="492"/>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Net Interest Income (NII)</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1Q18, the QoQ drop in NII was due primarily to: i) the expansion of average daily loan balances was led by low-margin segments, ii) loan seasonality, which affects every 1Q, and iii) on-going and aggressive competition, not only in Wholesale Banking but also in some segments of Retail Banking. In this context, NIM contracted -11 bps with regard to 4Q17’s. Despite the aforementioned, the improvement in the cost of risk led risk-adjusted NIM to increase +8 bps with regard to 4Q17’s and +23 bps compared to 1Q17’s.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3"/>
          </w:tcPr>
          <w:p>
            <w:pPr>
              <w:ind w:left="920"/>
              <w:spacing w:after="0"/>
              <w:rPr>
                <w:sz w:val="20"/>
                <w:szCs w:val="20"/>
                <w:color w:val="auto"/>
              </w:rPr>
            </w:pPr>
            <w:r>
              <w:rPr>
                <w:rFonts w:ascii="Arial" w:cs="Arial" w:eastAsia="Arial" w:hAnsi="Arial"/>
                <w:sz w:val="18"/>
                <w:szCs w:val="18"/>
                <w:b w:val="1"/>
                <w:bCs w:val="1"/>
                <w:color w:val="auto"/>
              </w:rPr>
              <w:t>% change</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1Q17</w:t>
            </w:r>
          </w:p>
        </w:tc>
        <w:tc>
          <w:tcPr>
            <w:tcW w:w="3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4Q17</w:t>
            </w:r>
          </w:p>
        </w:tc>
        <w:tc>
          <w:tcPr>
            <w:tcW w:w="3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1Q18</w:t>
            </w:r>
          </w:p>
        </w:tc>
        <w:tc>
          <w:tcPr>
            <w:tcW w:w="2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QoQ</w:t>
            </w:r>
          </w:p>
        </w:tc>
        <w:tc>
          <w:tcPr>
            <w:tcW w:w="3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2,739,779</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2,832,384</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2,794,942</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Interest on loans</w:t>
            </w:r>
          </w:p>
        </w:tc>
        <w:tc>
          <w:tcPr>
            <w:tcW w:w="1160" w:type="dxa"/>
            <w:vAlign w:val="bottom"/>
          </w:tcPr>
          <w:p>
            <w:pPr>
              <w:jc w:val="right"/>
              <w:spacing w:after="0"/>
              <w:rPr>
                <w:sz w:val="20"/>
                <w:szCs w:val="20"/>
                <w:color w:val="auto"/>
              </w:rPr>
            </w:pPr>
            <w:r>
              <w:rPr>
                <w:rFonts w:ascii="Arial" w:cs="Arial" w:eastAsia="Arial" w:hAnsi="Arial"/>
                <w:sz w:val="18"/>
                <w:szCs w:val="18"/>
                <w:color w:val="auto"/>
              </w:rPr>
              <w:t>2,361,659</w:t>
            </w:r>
          </w:p>
        </w:tc>
        <w:tc>
          <w:tcPr>
            <w:tcW w:w="3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2,460,935</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2,415,738</w:t>
            </w:r>
          </w:p>
        </w:tc>
        <w:tc>
          <w:tcPr>
            <w:tcW w:w="1500" w:type="dxa"/>
            <w:vAlign w:val="bottom"/>
            <w:gridSpan w:val="2"/>
          </w:tcPr>
          <w:p>
            <w:pPr>
              <w:jc w:val="right"/>
              <w:ind w:right="15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Dividends on investments</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30,123</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10,030</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8,595</w:t>
            </w:r>
          </w:p>
        </w:tc>
        <w:tc>
          <w:tcPr>
            <w:tcW w:w="15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Interest on deposits with banks</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23,460</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23,311</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28,349</w:t>
            </w:r>
          </w:p>
        </w:tc>
        <w:tc>
          <w:tcPr>
            <w:tcW w:w="1500" w:type="dxa"/>
            <w:vAlign w:val="bottom"/>
            <w:gridSpan w:val="2"/>
          </w:tcPr>
          <w:p>
            <w:pPr>
              <w:jc w:val="right"/>
              <w:ind w:right="150"/>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on securities</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313,432</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324,082</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324,068</w:t>
            </w:r>
          </w:p>
        </w:tc>
        <w:tc>
          <w:tcPr>
            <w:tcW w:w="15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Other interest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11,105</w:t>
            </w:r>
          </w:p>
        </w:tc>
        <w:tc>
          <w:tcPr>
            <w:tcW w:w="3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14,026</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18,192</w:t>
            </w:r>
          </w:p>
        </w:tc>
        <w:tc>
          <w:tcPr>
            <w:tcW w:w="1500" w:type="dxa"/>
            <w:vAlign w:val="bottom"/>
            <w:gridSpan w:val="2"/>
          </w:tcPr>
          <w:p>
            <w:pPr>
              <w:jc w:val="right"/>
              <w:ind w:right="150"/>
              <w:spacing w:after="0"/>
              <w:rPr>
                <w:sz w:val="20"/>
                <w:szCs w:val="20"/>
                <w:color w:val="auto"/>
              </w:rPr>
            </w:pPr>
            <w:r>
              <w:rPr>
                <w:rFonts w:ascii="Arial" w:cs="Arial" w:eastAsia="Arial" w:hAnsi="Arial"/>
                <w:sz w:val="18"/>
                <w:szCs w:val="18"/>
                <w:color w:val="auto"/>
              </w:rPr>
              <w:t>29.7%</w:t>
            </w:r>
          </w:p>
        </w:tc>
        <w:tc>
          <w:tcPr>
            <w:tcW w:w="30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726,692</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766,410</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746,240</w:t>
            </w:r>
          </w:p>
        </w:tc>
        <w:tc>
          <w:tcPr>
            <w:tcW w:w="1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-2.6%</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16"/>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Interest on deposits</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267,534</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293,368</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288,309</w:t>
            </w:r>
          </w:p>
        </w:tc>
        <w:tc>
          <w:tcPr>
            <w:tcW w:w="1500" w:type="dxa"/>
            <w:vAlign w:val="bottom"/>
            <w:gridSpan w:val="2"/>
          </w:tcPr>
          <w:p>
            <w:pPr>
              <w:jc w:val="right"/>
              <w:ind w:right="15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on borrowed funds</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198,506</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179,841</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167,432</w:t>
            </w:r>
          </w:p>
        </w:tc>
        <w:tc>
          <w:tcPr>
            <w:tcW w:w="15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-6.9%</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Interest on bonds and subordinated notes</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208,159</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213,108</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216,083</w:t>
            </w:r>
          </w:p>
        </w:tc>
        <w:tc>
          <w:tcPr>
            <w:tcW w:w="1500" w:type="dxa"/>
            <w:vAlign w:val="bottom"/>
            <w:gridSpan w:val="2"/>
          </w:tcPr>
          <w:p>
            <w:pPr>
              <w:jc w:val="right"/>
              <w:ind w:right="15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3540" w:type="dxa"/>
            <w:vAlign w:val="bottom"/>
            <w:gridSpan w:val="2"/>
            <w:shd w:val="clear" w:color="auto" w:fill="CCEEFF"/>
          </w:tcPr>
          <w:p>
            <w:pPr>
              <w:ind w:left="180"/>
              <w:spacing w:after="0" w:line="269" w:lineRule="exact"/>
              <w:rPr>
                <w:sz w:val="20"/>
                <w:szCs w:val="20"/>
                <w:color w:val="auto"/>
              </w:rPr>
            </w:pPr>
            <w:r>
              <w:rPr>
                <w:rFonts w:ascii="Arial" w:cs="Arial" w:eastAsia="Arial" w:hAnsi="Arial"/>
                <w:sz w:val="18"/>
                <w:szCs w:val="18"/>
                <w:color w:val="auto"/>
              </w:rPr>
              <w:t xml:space="preserve">Other interest expense </w:t>
            </w:r>
            <w:r>
              <w:rPr>
                <w:rFonts w:ascii="Arial" w:cs="Arial" w:eastAsia="Arial" w:hAnsi="Arial"/>
                <w:sz w:val="30"/>
                <w:szCs w:val="30"/>
                <w:color w:val="auto"/>
                <w:vertAlign w:val="superscript"/>
              </w:rPr>
              <w:t>(1)</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52,493</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80,093</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74,416</w:t>
            </w:r>
          </w:p>
        </w:tc>
        <w:tc>
          <w:tcPr>
            <w:tcW w:w="1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-7.1%</w:t>
            </w:r>
          </w:p>
        </w:tc>
        <w:tc>
          <w:tcPr>
            <w:tcW w:w="3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41.8%</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line="269" w:lineRule="exact"/>
              <w:rPr>
                <w:sz w:val="20"/>
                <w:szCs w:val="20"/>
                <w:color w:val="auto"/>
              </w:rPr>
            </w:pPr>
            <w:r>
              <w:rPr>
                <w:rFonts w:ascii="Arial" w:cs="Arial" w:eastAsia="Arial" w:hAnsi="Arial"/>
                <w:sz w:val="18"/>
                <w:szCs w:val="18"/>
                <w:b w:val="1"/>
                <w:bCs w:val="1"/>
                <w:color w:val="auto"/>
              </w:rPr>
              <w:t xml:space="preserve">Net interest income </w:t>
            </w:r>
            <w:r>
              <w:rPr>
                <w:rFonts w:ascii="Arial" w:cs="Arial" w:eastAsia="Arial" w:hAnsi="Arial"/>
                <w:sz w:val="30"/>
                <w:szCs w:val="30"/>
                <w:b w:val="1"/>
                <w:bCs w:val="1"/>
                <w:color w:val="auto"/>
                <w:vertAlign w:val="superscript"/>
              </w:rPr>
              <w:t>(1)</w:t>
            </w: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gridSpan w:val="2"/>
            <w:vMerge w:val="continue"/>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2,013,087</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2,065,974</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2,048,702</w:t>
            </w:r>
          </w:p>
        </w:tc>
        <w:tc>
          <w:tcPr>
            <w:tcW w:w="280" w:type="dxa"/>
            <w:vAlign w:val="bottom"/>
          </w:tcPr>
          <w:p>
            <w:pPr>
              <w:spacing w:after="0"/>
              <w:rPr>
                <w:sz w:val="21"/>
                <w:szCs w:val="21"/>
                <w:color w:val="auto"/>
              </w:rPr>
            </w:pPr>
          </w:p>
        </w:tc>
        <w:tc>
          <w:tcPr>
            <w:tcW w:w="15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-0.8%</w:t>
            </w:r>
          </w:p>
        </w:tc>
        <w:tc>
          <w:tcPr>
            <w:tcW w:w="30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0"/>
        </w:trPr>
        <w:tc>
          <w:tcPr>
            <w:tcW w:w="3540" w:type="dxa"/>
            <w:vAlign w:val="bottom"/>
            <w:gridSpan w:val="2"/>
            <w:vMerge w:val="restart"/>
            <w:shd w:val="clear" w:color="auto" w:fill="CCEEFF"/>
          </w:tcPr>
          <w:p>
            <w:pPr>
              <w:spacing w:after="0" w:line="269" w:lineRule="exact"/>
              <w:rPr>
                <w:sz w:val="20"/>
                <w:szCs w:val="20"/>
                <w:color w:val="auto"/>
              </w:rPr>
            </w:pPr>
            <w:r>
              <w:rPr>
                <w:rFonts w:ascii="Arial" w:cs="Arial" w:eastAsia="Arial" w:hAnsi="Arial"/>
                <w:sz w:val="18"/>
                <w:szCs w:val="18"/>
                <w:b w:val="1"/>
                <w:bCs w:val="1"/>
                <w:color w:val="auto"/>
              </w:rPr>
              <w:t xml:space="preserve">Risk-adjusted Net interest income </w:t>
            </w:r>
            <w:r>
              <w:rPr>
                <w:rFonts w:ascii="Arial" w:cs="Arial" w:eastAsia="Arial" w:hAnsi="Arial"/>
                <w:sz w:val="30"/>
                <w:szCs w:val="30"/>
                <w:b w:val="1"/>
                <w:bCs w:val="1"/>
                <w:color w:val="auto"/>
                <w:vertAlign w:val="superscript"/>
              </w:rPr>
              <w:t>(1)</w:t>
            </w: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gridSpan w:val="2"/>
            <w:vMerge w:val="continue"/>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1,476,593</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1,624,724</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1,677,678</w:t>
            </w:r>
          </w:p>
        </w:tc>
        <w:tc>
          <w:tcPr>
            <w:tcW w:w="2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3.3%</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Average interest earning assets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147,636,361</w:t>
            </w:r>
          </w:p>
        </w:tc>
        <w:tc>
          <w:tcPr>
            <w:tcW w:w="30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156,414,367</w:t>
            </w:r>
          </w:p>
        </w:tc>
        <w:tc>
          <w:tcPr>
            <w:tcW w:w="30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158,600,872</w:t>
            </w:r>
          </w:p>
        </w:tc>
        <w:tc>
          <w:tcPr>
            <w:tcW w:w="2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8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8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7"/>
        </w:trPr>
        <w:tc>
          <w:tcPr>
            <w:tcW w:w="354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 xml:space="preserve">Net interest margin </w:t>
            </w:r>
            <w:r>
              <w:rPr>
                <w:rFonts w:ascii="Arial" w:cs="Arial" w:eastAsia="Arial" w:hAnsi="Arial"/>
                <w:sz w:val="27"/>
                <w:szCs w:val="27"/>
                <w:b w:val="1"/>
                <w:bCs w:val="1"/>
                <w:color w:val="auto"/>
                <w:vertAlign w:val="superscript"/>
              </w:rPr>
              <w:t>(1)(2)</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5.45%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5.17%</w:t>
            </w:r>
          </w:p>
        </w:tc>
        <w:tc>
          <w:tcPr>
            <w:tcW w:w="1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-11bps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-28bps</w:t>
            </w:r>
          </w:p>
        </w:tc>
        <w:tc>
          <w:tcPr>
            <w:tcW w:w="0" w:type="dxa"/>
            <w:vAlign w:val="bottom"/>
          </w:tcPr>
          <w:p>
            <w:pPr>
              <w:spacing w:after="0"/>
              <w:rPr>
                <w:sz w:val="1"/>
                <w:szCs w:val="1"/>
                <w:color w:val="auto"/>
              </w:rPr>
            </w:pPr>
          </w:p>
        </w:tc>
      </w:tr>
      <w:tr>
        <w:trPr>
          <w:trHeight w:val="257"/>
        </w:trPr>
        <w:tc>
          <w:tcPr>
            <w:tcW w:w="3540" w:type="dxa"/>
            <w:vAlign w:val="bottom"/>
            <w:gridSpan w:val="2"/>
          </w:tcPr>
          <w:p>
            <w:pPr>
              <w:spacing w:after="0" w:line="256" w:lineRule="exact"/>
              <w:rPr>
                <w:sz w:val="20"/>
                <w:szCs w:val="20"/>
                <w:color w:val="auto"/>
              </w:rPr>
            </w:pPr>
            <w:r>
              <w:rPr>
                <w:rFonts w:ascii="Arial" w:cs="Arial" w:eastAsia="Arial" w:hAnsi="Arial"/>
                <w:sz w:val="18"/>
                <w:szCs w:val="18"/>
                <w:b w:val="1"/>
                <w:bCs w:val="1"/>
                <w:color w:val="auto"/>
              </w:rPr>
              <w:t xml:space="preserve">NIM on loans </w:t>
            </w:r>
            <w:r>
              <w:rPr>
                <w:rFonts w:ascii="Arial" w:cs="Arial" w:eastAsia="Arial" w:hAnsi="Arial"/>
                <w:sz w:val="29"/>
                <w:szCs w:val="29"/>
                <w:b w:val="1"/>
                <w:bCs w:val="1"/>
                <w:color w:val="auto"/>
                <w:vertAlign w:val="superscript"/>
              </w:rPr>
              <w:t>(1)(2)</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8.12%</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8.10%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7.73%</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-37bps</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-39bps</w:t>
            </w:r>
          </w:p>
        </w:tc>
        <w:tc>
          <w:tcPr>
            <w:tcW w:w="0" w:type="dxa"/>
            <w:vAlign w:val="bottom"/>
          </w:tcPr>
          <w:p>
            <w:pPr>
              <w:spacing w:after="0"/>
              <w:rPr>
                <w:sz w:val="1"/>
                <w:szCs w:val="1"/>
                <w:color w:val="auto"/>
              </w:rPr>
            </w:pPr>
          </w:p>
        </w:tc>
      </w:tr>
      <w:tr>
        <w:trPr>
          <w:trHeight w:val="257"/>
        </w:trPr>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Risk-adjusted Net interest margin </w:t>
            </w:r>
            <w:r>
              <w:rPr>
                <w:rFonts w:ascii="Arial" w:cs="Arial" w:eastAsia="Arial" w:hAnsi="Arial"/>
                <w:sz w:val="29"/>
                <w:szCs w:val="29"/>
                <w:b w:val="1"/>
                <w:bCs w:val="1"/>
                <w:color w:val="auto"/>
                <w:vertAlign w:val="superscript"/>
              </w:rPr>
              <w:t>(1)(2)</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4.23%</w:t>
            </w:r>
          </w:p>
        </w:tc>
        <w:tc>
          <w:tcPr>
            <w:tcW w:w="1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8bps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23bps</w:t>
            </w:r>
          </w:p>
        </w:tc>
        <w:tc>
          <w:tcPr>
            <w:tcW w:w="0" w:type="dxa"/>
            <w:vAlign w:val="bottom"/>
          </w:tcPr>
          <w:p>
            <w:pPr>
              <w:spacing w:after="0"/>
              <w:rPr>
                <w:sz w:val="1"/>
                <w:szCs w:val="1"/>
                <w:color w:val="auto"/>
              </w:rPr>
            </w:pPr>
          </w:p>
        </w:tc>
      </w:tr>
      <w:tr>
        <w:trPr>
          <w:trHeight w:val="198"/>
        </w:trPr>
        <w:tc>
          <w:tcPr>
            <w:tcW w:w="35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4"/>
              </w:rPr>
              <w:t>Net provisions for loan losses / Net interest</w:t>
            </w: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income</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26.65%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21.36%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18.11%</w:t>
            </w:r>
          </w:p>
        </w:tc>
        <w:tc>
          <w:tcPr>
            <w:tcW w:w="1800" w:type="dxa"/>
            <w:vAlign w:val="bottom"/>
            <w:gridSpan w:val="3"/>
          </w:tcPr>
          <w:p>
            <w:pPr>
              <w:ind w:left="780"/>
              <w:spacing w:after="0"/>
              <w:rPr>
                <w:sz w:val="20"/>
                <w:szCs w:val="20"/>
                <w:color w:val="auto"/>
              </w:rPr>
            </w:pPr>
            <w:r>
              <w:rPr>
                <w:rFonts w:ascii="Arial" w:cs="Arial" w:eastAsia="Arial" w:hAnsi="Arial"/>
                <w:sz w:val="18"/>
                <w:szCs w:val="18"/>
                <w:b w:val="1"/>
                <w:bCs w:val="1"/>
                <w:color w:val="auto"/>
              </w:rPr>
              <w:t>-325bps</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-854bps</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Interest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the QoQ analysis, the slight 1.3% drop in interest income was due primarily to lower growth in interest income from loans, which was due to:</w:t>
      </w:r>
    </w:p>
    <w:p>
      <w:pPr>
        <w:spacing w:after="0" w:line="225" w:lineRule="exact"/>
        <w:rPr>
          <w:sz w:val="20"/>
          <w:szCs w:val="20"/>
          <w:color w:val="auto"/>
        </w:rPr>
      </w:pPr>
    </w:p>
    <w:p>
      <w:pPr>
        <w:jc w:val="both"/>
        <w:ind w:left="880" w:hanging="494"/>
        <w:spacing w:after="0" w:line="264" w:lineRule="auto"/>
        <w:tabs>
          <w:tab w:leader="none" w:pos="8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Growth in average daily loan balances was driven by low-margin segments, as indicated in section 1.2 Credicorp Loans. Although average daily loan balances expanded 2.8% QoQ, 68% of total growth in volumes came from Wholesale Banking whose margins are lower than other segments.</w:t>
      </w:r>
    </w:p>
    <w:p>
      <w:pPr>
        <w:spacing w:after="0" w:line="181" w:lineRule="exact"/>
        <w:rPr>
          <w:rFonts w:ascii="Arial" w:cs="Arial" w:eastAsia="Arial" w:hAnsi="Arial"/>
          <w:sz w:val="18"/>
          <w:szCs w:val="18"/>
          <w:color w:val="auto"/>
        </w:rPr>
      </w:pPr>
    </w:p>
    <w:p>
      <w:pPr>
        <w:ind w:right="200" w:firstLine="386"/>
        <w:spacing w:after="0" w:line="501" w:lineRule="auto"/>
        <w:tabs>
          <w:tab w:leader="none" w:pos="878" w:val="left"/>
        </w:tabs>
        <w:numPr>
          <w:ilvl w:val="1"/>
          <w:numId w:val="43"/>
        </w:numPr>
        <w:rPr>
          <w:rFonts w:ascii="Arial" w:cs="Arial" w:eastAsia="Arial" w:hAnsi="Arial"/>
          <w:sz w:val="18"/>
          <w:szCs w:val="18"/>
          <w:color w:val="auto"/>
        </w:rPr>
      </w:pPr>
      <w:r>
        <w:rPr>
          <w:rFonts w:ascii="Arial" w:cs="Arial" w:eastAsia="Arial" w:hAnsi="Arial"/>
          <w:sz w:val="18"/>
          <w:szCs w:val="18"/>
          <w:color w:val="auto"/>
        </w:rPr>
        <w:t>Furthermore, expansion in average daily balances was reported mainly in FC loans, which entail lower interest rates than their LC counterparts. In the YoY analysis, interest income expanded +2.0%. This was primarily attributable to:</w:t>
      </w:r>
    </w:p>
    <w:p>
      <w:pPr>
        <w:ind w:left="980" w:hanging="648"/>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in interest on loans due to the expansion of 7% in average daily balances.</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a lesser extent, to growth in interest income on investments due to a more active management of the proprietary investment portfolio in a context of low loan growth throughout 2017, looking for maximizing the profitability of IEAs.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Interest Expenses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elements discuss in section 4.1 were offset by a drop in interest expenses (2.6% QoQ). This decline was attributable to a change in the funding structure as indicated in section 2. Funding Sources. Credicorp’s funding structure continued to reflect higher growth in deposits as a funding source, which had a positive impact on funding cost given that the expansion in deposits was mainly attributable to non-interest bearing demand deposits. This had a positive impact on interest expenses, in particular:</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ind w:left="880" w:hanging="494"/>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Lower interest expenses on borrowed funds, due primarily to a significant reduction in the volume of BCRP instruments and, to a lesser extent, to the impact of a drop in interest expenses on deposits given that the volume of time deposits fell QoQ.</w:t>
      </w:r>
    </w:p>
    <w:p>
      <w:pPr>
        <w:spacing w:after="0" w:line="170" w:lineRule="exact"/>
        <w:rPr>
          <w:rFonts w:ascii="Arial" w:cs="Arial" w:eastAsia="Arial" w:hAnsi="Arial"/>
          <w:sz w:val="18"/>
          <w:szCs w:val="18"/>
          <w:color w:val="auto"/>
        </w:rPr>
      </w:pPr>
    </w:p>
    <w:p>
      <w:pPr>
        <w:ind w:right="280" w:firstLine="386"/>
        <w:spacing w:after="0" w:line="501" w:lineRule="auto"/>
        <w:tabs>
          <w:tab w:leader="none" w:pos="8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drop in BCRP instruments, which are placed solely in LC and imply higher costs than those associated with the funds captured this 1Q18. All of the aforementioned helped offset the increase in interest expenses on bonds and subordinated notes.</w:t>
      </w:r>
    </w:p>
    <w:p>
      <w:pPr>
        <w:jc w:val="both"/>
        <w:spacing w:after="0" w:line="264" w:lineRule="auto"/>
        <w:rPr>
          <w:sz w:val="20"/>
          <w:szCs w:val="20"/>
          <w:color w:val="auto"/>
        </w:rPr>
      </w:pPr>
      <w:r>
        <w:rPr>
          <w:rFonts w:ascii="Arial" w:cs="Arial" w:eastAsia="Arial" w:hAnsi="Arial"/>
          <w:sz w:val="18"/>
          <w:szCs w:val="18"/>
          <w:color w:val="auto"/>
        </w:rPr>
        <w:t>In the YoY analysis, interest expenses grew +2.7%. This was mainly due to growth in expenses for interest on deposits, which posted higher growth due to the volume effect given that the deposits that were responsible for the bulk of the increase implied lower costs. It is important to note the reduction in interest on loans, which was associated with the drop in BCRP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Net Interest Margin (NIM) and Risk-Adjusted NIM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Credicorp’s NIM and Risk-Adjusted NIM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90170</wp:posOffset>
            </wp:positionV>
            <wp:extent cx="5299710" cy="26155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99710" cy="261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760" w:firstLine="8"/>
        <w:spacing w:after="0" w:line="277"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Starting on 1Q17, we exclude derivatives from the NII result. For comparative purposes, figures starting from 1Q16 have been recalculated with the new methodology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NIM deteriorated QoQ and YoY due to:</w:t>
      </w:r>
    </w:p>
    <w:p>
      <w:pPr>
        <w:spacing w:after="0" w:line="225" w:lineRule="exact"/>
        <w:rPr>
          <w:sz w:val="20"/>
          <w:szCs w:val="20"/>
          <w:color w:val="auto"/>
        </w:rPr>
      </w:pPr>
    </w:p>
    <w:p>
      <w:pPr>
        <w:ind w:left="880" w:hanging="49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Higher growth in low margin segments, as indicated in the previous section. This led to higher growth in average IEA than in NII.</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important to remember that seasonal factors every 1Q pressure growth downward.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Risk-adjusted NIM </w:t>
      </w:r>
      <w:r>
        <w:rPr>
          <w:rFonts w:ascii="Arial" w:cs="Arial" w:eastAsia="Arial" w:hAnsi="Arial"/>
          <w:sz w:val="18"/>
          <w:szCs w:val="18"/>
          <w:color w:val="auto"/>
        </w:rPr>
        <w:t>posted a recover both QoQ and YoY due to on-going decreases in expenses for provisions for loan losses.</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345"/>
        </w:trPr>
        <w:tc>
          <w:tcPr>
            <w:tcW w:w="6880" w:type="dxa"/>
            <w:vAlign w:val="bottom"/>
          </w:tcPr>
          <w:p>
            <w:pPr>
              <w:spacing w:after="0"/>
              <w:rPr>
                <w:sz w:val="20"/>
                <w:szCs w:val="20"/>
                <w:color w:val="auto"/>
              </w:rPr>
            </w:pPr>
            <w:r>
              <w:rPr>
                <w:rFonts w:ascii="Arial" w:cs="Arial" w:eastAsia="Arial" w:hAnsi="Arial"/>
                <w:sz w:val="18"/>
                <w:szCs w:val="18"/>
                <w:color w:val="auto"/>
              </w:rPr>
              <w:t>Loan NIM fell both QoQ and YoY, in line with growth in lower-margin</w:t>
            </w:r>
          </w:p>
        </w:tc>
        <w:tc>
          <w:tcPr>
            <w:tcW w:w="2320" w:type="dxa"/>
            <w:vAlign w:val="bottom"/>
          </w:tcPr>
          <w:p>
            <w:pPr>
              <w:ind w:left="1160"/>
              <w:spacing w:after="0"/>
              <w:rPr>
                <w:sz w:val="20"/>
                <w:szCs w:val="20"/>
                <w:color w:val="auto"/>
              </w:rPr>
            </w:pPr>
            <w:r>
              <w:rPr>
                <w:rFonts w:ascii="Arial" w:cs="Arial" w:eastAsia="Arial" w:hAnsi="Arial"/>
                <w:sz w:val="18"/>
                <w:szCs w:val="18"/>
                <w:b w:val="1"/>
                <w:bCs w:val="1"/>
                <w:color w:val="auto"/>
                <w:w w:val="88"/>
              </w:rPr>
              <w:t xml:space="preserve">NIM on loans </w:t>
            </w:r>
            <w:r>
              <w:rPr>
                <w:rFonts w:ascii="Arial" w:cs="Arial" w:eastAsia="Arial" w:hAnsi="Arial"/>
                <w:sz w:val="30"/>
                <w:szCs w:val="30"/>
                <w:b w:val="1"/>
                <w:bCs w:val="1"/>
                <w:color w:val="auto"/>
                <w:w w:val="88"/>
                <w:vertAlign w:val="superscript"/>
              </w:rPr>
              <w:t>5</w:t>
            </w:r>
          </w:p>
        </w:tc>
      </w:tr>
      <w:tr>
        <w:trPr>
          <w:trHeight w:val="215"/>
        </w:trPr>
        <w:tc>
          <w:tcPr>
            <w:tcW w:w="6880" w:type="dxa"/>
            <w:vAlign w:val="bottom"/>
          </w:tcPr>
          <w:p>
            <w:pPr>
              <w:spacing w:after="0"/>
              <w:rPr>
                <w:sz w:val="20"/>
                <w:szCs w:val="20"/>
                <w:color w:val="auto"/>
              </w:rPr>
            </w:pPr>
            <w:r>
              <w:rPr>
                <w:rFonts w:ascii="Arial" w:cs="Arial" w:eastAsia="Arial" w:hAnsi="Arial"/>
                <w:sz w:val="18"/>
                <w:szCs w:val="18"/>
                <w:color w:val="auto"/>
              </w:rPr>
              <w:t>segments such as Wholesale Banking and due to high competition in the</w:t>
            </w:r>
          </w:p>
        </w:tc>
        <w:tc>
          <w:tcPr>
            <w:tcW w:w="2320" w:type="dxa"/>
            <w:vAlign w:val="bottom"/>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market. In YoY terms, this indicator followed a trend similar to that seen</w:t>
            </w:r>
          </w:p>
        </w:tc>
        <w:tc>
          <w:tcPr>
            <w:tcW w:w="2320" w:type="dxa"/>
            <w:vAlign w:val="bottom"/>
          </w:tcPr>
          <w:p>
            <w:pPr>
              <w:spacing w:after="0"/>
              <w:rPr>
                <w:sz w:val="18"/>
                <w:szCs w:val="18"/>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QoQ.</w:t>
            </w:r>
          </w:p>
        </w:tc>
        <w:tc>
          <w:tcPr>
            <w:tcW w:w="2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-248285</wp:posOffset>
            </wp:positionV>
            <wp:extent cx="1766570" cy="1029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6657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It is also important to analyze NIM by subsidiary. The table below contains the interest margins that were posted by each of Credicorp’s main subsidiaries.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3280" w:type="dxa"/>
            <w:vAlign w:val="bottom"/>
          </w:tcPr>
          <w:p>
            <w:pPr>
              <w:spacing w:after="0"/>
              <w:rPr>
                <w:sz w:val="20"/>
                <w:szCs w:val="20"/>
                <w:color w:val="auto"/>
              </w:rPr>
            </w:pPr>
            <w:r>
              <w:rPr>
                <w:rFonts w:ascii="Arial" w:cs="Arial" w:eastAsia="Arial" w:hAnsi="Arial"/>
                <w:sz w:val="18"/>
                <w:szCs w:val="18"/>
                <w:b w:val="1"/>
                <w:bCs w:val="1"/>
                <w:color w:val="auto"/>
              </w:rPr>
              <w:t>NIM Breakdown</w:t>
            </w:r>
          </w:p>
        </w:tc>
        <w:tc>
          <w:tcPr>
            <w:tcW w:w="100" w:type="dxa"/>
            <w:vAlign w:val="bottom"/>
          </w:tcPr>
          <w:p>
            <w:pPr>
              <w:spacing w:after="0"/>
              <w:rPr>
                <w:sz w:val="24"/>
                <w:szCs w:val="24"/>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BCP Stand-alone</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Mibanco</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BCP Bolivia</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ASB</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 xml:space="preserve">Credicorp </w:t>
            </w:r>
            <w:r>
              <w:rPr>
                <w:rFonts w:ascii="Arial" w:cs="Arial" w:eastAsia="Arial" w:hAnsi="Arial"/>
                <w:sz w:val="30"/>
                <w:szCs w:val="30"/>
                <w:b w:val="1"/>
                <w:bCs w:val="1"/>
                <w:color w:val="auto"/>
                <w:w w:val="90"/>
                <w:vertAlign w:val="superscript"/>
              </w:rPr>
              <w:t>(2)</w:t>
            </w:r>
          </w:p>
        </w:tc>
        <w:tc>
          <w:tcPr>
            <w:tcW w:w="0" w:type="dxa"/>
            <w:vAlign w:val="bottom"/>
          </w:tcPr>
          <w:p>
            <w:pPr>
              <w:spacing w:after="0"/>
              <w:rPr>
                <w:sz w:val="1"/>
                <w:szCs w:val="1"/>
                <w:color w:val="auto"/>
              </w:rPr>
            </w:pPr>
          </w:p>
        </w:tc>
      </w:tr>
      <w:tr>
        <w:trPr>
          <w:trHeight w:val="20"/>
        </w:trPr>
        <w:tc>
          <w:tcPr>
            <w:tcW w:w="32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 xml:space="preserve">1Q17 </w:t>
            </w:r>
            <w:r>
              <w:rPr>
                <w:rFonts w:ascii="Arial" w:cs="Arial" w:eastAsia="Arial" w:hAnsi="Arial"/>
                <w:sz w:val="28"/>
                <w:szCs w:val="28"/>
                <w:b w:val="1"/>
                <w:bCs w:val="1"/>
                <w:color w:val="auto"/>
                <w:vertAlign w:val="superscript"/>
              </w:rPr>
              <w:t>(1)</w:t>
            </w:r>
          </w:p>
        </w:tc>
        <w:tc>
          <w:tcPr>
            <w:tcW w:w="100" w:type="dxa"/>
            <w:vAlign w:val="bottom"/>
            <w:vMerge w:val="continue"/>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5.45%</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4Q17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16.27%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5.28%</w:t>
            </w: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1Q18</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5.17%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NIM: Annualized Net interest income / Average period end and period beginning interest earning assets.</w:t>
      </w:r>
    </w:p>
    <w:p>
      <w:pPr>
        <w:spacing w:after="0" w:line="23" w:lineRule="exact"/>
        <w:rPr>
          <w:sz w:val="20"/>
          <w:szCs w:val="20"/>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Figures of ASB and Credicorp differs from previously reported, please consider the date presented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Credicorp also includes Credicorp Capital, Prima, Grupo Credito and Eliminations for consolidation purposes."</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The QoQ evolution of global NIM by subsidiary shows a reduction in Credicorp’s margin; this was primarily associated with the evolution of </w:t>
      </w:r>
      <w:r>
        <w:rPr>
          <w:rFonts w:ascii="Arial" w:cs="Arial" w:eastAsia="Arial" w:hAnsi="Arial"/>
          <w:sz w:val="17"/>
          <w:szCs w:val="17"/>
          <w:b w:val="1"/>
          <w:bCs w:val="1"/>
          <w:color w:val="auto"/>
        </w:rPr>
        <w:t>BCP Stand-alone</w:t>
      </w:r>
      <w:r>
        <w:rPr>
          <w:rFonts w:ascii="Arial" w:cs="Arial" w:eastAsia="Arial" w:hAnsi="Arial"/>
          <w:sz w:val="17"/>
          <w:szCs w:val="17"/>
          <w:color w:val="auto"/>
        </w:rPr>
        <w:t>, which accounts for around 65% of Credicorp’s net interest income. The significant recovery registered by loans (measured by average daily balances),</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took place mainly in the Wholesale Banking segment, was not reflected in the NIM level given that these loans imply lower margins.</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Mibanco</w:t>
      </w:r>
      <w:r>
        <w:rPr>
          <w:rFonts w:ascii="Arial" w:cs="Arial" w:eastAsia="Arial" w:hAnsi="Arial"/>
          <w:sz w:val="18"/>
          <w:szCs w:val="18"/>
          <w:color w:val="auto"/>
        </w:rPr>
        <w:t>, which represents around 24% of net interest income, registered a slight decline in its NIM QoQ despite the fact that loan growth posted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 The aforementioned stems from the following: higher growth in average IEAs than in NII in 1Q18. Nevertheless, it is important to note that in 4Q17, Mibanco achieved a NIM level above 16% and this trend continued in 1Q18.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8097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1" w:lineRule="exact"/>
        <w:rPr>
          <w:sz w:val="20"/>
          <w:szCs w:val="20"/>
          <w:color w:val="auto"/>
        </w:rPr>
      </w:pPr>
    </w:p>
    <w:p>
      <w:pPr>
        <w:ind w:left="120" w:hanging="112"/>
        <w:spacing w:after="0"/>
        <w:tabs>
          <w:tab w:leader="none" w:pos="120" w:val="left"/>
        </w:tabs>
        <w:numPr>
          <w:ilvl w:val="0"/>
          <w:numId w:val="49"/>
        </w:numPr>
        <w:rPr>
          <w:rFonts w:ascii="Arial" w:cs="Arial" w:eastAsia="Arial" w:hAnsi="Arial"/>
          <w:sz w:val="30"/>
          <w:szCs w:val="30"/>
          <w:color w:val="auto"/>
          <w:vertAlign w:val="superscript"/>
        </w:rPr>
      </w:pPr>
      <w:r>
        <w:rPr>
          <w:rFonts w:ascii="Arial" w:cs="Arial" w:eastAsia="Arial" w:hAnsi="Arial"/>
          <w:sz w:val="18"/>
          <w:szCs w:val="18"/>
          <w:color w:val="auto"/>
        </w:rPr>
        <w:t>NIM on loans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137160</wp:posOffset>
            </wp:positionV>
            <wp:extent cx="4356735" cy="205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5673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 assets for the reporting period.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0" w:right="239" w:bottom="1440" w:gutter="0" w:footer="0" w:header="0"/>
        </w:sectPr>
      </w:pPr>
    </w:p>
    <w:bookmarkStart w:id="30" w:name="page31"/>
    <w:bookmarkEnd w:id="30"/>
    <w:p>
      <w:pPr>
        <w:ind w:left="500" w:hanging="49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Non-Financial Income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Although non-financial income contracted QoQ due to seasonality and the impact of non-recurring income in 4Q17, growth is evident YoY due to an improvement in fee income. It is important to note that in 4Q17, fee income and gains on foreign exchange transactions reported the highest quarterly levels of the year, posting a recovery after quarters of relatively negative results. It is important to note that gains on sales of securities incorporate the effect of the sale of ENEL shares.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Non-financial income</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3"/>
          </w:tcPr>
          <w:p>
            <w:pPr>
              <w:ind w:left="880"/>
              <w:spacing w:after="0"/>
              <w:rPr>
                <w:sz w:val="20"/>
                <w:szCs w:val="20"/>
                <w:color w:val="auto"/>
              </w:rPr>
            </w:pPr>
            <w:r>
              <w:rPr>
                <w:rFonts w:ascii="Arial" w:cs="Arial" w:eastAsia="Arial" w:hAnsi="Arial"/>
                <w:sz w:val="18"/>
                <w:szCs w:val="18"/>
                <w:b w:val="1"/>
                <w:bCs w:val="1"/>
                <w:color w:val="auto"/>
                <w:w w:val="97"/>
              </w:rPr>
              <w:t>% change</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1Q17</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4Q17</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1Q18</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50"/>
        </w:trPr>
        <w:tc>
          <w:tcPr>
            <w:tcW w:w="354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Fee income </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681,047</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783,976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744,677</w:t>
            </w: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Net gain on foreign exchange transactions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166,486</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172,709</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162,295</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57"/>
        </w:trPr>
        <w:tc>
          <w:tcPr>
            <w:tcW w:w="36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gain from associates </w:t>
            </w:r>
            <w:r>
              <w:rPr>
                <w:rFonts w:ascii="Arial" w:cs="Arial" w:eastAsia="Arial" w:hAnsi="Arial"/>
                <w:sz w:val="29"/>
                <w:szCs w:val="29"/>
                <w:color w:val="auto"/>
                <w:vertAlign w:val="superscript"/>
              </w:rPr>
              <w:t>(2)</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6,023</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4,747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8,387</w:t>
            </w: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76.7%</w:t>
            </w:r>
          </w:p>
        </w:tc>
        <w:tc>
          <w:tcPr>
            <w:tcW w:w="3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Net gain on sales of securities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57,821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237,705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92,389</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-61.1%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59.8%</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on derivatives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54,341</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8,213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w:t>
            </w: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-103.8%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Result on exchange difference</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9,070</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1,991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5,889</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195.8%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-35.1%</w:t>
            </w:r>
          </w:p>
        </w:tc>
      </w:tr>
      <w:tr>
        <w:trPr>
          <w:trHeight w:val="23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non-financial income</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68,745</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69,249</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82,876</w:t>
            </w: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19.7%</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1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Total non financial income</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1,043,533</w:t>
            </w:r>
          </w:p>
        </w:tc>
        <w:tc>
          <w:tcPr>
            <w:tcW w:w="2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1,278,590</w:t>
            </w:r>
          </w:p>
        </w:tc>
        <w:tc>
          <w:tcPr>
            <w:tcW w:w="1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1,096,201</w:t>
            </w:r>
          </w:p>
        </w:tc>
        <w:tc>
          <w:tcPr>
            <w:tcW w:w="2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-14.3</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Mainly includes the agreement between Grupo Pacifico and Banmedica.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3"/>
          </w:tcPr>
          <w:p>
            <w:pPr>
              <w:ind w:left="880"/>
              <w:spacing w:after="0"/>
              <w:rPr>
                <w:sz w:val="20"/>
                <w:szCs w:val="20"/>
                <w:color w:val="auto"/>
              </w:rPr>
            </w:pPr>
            <w:r>
              <w:rPr>
                <w:rFonts w:ascii="Arial" w:cs="Arial" w:eastAsia="Arial" w:hAnsi="Arial"/>
                <w:sz w:val="18"/>
                <w:szCs w:val="18"/>
                <w:b w:val="1"/>
                <w:bCs w:val="1"/>
                <w:color w:val="auto"/>
                <w:w w:val="97"/>
              </w:rPr>
              <w:t>% change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54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Millions (S/)</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1Q17</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4Q17</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1Q18</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 EPS contribution (50%)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40.9%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 Private health insurance deduction (50%)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-5.76</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-4.65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-4.85</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-15.7%</w:t>
            </w:r>
          </w:p>
        </w:tc>
      </w:tr>
      <w:tr>
        <w:trPr>
          <w:trHeight w:val="178"/>
        </w:trPr>
        <w:tc>
          <w:tcPr>
            <w:tcW w:w="362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5"/>
              </w:rPr>
              <w:t>(=) Net gain from associates excluding Non-</w:t>
            </w:r>
          </w:p>
        </w:tc>
        <w:tc>
          <w:tcPr>
            <w:tcW w:w="1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48"/>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recurring income / expense</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6.02</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4.75</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8.39</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-76.7%</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39.3%</w:t>
            </w:r>
          </w:p>
        </w:tc>
      </w:tr>
      <w:tr>
        <w:trPr>
          <w:trHeight w:val="210"/>
        </w:trPr>
        <w:tc>
          <w:tcPr>
            <w:tcW w:w="3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Non-recurring income/expense</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Net gain from associates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6.02</w:t>
            </w:r>
          </w:p>
        </w:tc>
        <w:tc>
          <w:tcPr>
            <w:tcW w:w="2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4.75</w:t>
            </w:r>
          </w:p>
        </w:tc>
        <w:tc>
          <w:tcPr>
            <w:tcW w:w="1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8.39</w:t>
            </w:r>
          </w:p>
        </w:tc>
        <w:tc>
          <w:tcPr>
            <w:tcW w:w="2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76.7</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YoY evolution shows a contraction in non-financial income due to:</w:t>
      </w:r>
    </w:p>
    <w:p>
      <w:pPr>
        <w:spacing w:after="0" w:line="221" w:lineRule="exact"/>
        <w:rPr>
          <w:sz w:val="20"/>
          <w:szCs w:val="20"/>
          <w:color w:val="auto"/>
        </w:rPr>
      </w:pPr>
    </w:p>
    <w:p>
      <w:pPr>
        <w:jc w:val="both"/>
        <w:ind w:left="880" w:hanging="494"/>
        <w:spacing w:after="0" w:line="298" w:lineRule="auto"/>
        <w:tabs>
          <w:tab w:leader="none" w:pos="8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The reduction in </w:t>
      </w:r>
      <w:r>
        <w:rPr>
          <w:rFonts w:ascii="Arial" w:cs="Arial" w:eastAsia="Arial" w:hAnsi="Arial"/>
          <w:sz w:val="16"/>
          <w:szCs w:val="16"/>
          <w:b w:val="1"/>
          <w:bCs w:val="1"/>
          <w:color w:val="auto"/>
        </w:rPr>
        <w:t>Net Gain on Sales of Securities,</w:t>
      </w:r>
      <w:r>
        <w:rPr>
          <w:rFonts w:ascii="Arial" w:cs="Arial" w:eastAsia="Arial" w:hAnsi="Arial"/>
          <w:sz w:val="16"/>
          <w:szCs w:val="16"/>
          <w:color w:val="auto"/>
        </w:rPr>
        <w:t xml:space="preserve"> given that in 4Q17 the result included the effect of the sale of shares of ENEL on the proprietary investment portfolio (totaling approximately S/163 million). This was attenuated by gains on the proprietary investment portfolio due to both an increase in the mark-to-market (MtM) of trading securities and to the gains produced by the sale of certain positions in the investments available for sale portfolio. The gains produced by the proprietary investment portfolio are attributable to the asset and liability management strategy rolled out throughout 2017 in a scenario of low loan growth, which sought to maximize the profitability of interest earning assets.</w:t>
      </w:r>
    </w:p>
    <w:p>
      <w:pPr>
        <w:spacing w:after="0" w:line="154" w:lineRule="exact"/>
        <w:rPr>
          <w:rFonts w:ascii="Arial" w:cs="Arial" w:eastAsia="Arial" w:hAnsi="Arial"/>
          <w:sz w:val="16"/>
          <w:szCs w:val="16"/>
          <w:color w:val="auto"/>
        </w:rPr>
      </w:pPr>
    </w:p>
    <w:p>
      <w:pPr>
        <w:jc w:val="both"/>
        <w:ind w:left="880" w:hanging="494"/>
        <w:spacing w:after="0" w:line="26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lower level of </w:t>
      </w:r>
      <w:r>
        <w:rPr>
          <w:rFonts w:ascii="Arial" w:cs="Arial" w:eastAsia="Arial" w:hAnsi="Arial"/>
          <w:sz w:val="18"/>
          <w:szCs w:val="18"/>
          <w:b w:val="1"/>
          <w:bCs w:val="1"/>
          <w:color w:val="auto"/>
        </w:rPr>
        <w:t>Fee Income</w:t>
      </w:r>
      <w:r>
        <w:rPr>
          <w:rFonts w:ascii="Arial" w:cs="Arial" w:eastAsia="Arial" w:hAnsi="Arial"/>
          <w:sz w:val="18"/>
          <w:szCs w:val="18"/>
          <w:color w:val="auto"/>
        </w:rPr>
        <w:t xml:space="preserve"> was due to a decrease in banking service commissions at BCP Stand-alone, mainly for personal loans, SME loans, foreign trade and payments and collections, which posted levels in 4Q17 that reflected the positive effect of loan seasonality, and to the increase seen in the transactions volume at year-end.</w:t>
      </w:r>
    </w:p>
    <w:p>
      <w:pPr>
        <w:spacing w:after="0" w:line="176" w:lineRule="exact"/>
        <w:rPr>
          <w:rFonts w:ascii="Arial" w:cs="Arial" w:eastAsia="Arial" w:hAnsi="Arial"/>
          <w:sz w:val="18"/>
          <w:szCs w:val="18"/>
          <w:color w:val="auto"/>
        </w:rPr>
      </w:pPr>
    </w:p>
    <w:p>
      <w:pPr>
        <w:jc w:val="both"/>
        <w:ind w:left="880" w:hanging="494"/>
        <w:spacing w:after="0" w:line="26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decrease in </w:t>
      </w:r>
      <w:r>
        <w:rPr>
          <w:rFonts w:ascii="Arial" w:cs="Arial" w:eastAsia="Arial" w:hAnsi="Arial"/>
          <w:sz w:val="18"/>
          <w:szCs w:val="18"/>
          <w:b w:val="1"/>
          <w:bCs w:val="1"/>
          <w:color w:val="auto"/>
        </w:rPr>
        <w:t>Net Gain on Foreign Exchange Transactions</w:t>
      </w:r>
      <w:r>
        <w:rPr>
          <w:rFonts w:ascii="Arial" w:cs="Arial" w:eastAsia="Arial" w:hAnsi="Arial"/>
          <w:sz w:val="18"/>
          <w:szCs w:val="18"/>
          <w:color w:val="auto"/>
        </w:rPr>
        <w:t xml:space="preserve"> was due to the decrease posted at BCP Stand-alone in a scenario marked by both limited volatility in the exchange rate and a decrease in volumes, which contrasts with the improvement that transactions volumes post at year-end due to seasonal factors and to the exchange rate volatility posted in 4Q17.</w:t>
      </w:r>
    </w:p>
    <w:p>
      <w:pPr>
        <w:spacing w:after="0" w:line="17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All of the aforementioned was slightly attenuated by the increase in </w:t>
      </w:r>
      <w:r>
        <w:rPr>
          <w:rFonts w:ascii="Arial" w:cs="Arial" w:eastAsia="Arial" w:hAnsi="Arial"/>
          <w:sz w:val="18"/>
          <w:szCs w:val="18"/>
          <w:b w:val="1"/>
          <w:bCs w:val="1"/>
          <w:color w:val="auto"/>
        </w:rPr>
        <w:t>Other Income</w:t>
      </w:r>
      <w:r>
        <w:rPr>
          <w:rFonts w:ascii="Arial" w:cs="Arial" w:eastAsia="Arial" w:hAnsi="Arial"/>
          <w:sz w:val="18"/>
          <w:szCs w:val="18"/>
          <w:color w:val="auto"/>
        </w:rPr>
        <w:t>, which was primarily attributable to the sale of written-off loans at BCP Stand-alone.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In the YoY analysis, a 5.0% increase in non-financial income is evident. This was due primarily to:</w:t>
      </w:r>
    </w:p>
    <w:p>
      <w:pPr>
        <w:spacing w:after="0" w:line="221" w:lineRule="exact"/>
        <w:rPr>
          <w:sz w:val="20"/>
          <w:szCs w:val="20"/>
          <w:color w:val="auto"/>
        </w:rPr>
      </w:pPr>
    </w:p>
    <w:p>
      <w:pPr>
        <w:jc w:val="both"/>
        <w:ind w:left="880" w:hanging="494"/>
        <w:spacing w:after="0" w:line="261"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An increase of +9.3% in </w:t>
      </w:r>
      <w:r>
        <w:rPr>
          <w:rFonts w:ascii="Arial" w:cs="Arial" w:eastAsia="Arial" w:hAnsi="Arial"/>
          <w:sz w:val="18"/>
          <w:szCs w:val="18"/>
          <w:b w:val="1"/>
          <w:bCs w:val="1"/>
          <w:color w:val="auto"/>
        </w:rPr>
        <w:t>Fee Income</w:t>
      </w:r>
      <w:r>
        <w:rPr>
          <w:rFonts w:ascii="Arial" w:cs="Arial" w:eastAsia="Arial" w:hAnsi="Arial"/>
          <w:sz w:val="18"/>
          <w:szCs w:val="18"/>
          <w:color w:val="auto"/>
        </w:rPr>
        <w:t>, which was primarily attributable to an improvement in banking commissions at BCP Stand-alone (as we will explain in detail in section 5.1.2 Fee Income for the Banking Business) and was also due, although to a lesser extent, to an improvement in the results of Credicorp Capital, which was mainly associated with the asset management business at the regional level and with the corporate finance business in Peru.</w:t>
      </w:r>
    </w:p>
    <w:p>
      <w:pPr>
        <w:spacing w:after="0" w:line="180" w:lineRule="exact"/>
        <w:rPr>
          <w:rFonts w:ascii="Arial" w:cs="Arial" w:eastAsia="Arial" w:hAnsi="Arial"/>
          <w:sz w:val="18"/>
          <w:szCs w:val="18"/>
          <w:color w:val="auto"/>
        </w:rPr>
      </w:pPr>
    </w:p>
    <w:p>
      <w:pPr>
        <w:jc w:val="both"/>
        <w:ind w:left="880" w:hanging="494"/>
        <w:spacing w:after="0" w:line="26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Net Gain on Sale of Securities</w:t>
      </w:r>
      <w:r>
        <w:rPr>
          <w:rFonts w:ascii="Arial" w:cs="Arial" w:eastAsia="Arial" w:hAnsi="Arial"/>
          <w:sz w:val="18"/>
          <w:szCs w:val="18"/>
          <w:color w:val="auto"/>
        </w:rPr>
        <w:t>; which was due primarily to the sale of sovereign bonds issued by the Peruvian Government, which were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BCP Stand-alone’s proprietary portfolio, as well as to an improvement in the MtM of trading securities, which are also part of BCP Stand-alone’s proprietary portfolio.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Fee Income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6"/>
          <w:szCs w:val="16"/>
          <w:b w:val="1"/>
          <w:bCs w:val="1"/>
          <w:color w:val="auto"/>
        </w:rPr>
        <w:t>By subsidiary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shows the contribution of each of Credicorp’s subsidiaries to fee income at Credicorp in 1Q18.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fee income QoQ by subsidiary </w:t>
      </w: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154940</wp:posOffset>
            </wp:positionV>
            <wp:extent cx="5471160" cy="18611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71160"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5460" w:firstLine="392"/>
        <w:spacing w:after="0" w:line="561" w:lineRule="auto"/>
        <w:tabs>
          <w:tab w:leader="none" w:pos="519" w:val="left"/>
        </w:tabs>
        <w:numPr>
          <w:ilvl w:val="0"/>
          <w:numId w:val="54"/>
        </w:numPr>
        <w:rPr>
          <w:rFonts w:ascii="Arial" w:cs="Arial" w:eastAsia="Arial" w:hAnsi="Arial"/>
          <w:sz w:val="16"/>
          <w:szCs w:val="16"/>
          <w:color w:val="auto"/>
        </w:rPr>
      </w:pPr>
      <w:r>
        <w:rPr>
          <w:rFonts w:ascii="Arial" w:cs="Arial" w:eastAsia="Arial" w:hAnsi="Arial"/>
          <w:sz w:val="16"/>
          <w:szCs w:val="16"/>
          <w:color w:val="auto"/>
        </w:rPr>
        <w:t>Others include Grupo Pacifico and eliminations for consolidation purposes. The next figure shows the YoY evolution of fee income by subsidiary:</w:t>
      </w:r>
    </w:p>
    <w:p>
      <w:pPr>
        <w:jc w:val="center"/>
        <w:spacing w:after="0"/>
        <w:rPr>
          <w:sz w:val="20"/>
          <w:szCs w:val="20"/>
          <w:color w:val="auto"/>
        </w:rPr>
      </w:pPr>
      <w:r>
        <w:rPr>
          <w:rFonts w:ascii="Arial" w:cs="Arial" w:eastAsia="Arial" w:hAnsi="Arial"/>
          <w:sz w:val="18"/>
          <w:szCs w:val="18"/>
          <w:b w:val="1"/>
          <w:bCs w:val="1"/>
          <w:color w:val="auto"/>
        </w:rPr>
        <w:t xml:space="preserve">Evolution of fee income YoY by subsidiary </w:t>
      </w: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154940</wp:posOffset>
            </wp:positionV>
            <wp:extent cx="5240020" cy="1920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40020"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Others include Grupo Pacifico and eliminations for consolidation purposes.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spacing w:after="0"/>
        <w:tabs>
          <w:tab w:leader="none" w:pos="64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5"/>
          <w:szCs w:val="15"/>
          <w:b w:val="1"/>
          <w:bCs w:val="1"/>
          <w:color w:val="auto"/>
        </w:rPr>
        <w:t>Banking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Next, you will find a table that shows the evolution of the main components of fee income in the Banking Business: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w w:val="92"/>
              </w:rPr>
              <w:t>Composition of fee income in the banking business</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Fee Income</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gridSpan w:val="3"/>
          </w:tcPr>
          <w:p>
            <w:pPr>
              <w:ind w:left="18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1Q17</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4Q17</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1Q18</w:t>
            </w:r>
          </w:p>
        </w:tc>
        <w:tc>
          <w:tcPr>
            <w:tcW w:w="2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7"/>
              </w:rPr>
              <w:t>QoQ</w:t>
            </w: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50"/>
        </w:trPr>
        <w:tc>
          <w:tcPr>
            <w:tcW w:w="396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Miscellaneous accounts </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173,891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178,844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177,257</w:t>
            </w:r>
          </w:p>
        </w:tc>
        <w:tc>
          <w:tcPr>
            <w:tcW w:w="8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-0.9%</w:t>
            </w: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57"/>
        </w:trPr>
        <w:tc>
          <w:tcPr>
            <w:tcW w:w="40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Credit cards </w:t>
            </w:r>
            <w:r>
              <w:rPr>
                <w:rFonts w:ascii="Arial" w:cs="Arial" w:eastAsia="Arial" w:hAnsi="Arial"/>
                <w:sz w:val="29"/>
                <w:szCs w:val="29"/>
                <w:color w:val="auto"/>
                <w:vertAlign w:val="superscript"/>
              </w:rPr>
              <w:t>(2)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72,126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73,043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71,241</w:t>
            </w:r>
          </w:p>
        </w:tc>
        <w:tc>
          <w:tcPr>
            <w:tcW w:w="840" w:type="dxa"/>
            <w:vAlign w:val="bottom"/>
          </w:tcPr>
          <w:p>
            <w:pPr>
              <w:spacing w:after="0"/>
              <w:rPr>
                <w:sz w:val="22"/>
                <w:szCs w:val="22"/>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Drafts and transfers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41,105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49,998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48,966</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57"/>
        </w:trPr>
        <w:tc>
          <w:tcPr>
            <w:tcW w:w="40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Personal loans </w:t>
            </w:r>
            <w:r>
              <w:rPr>
                <w:rFonts w:ascii="Arial" w:cs="Arial" w:eastAsia="Arial" w:hAnsi="Arial"/>
                <w:sz w:val="29"/>
                <w:szCs w:val="29"/>
                <w:color w:val="auto"/>
                <w:vertAlign w:val="superscript"/>
              </w:rPr>
              <w:t>(2)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23,735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26,466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22,898</w:t>
            </w:r>
          </w:p>
        </w:tc>
        <w:tc>
          <w:tcPr>
            <w:tcW w:w="840" w:type="dxa"/>
            <w:vAlign w:val="bottom"/>
          </w:tcPr>
          <w:p>
            <w:pPr>
              <w:spacing w:after="0"/>
              <w:rPr>
                <w:sz w:val="22"/>
                <w:szCs w:val="22"/>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-13.5%</w:t>
            </w:r>
          </w:p>
        </w:tc>
        <w:tc>
          <w:tcPr>
            <w:tcW w:w="3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57"/>
        </w:trPr>
        <w:tc>
          <w:tcPr>
            <w:tcW w:w="4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SME loans </w:t>
            </w:r>
            <w:r>
              <w:rPr>
                <w:rFonts w:ascii="Arial" w:cs="Arial" w:eastAsia="Arial" w:hAnsi="Arial"/>
                <w:sz w:val="29"/>
                <w:szCs w:val="29"/>
                <w:color w:val="auto"/>
                <w:vertAlign w:val="superscript"/>
              </w:rPr>
              <w:t>(2)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17,973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21,669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17,049</w:t>
            </w:r>
          </w:p>
        </w:tc>
        <w:tc>
          <w:tcPr>
            <w:tcW w:w="8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4"/>
              </w:rPr>
              <w:t>-21.3%</w:t>
            </w:r>
          </w:p>
        </w:tc>
        <w:tc>
          <w:tcPr>
            <w:tcW w:w="3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57"/>
        </w:trPr>
        <w:tc>
          <w:tcPr>
            <w:tcW w:w="40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Insurance </w:t>
            </w:r>
            <w:r>
              <w:rPr>
                <w:rFonts w:ascii="Arial" w:cs="Arial" w:eastAsia="Arial" w:hAnsi="Arial"/>
                <w:sz w:val="29"/>
                <w:szCs w:val="29"/>
                <w:color w:val="auto"/>
                <w:vertAlign w:val="superscript"/>
              </w:rPr>
              <w:t>(2)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18,515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20,667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19,629</w:t>
            </w:r>
          </w:p>
        </w:tc>
        <w:tc>
          <w:tcPr>
            <w:tcW w:w="840" w:type="dxa"/>
            <w:vAlign w:val="bottom"/>
          </w:tcPr>
          <w:p>
            <w:pPr>
              <w:spacing w:after="0"/>
              <w:rPr>
                <w:sz w:val="22"/>
                <w:szCs w:val="22"/>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57"/>
        </w:trPr>
        <w:tc>
          <w:tcPr>
            <w:tcW w:w="4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Mortgage loans </w:t>
            </w:r>
            <w:r>
              <w:rPr>
                <w:rFonts w:ascii="Arial" w:cs="Arial" w:eastAsia="Arial" w:hAnsi="Arial"/>
                <w:sz w:val="29"/>
                <w:szCs w:val="29"/>
                <w:color w:val="auto"/>
                <w:vertAlign w:val="superscript"/>
              </w:rPr>
              <w:t>(2)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10,518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9,182</w:t>
            </w:r>
          </w:p>
        </w:tc>
        <w:tc>
          <w:tcPr>
            <w:tcW w:w="8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4"/>
              </w:rPr>
              <w:t>-12.7%</w:t>
            </w:r>
          </w:p>
        </w:tc>
        <w:tc>
          <w:tcPr>
            <w:tcW w:w="3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57"/>
        </w:trPr>
        <w:tc>
          <w:tcPr>
            <w:tcW w:w="40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Off-balance sheet </w:t>
            </w:r>
            <w:r>
              <w:rPr>
                <w:rFonts w:ascii="Arial" w:cs="Arial" w:eastAsia="Arial" w:hAnsi="Arial"/>
                <w:sz w:val="29"/>
                <w:szCs w:val="29"/>
                <w:color w:val="auto"/>
                <w:vertAlign w:val="superscript"/>
              </w:rPr>
              <w:t>(3)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43,074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52,127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51,545</w:t>
            </w:r>
          </w:p>
        </w:tc>
        <w:tc>
          <w:tcPr>
            <w:tcW w:w="840" w:type="dxa"/>
            <w:vAlign w:val="bottom"/>
          </w:tcPr>
          <w:p>
            <w:pPr>
              <w:spacing w:after="0"/>
              <w:rPr>
                <w:sz w:val="22"/>
                <w:szCs w:val="22"/>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19.7%</w:t>
            </w:r>
          </w:p>
        </w:tc>
      </w:tr>
      <w:tr>
        <w:trPr>
          <w:trHeight w:val="257"/>
        </w:trPr>
        <w:tc>
          <w:tcPr>
            <w:tcW w:w="4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Payments and collections </w:t>
            </w:r>
            <w:r>
              <w:rPr>
                <w:rFonts w:ascii="Arial" w:cs="Arial" w:eastAsia="Arial" w:hAnsi="Arial"/>
                <w:sz w:val="29"/>
                <w:szCs w:val="29"/>
                <w:color w:val="auto"/>
                <w:vertAlign w:val="superscript"/>
              </w:rPr>
              <w:t>(3)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95,547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100,746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97,778</w:t>
            </w:r>
          </w:p>
        </w:tc>
        <w:tc>
          <w:tcPr>
            <w:tcW w:w="8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40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Commercial loans </w:t>
            </w:r>
            <w:r>
              <w:rPr>
                <w:rFonts w:ascii="Arial" w:cs="Arial" w:eastAsia="Arial" w:hAnsi="Arial"/>
                <w:sz w:val="29"/>
                <w:szCs w:val="29"/>
                <w:color w:val="auto"/>
                <w:vertAlign w:val="superscript"/>
              </w:rPr>
              <w:t>(3)(4)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17,180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19,949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20,596</w:t>
            </w:r>
          </w:p>
        </w:tc>
        <w:tc>
          <w:tcPr>
            <w:tcW w:w="840" w:type="dxa"/>
            <w:vAlign w:val="bottom"/>
          </w:tcPr>
          <w:p>
            <w:pPr>
              <w:spacing w:after="0"/>
              <w:rPr>
                <w:sz w:val="22"/>
                <w:szCs w:val="22"/>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19.9%</w:t>
            </w:r>
          </w:p>
        </w:tc>
      </w:tr>
      <w:tr>
        <w:trPr>
          <w:trHeight w:val="257"/>
        </w:trPr>
        <w:tc>
          <w:tcPr>
            <w:tcW w:w="4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Foreign trade </w:t>
            </w:r>
            <w:r>
              <w:rPr>
                <w:rFonts w:ascii="Arial" w:cs="Arial" w:eastAsia="Arial" w:hAnsi="Arial"/>
                <w:sz w:val="29"/>
                <w:szCs w:val="29"/>
                <w:color w:val="auto"/>
                <w:vertAlign w:val="superscript"/>
              </w:rPr>
              <w:t>(3)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12,196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7,626</w:t>
            </w:r>
          </w:p>
        </w:tc>
        <w:tc>
          <w:tcPr>
            <w:tcW w:w="8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4"/>
              </w:rPr>
              <w:t>-36.5%</w:t>
            </w:r>
          </w:p>
        </w:tc>
        <w:tc>
          <w:tcPr>
            <w:tcW w:w="3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57"/>
        </w:trPr>
        <w:tc>
          <w:tcPr>
            <w:tcW w:w="40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Corporate finance and mutual funds </w:t>
            </w:r>
            <w:r>
              <w:rPr>
                <w:rFonts w:ascii="Arial" w:cs="Arial" w:eastAsia="Arial" w:hAnsi="Arial"/>
                <w:sz w:val="29"/>
                <w:szCs w:val="29"/>
                <w:color w:val="auto"/>
                <w:vertAlign w:val="superscript"/>
              </w:rPr>
              <w:t>(4)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13,323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14,667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15,387</w:t>
            </w:r>
          </w:p>
        </w:tc>
        <w:tc>
          <w:tcPr>
            <w:tcW w:w="840" w:type="dxa"/>
            <w:vAlign w:val="bottom"/>
          </w:tcPr>
          <w:p>
            <w:pPr>
              <w:spacing w:after="0"/>
              <w:rPr>
                <w:sz w:val="22"/>
                <w:szCs w:val="22"/>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15.5%</w:t>
            </w:r>
          </w:p>
        </w:tc>
      </w:tr>
      <w:tr>
        <w:trPr>
          <w:trHeight w:val="257"/>
        </w:trPr>
        <w:tc>
          <w:tcPr>
            <w:tcW w:w="4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ASB </w:t>
            </w:r>
            <w:r>
              <w:rPr>
                <w:rFonts w:ascii="Arial" w:cs="Arial" w:eastAsia="Arial" w:hAnsi="Arial"/>
                <w:sz w:val="29"/>
                <w:szCs w:val="29"/>
                <w:color w:val="auto"/>
                <w:vertAlign w:val="superscript"/>
              </w:rPr>
              <w:t>(4)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8,736</w:t>
            </w:r>
          </w:p>
        </w:tc>
        <w:tc>
          <w:tcPr>
            <w:tcW w:w="8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22.0%</w:t>
            </w:r>
          </w:p>
        </w:tc>
        <w:tc>
          <w:tcPr>
            <w:tcW w:w="3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70"/>
        </w:trPr>
        <w:tc>
          <w:tcPr>
            <w:tcW w:w="4080" w:type="dxa"/>
            <w:vAlign w:val="bottom"/>
            <w:gridSpan w:val="2"/>
          </w:tcPr>
          <w:p>
            <w:pPr>
              <w:spacing w:after="0" w:line="269" w:lineRule="exact"/>
              <w:rPr>
                <w:sz w:val="20"/>
                <w:szCs w:val="20"/>
                <w:color w:val="auto"/>
              </w:rPr>
            </w:pPr>
            <w:r>
              <w:rPr>
                <w:rFonts w:ascii="Arial" w:cs="Arial" w:eastAsia="Arial" w:hAnsi="Arial"/>
                <w:sz w:val="31"/>
                <w:szCs w:val="31"/>
                <w:color w:val="auto"/>
                <w:vertAlign w:val="subscript"/>
              </w:rPr>
              <w:t>Others</w:t>
            </w:r>
            <w:r>
              <w:rPr>
                <w:rFonts w:ascii="Arial" w:cs="Arial" w:eastAsia="Arial" w:hAnsi="Arial"/>
                <w:sz w:val="14"/>
                <w:szCs w:val="14"/>
                <w:color w:val="auto"/>
              </w:rPr>
              <w:t xml:space="preserve"> (4)(5)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45,975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53,155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56,052</w:t>
            </w:r>
          </w:p>
        </w:tc>
        <w:tc>
          <w:tcPr>
            <w:tcW w:w="840" w:type="dxa"/>
            <w:vAlign w:val="bottom"/>
          </w:tcPr>
          <w:p>
            <w:pPr>
              <w:spacing w:after="0"/>
              <w:rPr>
                <w:sz w:val="23"/>
                <w:szCs w:val="23"/>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21.9%</w:t>
            </w:r>
          </w:p>
        </w:tc>
      </w:tr>
      <w:tr>
        <w:trPr>
          <w:trHeight w:val="210"/>
        </w:trPr>
        <w:tc>
          <w:tcPr>
            <w:tcW w:w="4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fee income</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591,917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641,012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623,941</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BCP</w:t>
      </w:r>
    </w:p>
    <w:p>
      <w:pPr>
        <w:spacing w:after="0" w:line="23" w:lineRule="exact"/>
        <w:rPr>
          <w:sz w:val="20"/>
          <w:szCs w:val="20"/>
          <w:color w:val="auto"/>
        </w:rPr>
      </w:pP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Saving accounts, current accounts, debit card and master account.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Mainly Retail fees.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Mainly Wholesale fees.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fees from BCP Bolivia, Mibanco, network usage and other services to third parties, among others.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fee income in the banking business fell -2.7%. This was mainly due to:</w:t>
      </w:r>
    </w:p>
    <w:p>
      <w:pPr>
        <w:spacing w:after="0" w:line="225" w:lineRule="exact"/>
        <w:rPr>
          <w:sz w:val="20"/>
          <w:szCs w:val="20"/>
          <w:color w:val="auto"/>
        </w:rPr>
      </w:pPr>
    </w:p>
    <w:p>
      <w:pPr>
        <w:ind w:left="880" w:hanging="494"/>
        <w:spacing w:after="0" w:line="282"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A decrease in income from </w:t>
      </w:r>
      <w:r>
        <w:rPr>
          <w:rFonts w:ascii="Arial" w:cs="Arial" w:eastAsia="Arial" w:hAnsi="Arial"/>
          <w:sz w:val="18"/>
          <w:szCs w:val="18"/>
          <w:b w:val="1"/>
          <w:bCs w:val="1"/>
          <w:color w:val="auto"/>
        </w:rPr>
        <w:t>SME Loans</w:t>
      </w:r>
      <w:r>
        <w:rPr>
          <w:rFonts w:ascii="Arial" w:cs="Arial" w:eastAsia="Arial" w:hAnsi="Arial"/>
          <w:sz w:val="18"/>
          <w:szCs w:val="18"/>
          <w:color w:val="auto"/>
        </w:rPr>
        <w:t xml:space="preserve"> and </w:t>
      </w:r>
      <w:r>
        <w:rPr>
          <w:rFonts w:ascii="Arial" w:cs="Arial" w:eastAsia="Arial" w:hAnsi="Arial"/>
          <w:sz w:val="18"/>
          <w:szCs w:val="18"/>
          <w:b w:val="1"/>
          <w:bCs w:val="1"/>
          <w:color w:val="auto"/>
        </w:rPr>
        <w:t>Personal Loans,</w:t>
      </w:r>
      <w:r>
        <w:rPr>
          <w:rFonts w:ascii="Arial" w:cs="Arial" w:eastAsia="Arial" w:hAnsi="Arial"/>
          <w:sz w:val="18"/>
          <w:szCs w:val="18"/>
          <w:color w:val="auto"/>
        </w:rPr>
        <w:t xml:space="preserve"> due to significant activity in these accounts last quarter, which was attributable to seasonal factors.</w:t>
      </w:r>
    </w:p>
    <w:p>
      <w:pPr>
        <w:spacing w:after="0" w:line="161" w:lineRule="exact"/>
        <w:rPr>
          <w:rFonts w:ascii="Arial" w:cs="Arial" w:eastAsia="Arial" w:hAnsi="Arial"/>
          <w:sz w:val="18"/>
          <w:szCs w:val="18"/>
          <w:color w:val="auto"/>
        </w:rPr>
      </w:pPr>
    </w:p>
    <w:p>
      <w:pPr>
        <w:ind w:left="880" w:hanging="494"/>
        <w:spacing w:after="0" w:line="282"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A decrease in income for </w:t>
      </w:r>
      <w:r>
        <w:rPr>
          <w:rFonts w:ascii="Arial" w:cs="Arial" w:eastAsia="Arial" w:hAnsi="Arial"/>
          <w:sz w:val="18"/>
          <w:szCs w:val="18"/>
          <w:b w:val="1"/>
          <w:bCs w:val="1"/>
          <w:color w:val="auto"/>
        </w:rPr>
        <w:t>Foreign Trade</w:t>
      </w:r>
      <w:r>
        <w:rPr>
          <w:rFonts w:ascii="Arial" w:cs="Arial" w:eastAsia="Arial" w:hAnsi="Arial"/>
          <w:sz w:val="18"/>
          <w:szCs w:val="18"/>
          <w:color w:val="auto"/>
        </w:rPr>
        <w:t>, which was primarily due to a decrease in income from Import Letters of Credit and, to a lesser extent, Export Letters of Credit, which in 4Q17 reported better results due to seasonality at year-end.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aforementioned was slightly offset by the </w:t>
      </w:r>
      <w:r>
        <w:rPr>
          <w:rFonts w:ascii="Arial" w:cs="Arial" w:eastAsia="Arial" w:hAnsi="Arial"/>
          <w:sz w:val="18"/>
          <w:szCs w:val="18"/>
          <w:b w:val="1"/>
          <w:bCs w:val="1"/>
          <w:color w:val="auto"/>
        </w:rPr>
        <w:t>Others</w:t>
      </w:r>
      <w:r>
        <w:rPr>
          <w:rFonts w:ascii="Arial" w:cs="Arial" w:eastAsia="Arial" w:hAnsi="Arial"/>
          <w:sz w:val="18"/>
          <w:szCs w:val="18"/>
          <w:color w:val="auto"/>
        </w:rPr>
        <w:t xml:space="preserve"> account, due to an increase in fee income from BCP Bolivia for wires transfers.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growth of 5.4% was due to:</w:t>
      </w:r>
    </w:p>
    <w:p>
      <w:pPr>
        <w:spacing w:after="0" w:line="225" w:lineRule="exact"/>
        <w:rPr>
          <w:sz w:val="20"/>
          <w:szCs w:val="20"/>
          <w:color w:val="auto"/>
        </w:rPr>
      </w:pPr>
    </w:p>
    <w:p>
      <w:pPr>
        <w:ind w:left="880" w:hanging="494"/>
        <w:spacing w:after="0" w:line="282"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An improvement in transactional activity, which was reflected in the growth in fees from </w:t>
      </w:r>
      <w:r>
        <w:rPr>
          <w:rFonts w:ascii="Arial" w:cs="Arial" w:eastAsia="Arial" w:hAnsi="Arial"/>
          <w:sz w:val="18"/>
          <w:szCs w:val="18"/>
          <w:b w:val="1"/>
          <w:bCs w:val="1"/>
          <w:color w:val="auto"/>
        </w:rPr>
        <w:t>Off-balance Sheet, Drafts and Transfers,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Miscellaneous Accounts </w:t>
      </w:r>
      <w:r>
        <w:rPr>
          <w:rFonts w:ascii="Arial" w:cs="Arial" w:eastAsia="Arial" w:hAnsi="Arial"/>
          <w:sz w:val="18"/>
          <w:szCs w:val="18"/>
          <w:color w:val="auto"/>
        </w:rPr>
        <w:t>and</w:t>
      </w:r>
      <w:r>
        <w:rPr>
          <w:rFonts w:ascii="Arial" w:cs="Arial" w:eastAsia="Arial" w:hAnsi="Arial"/>
          <w:sz w:val="18"/>
          <w:szCs w:val="18"/>
          <w:b w:val="1"/>
          <w:bCs w:val="1"/>
          <w:color w:val="auto"/>
        </w:rPr>
        <w:t xml:space="preserve"> Payments and Collections.</w:t>
      </w:r>
    </w:p>
    <w:p>
      <w:pPr>
        <w:spacing w:after="0" w:line="161" w:lineRule="exact"/>
        <w:rPr>
          <w:rFonts w:ascii="Arial" w:cs="Arial" w:eastAsia="Arial" w:hAnsi="Arial"/>
          <w:sz w:val="18"/>
          <w:szCs w:val="18"/>
          <w:color w:val="auto"/>
        </w:rPr>
      </w:pPr>
    </w:p>
    <w:p>
      <w:pPr>
        <w:ind w:left="880" w:hanging="49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aforementioned was accompanied by a slight recovery in loans, which generated higher fee income from </w:t>
      </w:r>
      <w:r>
        <w:rPr>
          <w:rFonts w:ascii="Arial" w:cs="Arial" w:eastAsia="Arial" w:hAnsi="Arial"/>
          <w:sz w:val="18"/>
          <w:szCs w:val="18"/>
          <w:b w:val="1"/>
          <w:bCs w:val="1"/>
          <w:color w:val="auto"/>
        </w:rPr>
        <w:t>Commercial Loans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Significant growth in the </w:t>
      </w:r>
      <w:r>
        <w:rPr>
          <w:rFonts w:ascii="Arial" w:cs="Arial" w:eastAsia="Arial" w:hAnsi="Arial"/>
          <w:sz w:val="18"/>
          <w:szCs w:val="18"/>
          <w:b w:val="1"/>
          <w:bCs w:val="1"/>
          <w:color w:val="auto"/>
        </w:rPr>
        <w:t>Others</w:t>
      </w:r>
      <w:r>
        <w:rPr>
          <w:rFonts w:ascii="Arial" w:cs="Arial" w:eastAsia="Arial" w:hAnsi="Arial"/>
          <w:sz w:val="18"/>
          <w:szCs w:val="18"/>
          <w:color w:val="auto"/>
        </w:rPr>
        <w:t xml:space="preserve"> accounts reflects the increase in the volume of banking services from BCP Bolivia and Mibanco.</w:t>
      </w:r>
    </w:p>
    <w:p>
      <w:pPr>
        <w:spacing w:after="0" w:line="225"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 xml:space="preserve">The aforementioned offset the YoY reduction in fees from </w:t>
      </w:r>
      <w:r>
        <w:rPr>
          <w:rFonts w:ascii="Arial" w:cs="Arial" w:eastAsia="Arial" w:hAnsi="Arial"/>
          <w:sz w:val="18"/>
          <w:szCs w:val="18"/>
          <w:b w:val="1"/>
          <w:bCs w:val="1"/>
          <w:color w:val="auto"/>
        </w:rPr>
        <w:t>Foreign Trade</w:t>
      </w:r>
      <w:r>
        <w:rPr>
          <w:rFonts w:ascii="Arial" w:cs="Arial" w:eastAsia="Arial" w:hAnsi="Arial"/>
          <w:sz w:val="18"/>
          <w:szCs w:val="18"/>
          <w:color w:val="auto"/>
        </w:rPr>
        <w:t>, which was primarily due to a decrease in income from Import Letters of Credit and, to a lesser extent, from Export Letters of Credit.</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Underwriting Result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insurance underwriting result fell -4.5% QoQ and -5.2% YoY due to an increase in net claims and acquisition cost, mainly attributable to P&amp;C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latter was attenuated by the increase QoQ and YoY in Net earned premiums of Life Insurance business.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Insurance underwriting result</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w w:val="97"/>
              </w:rPr>
              <w:t>% change</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1Q17</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4Q17</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1Q18</w:t>
            </w:r>
          </w:p>
        </w:tc>
        <w:tc>
          <w:tcPr>
            <w:tcW w:w="2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97"/>
              </w:rPr>
              <w:t>QoQ</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earned premiums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465,304</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470,837</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508,202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Net claims</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(280,964)</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(283,354)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(294,745)</w:t>
            </w:r>
          </w:p>
        </w:tc>
        <w:tc>
          <w:tcPr>
            <w:tcW w:w="76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364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Acquisition cost </w:t>
            </w:r>
            <w:r>
              <w:rPr>
                <w:rFonts w:ascii="Arial" w:cs="Arial" w:eastAsia="Arial" w:hAnsi="Arial"/>
                <w:sz w:val="30"/>
                <w:szCs w:val="30"/>
                <w:color w:val="auto"/>
                <w:vertAlign w:val="superscript"/>
              </w:rPr>
              <w:t>(1)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(62,061)</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(66,141)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(97,548)</w:t>
            </w:r>
          </w:p>
        </w:tc>
        <w:tc>
          <w:tcPr>
            <w:tcW w:w="7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0"/>
              </w:rPr>
              <w:t>47.5%</w:t>
            </w:r>
          </w:p>
        </w:tc>
        <w:tc>
          <w:tcPr>
            <w:tcW w:w="3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10"/>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Total insurance underwriting result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122,278</w:t>
            </w:r>
          </w:p>
        </w:tc>
        <w:tc>
          <w:tcPr>
            <w:tcW w:w="2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121,342</w:t>
            </w:r>
          </w:p>
        </w:tc>
        <w:tc>
          <w:tcPr>
            <w:tcW w:w="1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115,909</w:t>
            </w: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net fees and underwriting expenses.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underwriting result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142875</wp:posOffset>
            </wp:positionV>
            <wp:extent cx="3241675" cy="15265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41675"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QoQ drop in the underwriting result was due to i) a lower written premium in P&amp;C, ii) higher loss ratio in Car and Wholesale lines; iii) a decrease in the underwriting income, given that as of 2018 this account must be registered as Written premiums and accrue in 12 months; iv) an increase of fees in Credit Life; iv) and lower received fees in Wholesale lines. This effect was mitigated by an increase in Net earned premiums in Life insurance business, mainly explained by Annuities, Credit Life and Group Life lines.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reduction was primarily associated with the P&amp;C business, which register an increase in claims in Medical Assistance and Car line as well as to higher acquisition costs. This effect was attenuated by an improvement in the underwriting result in the Life business due to an increase in written premium for Credit life.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Net earned premiums</w:t>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jc w:val="center"/>
        <w:ind w:right="880"/>
        <w:spacing w:after="0"/>
        <w:rPr>
          <w:sz w:val="20"/>
          <w:szCs w:val="20"/>
          <w:color w:val="auto"/>
        </w:rPr>
      </w:pPr>
      <w:r>
        <w:rPr>
          <w:rFonts w:ascii="Arial" w:cs="Arial" w:eastAsia="Arial" w:hAnsi="Arial"/>
          <w:sz w:val="16"/>
          <w:szCs w:val="16"/>
          <w:b w:val="1"/>
          <w:bCs w:val="1"/>
          <w:color w:val="auto"/>
        </w:rPr>
        <w:t>Written premiums by business</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142875</wp:posOffset>
            </wp:positionV>
            <wp:extent cx="2744470" cy="1406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44470" cy="1406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500"/>
        <w:spacing w:after="0"/>
        <w:rPr>
          <w:sz w:val="20"/>
          <w:szCs w:val="20"/>
          <w:color w:val="auto"/>
        </w:rPr>
      </w:pPr>
      <w:r>
        <w:rPr>
          <w:rFonts w:ascii="Arial" w:cs="Arial" w:eastAsia="Arial" w:hAnsi="Arial"/>
          <w:sz w:val="15"/>
          <w:szCs w:val="15"/>
          <w:b w:val="1"/>
          <w:bCs w:val="1"/>
          <w:color w:val="auto"/>
        </w:rPr>
        <w:t>Net earned premiums by business</w:t>
      </w:r>
    </w:p>
    <w:p>
      <w:pPr>
        <w:spacing w:after="0" w:line="62"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142875</wp:posOffset>
            </wp:positionV>
            <wp:extent cx="2615565" cy="1372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15565" cy="13722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20" w:space="720"/>
            <w:col w:w="408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4" w:name="page35"/>
    <w:bookmarkEnd w:id="34"/>
    <w:p>
      <w:pPr>
        <w:jc w:val="both"/>
        <w:spacing w:after="0" w:line="286" w:lineRule="auto"/>
        <w:rPr>
          <w:sz w:val="20"/>
          <w:szCs w:val="20"/>
          <w:color w:val="auto"/>
        </w:rPr>
      </w:pPr>
      <w:r>
        <w:rPr>
          <w:rFonts w:ascii="Arial" w:cs="Arial" w:eastAsia="Arial" w:hAnsi="Arial"/>
          <w:sz w:val="17"/>
          <w:szCs w:val="17"/>
          <w:color w:val="auto"/>
        </w:rPr>
        <w:t>Written premiums fell -5.6% in Property and Casualty and Life business. The drop in P&amp;C was attributable to Car and Wholesale Lines (Fire and technical risks). In the Life insurance business, the decrease in premiums was due to the higher sales for the new product “Renta Flex” in 4Q17. Nevertheless, this effect was mitigated by annual renewals of mining policies in Group Life and higher premiums in “alliances’ channels” in Credit Life.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YoY analysis, Written premiums increased +7.4% mainly through Life Insurance business, which was in turn associated to a higher level of premiums in Annuities due to the “Renta Flex” product; and Credit Life through the “alliances channels”.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earned premiums grew 7.9% QoQ and 9.2% YoY, primarily through the life insurance business due to an increase in Credit Life premiums through alliances’ channels; and higher technical reserves in Annuities and AFP line in 4Q17.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Net claims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claims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142875</wp:posOffset>
            </wp:positionV>
            <wp:extent cx="2950210" cy="14751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5021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claims rose +4.0% QoQ due to an increase in the P&amp;C and Life businesses. The increase in P&amp;C was reported in Cars and was attributable to growth in reported cases in 1Q18; and the Wholesale line after the number of incidences registered for hull insurance and technical lines increased. In the Life insurance business, the increase in the loss ratio was attributable to AFP line due to a decrease in the discount rates used to calculate claims and; in the Individual life and Personal accidents lines, mainly to an increase in reported cases.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YoY analysis, net claims increased +4.9% both in Life insurance and in P&amp;C business. The growth posted in the Life business was registered in Annuities and was attributable to pensions associated with the “Renta Flex” product and in AFP line due to a decrease in the discount rate used to calculate claims. In P&amp;C, the increase was associated with Medical Assistance due to more IBNR (incurred but not reported) provisions.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Acquisition cost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cost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142875</wp:posOffset>
            </wp:positionV>
            <wp:extent cx="2924175" cy="1431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2417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Acquisition cost</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gridSpan w:val="3"/>
          </w:tcPr>
          <w:p>
            <w:pPr>
              <w:ind w:left="140"/>
              <w:spacing w:after="0"/>
              <w:rPr>
                <w:sz w:val="20"/>
                <w:szCs w:val="20"/>
                <w:color w:val="auto"/>
              </w:rPr>
            </w:pPr>
            <w:r>
              <w:rPr>
                <w:rFonts w:ascii="Arial" w:cs="Arial" w:eastAsia="Arial" w:hAnsi="Arial"/>
                <w:sz w:val="18"/>
                <w:szCs w:val="18"/>
                <w:b w:val="1"/>
                <w:bCs w:val="1"/>
                <w:color w:val="auto"/>
                <w:w w:val="97"/>
              </w:rPr>
              <w:t>% change</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1Q17</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4Q17</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1Q18</w:t>
            </w: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87"/>
              </w:rPr>
              <w:t>QoQ</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fees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7"/>
              </w:rPr>
              <w:t>(53,495)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(47,822)</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7"/>
              </w:rPr>
              <w:t>(66,815)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7"/>
              </w:rPr>
              <w:t>39.7%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Underwriting expenses</w:t>
            </w:r>
          </w:p>
        </w:tc>
        <w:tc>
          <w:tcPr>
            <w:tcW w:w="1320" w:type="dxa"/>
            <w:vAlign w:val="bottom"/>
            <w:gridSpan w:val="2"/>
          </w:tcPr>
          <w:p>
            <w:pPr>
              <w:ind w:left="580"/>
              <w:spacing w:after="0"/>
              <w:rPr>
                <w:sz w:val="20"/>
                <w:szCs w:val="20"/>
                <w:color w:val="auto"/>
              </w:rPr>
            </w:pPr>
            <w:r>
              <w:rPr>
                <w:rFonts w:ascii="Arial" w:cs="Arial" w:eastAsia="Arial" w:hAnsi="Arial"/>
                <w:sz w:val="18"/>
                <w:szCs w:val="18"/>
                <w:color w:val="auto"/>
              </w:rPr>
              <w:t>(23,840)</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(36,246)</w:t>
            </w:r>
          </w:p>
        </w:tc>
        <w:tc>
          <w:tcPr>
            <w:tcW w:w="1320" w:type="dxa"/>
            <w:vAlign w:val="bottom"/>
            <w:gridSpan w:val="2"/>
          </w:tcPr>
          <w:p>
            <w:pPr>
              <w:ind w:left="580"/>
              <w:spacing w:after="0"/>
              <w:rPr>
                <w:sz w:val="20"/>
                <w:szCs w:val="20"/>
                <w:color w:val="auto"/>
              </w:rPr>
            </w:pPr>
            <w:r>
              <w:rPr>
                <w:rFonts w:ascii="Arial" w:cs="Arial" w:eastAsia="Arial" w:hAnsi="Arial"/>
                <w:sz w:val="18"/>
                <w:szCs w:val="18"/>
                <w:color w:val="auto"/>
              </w:rPr>
              <w:t>(32,633)</w:t>
            </w:r>
          </w:p>
        </w:tc>
        <w:tc>
          <w:tcPr>
            <w:tcW w:w="74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w w:val="87"/>
              </w:rPr>
              <w:t>-10.0%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36.9%</w:t>
            </w:r>
          </w:p>
        </w:tc>
      </w:tr>
      <w:tr>
        <w:trPr>
          <w:trHeight w:val="23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Underwriting income</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15,274</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17,927</w:t>
            </w:r>
          </w:p>
        </w:tc>
        <w:tc>
          <w:tcPr>
            <w:tcW w:w="13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1,900</w:t>
            </w:r>
          </w:p>
        </w:tc>
        <w:tc>
          <w:tcPr>
            <w:tcW w:w="7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7"/>
              </w:rPr>
              <w:t>-89.4%</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1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Acquisition cost</w:t>
            </w:r>
          </w:p>
        </w:tc>
        <w:tc>
          <w:tcPr>
            <w:tcW w:w="1120" w:type="dxa"/>
            <w:vAlign w:val="bottom"/>
            <w:tcBorders>
              <w:top w:val="single" w:sz="8" w:color="auto"/>
            </w:tcBorders>
          </w:tcPr>
          <w:p>
            <w:pPr>
              <w:ind w:left="580"/>
              <w:spacing w:after="0"/>
              <w:rPr>
                <w:sz w:val="20"/>
                <w:szCs w:val="20"/>
                <w:color w:val="auto"/>
              </w:rPr>
            </w:pPr>
            <w:r>
              <w:rPr>
                <w:rFonts w:ascii="Arial" w:cs="Arial" w:eastAsia="Arial" w:hAnsi="Arial"/>
                <w:sz w:val="18"/>
                <w:szCs w:val="18"/>
                <w:b w:val="1"/>
                <w:bCs w:val="1"/>
                <w:color w:val="auto"/>
                <w:w w:val="85"/>
              </w:rPr>
              <w:t>(62,061</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(66,141</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120" w:type="dxa"/>
            <w:vAlign w:val="bottom"/>
            <w:tcBorders>
              <w:top w:val="single" w:sz="8" w:color="auto"/>
            </w:tcBorders>
          </w:tcPr>
          <w:p>
            <w:pPr>
              <w:ind w:left="580"/>
              <w:spacing w:after="0"/>
              <w:rPr>
                <w:sz w:val="20"/>
                <w:szCs w:val="20"/>
                <w:color w:val="auto"/>
              </w:rPr>
            </w:pPr>
            <w:r>
              <w:rPr>
                <w:rFonts w:ascii="Arial" w:cs="Arial" w:eastAsia="Arial" w:hAnsi="Arial"/>
                <w:sz w:val="18"/>
                <w:szCs w:val="18"/>
                <w:b w:val="1"/>
                <w:bCs w:val="1"/>
                <w:color w:val="auto"/>
                <w:w w:val="85"/>
              </w:rPr>
              <w:t>(97,548</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47.5</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acquisition cost increased +47.5% QoQ due to a regulatory change regarding to underwriting income, given that in 2018 this account must be included in Written premiums. Additionally, fees increased in Credit Life due to the higher premiums in alliances’ channels, where brokerage fees are higher, and received fees</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in Wholesale lines (fire) fell due to a decrease in facultative policies in 1Q18.</w:t>
      </w:r>
    </w:p>
    <w:p>
      <w:pPr>
        <w:spacing w:after="0" w:line="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YoY analysis, the acquisition cost increased +57.2% due to the aforementioned regulatory change. Additionally, fees increased due to higher sales for Credit Life in the Alliance channel.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8097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1" w:lineRule="exact"/>
        <w:rPr>
          <w:sz w:val="20"/>
          <w:szCs w:val="20"/>
          <w:color w:val="auto"/>
        </w:rPr>
      </w:pPr>
    </w:p>
    <w:p>
      <w:pPr>
        <w:ind w:left="120" w:hanging="112"/>
        <w:spacing w:after="0"/>
        <w:tabs>
          <w:tab w:leader="none" w:pos="120" w:val="left"/>
        </w:tabs>
        <w:numPr>
          <w:ilvl w:val="0"/>
          <w:numId w:val="59"/>
        </w:numPr>
        <w:rPr>
          <w:rFonts w:ascii="Arial" w:cs="Arial" w:eastAsia="Arial" w:hAnsi="Arial"/>
          <w:sz w:val="30"/>
          <w:szCs w:val="30"/>
          <w:color w:val="auto"/>
          <w:vertAlign w:val="superscript"/>
        </w:rPr>
      </w:pPr>
      <w:r>
        <w:rPr>
          <w:rFonts w:ascii="Arial" w:cs="Arial" w:eastAsia="Arial" w:hAnsi="Arial"/>
          <w:sz w:val="18"/>
          <w:szCs w:val="18"/>
          <w:color w:val="auto"/>
        </w:rPr>
        <w:t>Fee paid by the reinsurer for ceded premiums.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ind w:left="520" w:hanging="512"/>
        <w:spacing w:after="0"/>
        <w:tabs>
          <w:tab w:leader="none" w:pos="5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 and Efficiency</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The efficiency ratio decreased 250 bps QoQ due to a reduction in operating costs, in line with the seasonality effect that is present every 1Q. The YoY analysis reveals an increase of 100 bps, which reflects a scenario in which operating income expanded at a lower rate than that at which operating expenses did. This was primarily attributable to YoY growth in Employee Salaries and Benefits, which was in line with an increase in the number of employees.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3"/>
          </w:tcPr>
          <w:p>
            <w:pPr>
              <w:ind w:left="840"/>
              <w:spacing w:after="0"/>
              <w:rPr>
                <w:sz w:val="20"/>
                <w:szCs w:val="20"/>
                <w:color w:val="auto"/>
              </w:rPr>
            </w:pPr>
            <w:r>
              <w:rPr>
                <w:rFonts w:ascii="Arial" w:cs="Arial" w:eastAsia="Arial" w:hAnsi="Arial"/>
                <w:sz w:val="18"/>
                <w:szCs w:val="18"/>
                <w:b w:val="1"/>
                <w:bCs w:val="1"/>
                <w:color w:val="auto"/>
                <w:w w:val="97"/>
              </w:rPr>
              <w:t>% change</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1Q17</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4Q17</w:t>
            </w:r>
          </w:p>
        </w:tc>
        <w:tc>
          <w:tcPr>
            <w:tcW w:w="2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1Q18</w:t>
            </w:r>
          </w:p>
        </w:tc>
        <w:tc>
          <w:tcPr>
            <w:tcW w:w="2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employees benefits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753,266</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804,067</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777,345</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Administrative, general and tax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488,466</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601,846</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496,375</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-17.5%</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amortizacion</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115,887</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117,414</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116,699</w:t>
            </w:r>
          </w:p>
        </w:tc>
        <w:tc>
          <w:tcPr>
            <w:tcW w:w="1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49,492</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42,912</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49,325</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1,407,111</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1,566,239</w:t>
            </w: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1,439,744</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7"/>
        </w:trPr>
        <w:tc>
          <w:tcPr>
            <w:tcW w:w="3480" w:type="dxa"/>
            <w:vAlign w:val="bottom"/>
            <w:gridSpan w:val="2"/>
          </w:tcPr>
          <w:p>
            <w:pPr>
              <w:spacing w:after="0" w:line="236" w:lineRule="exact"/>
              <w:rPr>
                <w:sz w:val="20"/>
                <w:szCs w:val="20"/>
                <w:color w:val="auto"/>
              </w:rPr>
            </w:pPr>
            <w:r>
              <w:rPr>
                <w:rFonts w:ascii="Arial" w:cs="Arial" w:eastAsia="Arial" w:hAnsi="Arial"/>
                <w:sz w:val="17"/>
                <w:szCs w:val="17"/>
                <w:color w:val="auto"/>
              </w:rPr>
              <w:t xml:space="preserve">Operating income </w:t>
            </w:r>
            <w:r>
              <w:rPr>
                <w:rFonts w:ascii="Arial" w:cs="Arial" w:eastAsia="Arial" w:hAnsi="Arial"/>
                <w:sz w:val="27"/>
                <w:szCs w:val="27"/>
                <w:color w:val="auto"/>
                <w:vertAlign w:val="superscript"/>
              </w:rPr>
              <w:t>(1)</w:t>
            </w:r>
          </w:p>
        </w:tc>
        <w:tc>
          <w:tcPr>
            <w:tcW w:w="1100" w:type="dxa"/>
            <w:vAlign w:val="bottom"/>
          </w:tcPr>
          <w:p>
            <w:pPr>
              <w:jc w:val="right"/>
              <w:spacing w:after="0"/>
              <w:rPr>
                <w:sz w:val="20"/>
                <w:szCs w:val="20"/>
                <w:color w:val="auto"/>
              </w:rPr>
            </w:pPr>
            <w:r>
              <w:rPr>
                <w:rFonts w:ascii="Arial" w:cs="Arial" w:eastAsia="Arial" w:hAnsi="Arial"/>
                <w:sz w:val="18"/>
                <w:szCs w:val="18"/>
                <w:color w:val="auto"/>
              </w:rPr>
              <w:t>3,395,358</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3,508,447</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3,477,840</w:t>
            </w:r>
          </w:p>
        </w:tc>
        <w:tc>
          <w:tcPr>
            <w:tcW w:w="280" w:type="dxa"/>
            <w:vAlign w:val="bottom"/>
          </w:tcPr>
          <w:p>
            <w:pPr>
              <w:spacing w:after="0"/>
              <w:rPr>
                <w:sz w:val="20"/>
                <w:szCs w:val="20"/>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348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30"/>
                <w:szCs w:val="30"/>
                <w:color w:val="auto"/>
                <w:vertAlign w:val="superscript"/>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1,419,680</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1,589,468</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1,487,967</w:t>
            </w:r>
          </w:p>
        </w:tc>
        <w:tc>
          <w:tcPr>
            <w:tcW w:w="2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line="269" w:lineRule="exact"/>
              <w:rPr>
                <w:sz w:val="20"/>
                <w:szCs w:val="20"/>
                <w:color w:val="auto"/>
              </w:rPr>
            </w:pPr>
            <w:r>
              <w:rPr>
                <w:rFonts w:ascii="Arial" w:cs="Arial" w:eastAsia="Arial" w:hAnsi="Arial"/>
                <w:sz w:val="18"/>
                <w:szCs w:val="18"/>
                <w:b w:val="1"/>
                <w:bCs w:val="1"/>
                <w:color w:val="auto"/>
              </w:rPr>
              <w:t xml:space="preserve">Reported efficiency ratio </w:t>
            </w:r>
            <w:r>
              <w:rPr>
                <w:rFonts w:ascii="Arial" w:cs="Arial" w:eastAsia="Arial" w:hAnsi="Arial"/>
                <w:sz w:val="30"/>
                <w:szCs w:val="30"/>
                <w:b w:val="1"/>
                <w:bCs w:val="1"/>
                <w:color w:val="auto"/>
                <w:vertAlign w:val="superscript"/>
              </w:rPr>
              <w:t>(3)</w:t>
            </w: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gridSpan w:val="2"/>
            <w:vMerge w:val="continue"/>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41.8%</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45.3%</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42.8%</w:t>
            </w:r>
          </w:p>
        </w:tc>
        <w:tc>
          <w:tcPr>
            <w:tcW w:w="168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-250 bps</w:t>
            </w:r>
          </w:p>
        </w:tc>
        <w:tc>
          <w:tcPr>
            <w:tcW w:w="9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100 bps</w:t>
            </w:r>
          </w:p>
        </w:tc>
        <w:tc>
          <w:tcPr>
            <w:tcW w:w="0" w:type="dxa"/>
            <w:vAlign w:val="bottom"/>
          </w:tcPr>
          <w:p>
            <w:pPr>
              <w:spacing w:after="0"/>
              <w:rPr>
                <w:sz w:val="1"/>
                <w:szCs w:val="1"/>
                <w:color w:val="auto"/>
              </w:rPr>
            </w:pPr>
          </w:p>
        </w:tc>
      </w:tr>
      <w:tr>
        <w:trPr>
          <w:trHeight w:val="20"/>
        </w:trPr>
        <w:tc>
          <w:tcPr>
            <w:tcW w:w="3480" w:type="dxa"/>
            <w:vAlign w:val="bottom"/>
            <w:gridSpan w:val="2"/>
            <w:vMerge w:val="restart"/>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5"/>
              </w:rPr>
              <w:t>Operating expenses / Total average assets</w:t>
            </w: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480" w:type="dxa"/>
            <w:vAlign w:val="bottom"/>
            <w:gridSpan w:val="2"/>
            <w:vMerge w:val="continue"/>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3.60%</w:t>
            </w:r>
          </w:p>
        </w:tc>
        <w:tc>
          <w:tcPr>
            <w:tcW w:w="13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3.80%</w:t>
            </w:r>
          </w:p>
        </w:tc>
        <w:tc>
          <w:tcPr>
            <w:tcW w:w="14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3.50%</w:t>
            </w:r>
          </w:p>
        </w:tc>
        <w:tc>
          <w:tcPr>
            <w:tcW w:w="1680" w:type="dxa"/>
            <w:vAlign w:val="bottom"/>
            <w:gridSpan w:val="3"/>
            <w:vMerge w:val="restart"/>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-30 bps</w:t>
            </w:r>
          </w:p>
        </w:tc>
        <w:tc>
          <w:tcPr>
            <w:tcW w:w="960" w:type="dxa"/>
            <w:vAlign w:val="bottom"/>
            <w:gridSpan w:val="2"/>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 bps</w:t>
            </w:r>
          </w:p>
        </w:tc>
        <w:tc>
          <w:tcPr>
            <w:tcW w:w="0" w:type="dxa"/>
            <w:vAlign w:val="bottom"/>
          </w:tcPr>
          <w:p>
            <w:pPr>
              <w:spacing w:after="0"/>
              <w:rPr>
                <w:sz w:val="1"/>
                <w:szCs w:val="1"/>
                <w:color w:val="auto"/>
              </w:rPr>
            </w:pPr>
          </w:p>
        </w:tc>
      </w:tr>
      <w:tr>
        <w:trPr>
          <w:trHeight w:val="231"/>
        </w:trPr>
        <w:tc>
          <w:tcPr>
            <w:tcW w:w="33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(4)</w:t>
            </w:r>
          </w:p>
        </w:tc>
        <w:tc>
          <w:tcPr>
            <w:tcW w:w="100" w:type="dxa"/>
            <w:vAlign w:val="bottom"/>
            <w:shd w:val="clear" w:color="auto" w:fill="CCEEFF"/>
          </w:tcPr>
          <w:p>
            <w:pPr>
              <w:spacing w:after="0"/>
              <w:rPr>
                <w:sz w:val="20"/>
                <w:szCs w:val="20"/>
                <w:color w:val="auto"/>
              </w:rPr>
            </w:pPr>
          </w:p>
        </w:tc>
        <w:tc>
          <w:tcPr>
            <w:tcW w:w="1380" w:type="dxa"/>
            <w:vAlign w:val="bottom"/>
            <w:gridSpan w:val="2"/>
            <w:vMerge w:val="continue"/>
            <w:shd w:val="clear" w:color="auto" w:fill="CCEEFF"/>
          </w:tcPr>
          <w:p>
            <w:pPr>
              <w:spacing w:after="0"/>
              <w:rPr>
                <w:sz w:val="20"/>
                <w:szCs w:val="20"/>
                <w:color w:val="auto"/>
              </w:rPr>
            </w:pPr>
          </w:p>
        </w:tc>
        <w:tc>
          <w:tcPr>
            <w:tcW w:w="1380" w:type="dxa"/>
            <w:vAlign w:val="bottom"/>
            <w:gridSpan w:val="2"/>
            <w:vMerge w:val="continue"/>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1680" w:type="dxa"/>
            <w:vAlign w:val="bottom"/>
            <w:gridSpan w:val="3"/>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8"/>
        <w:spacing w:after="0" w:line="258"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Operating income = Net interest income + Fee income + Gain on foreign exchange transactions + Net gain from associates + Net premiums earned + Net gain on derivatives+ Result on exchange difference</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Operating expenses = Total operating expenses + Acquisition cost - Other operating expenses.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Operating expenses / Operating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 Annualized operating currency / Average of Total Assets. Average is calculated with period-beginning and period-ending balances.</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the improvement in operating efficiency was due primarily to a -6.4% reduction in operating expenses, which in turn reflected a contraction in administrative, general and tax expenses which was due to seasonal factors, as we will explain later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offset the negative effect of the slight reduction in operating income due to:</w:t>
      </w:r>
    </w:p>
    <w:p>
      <w:pPr>
        <w:spacing w:after="0" w:line="225" w:lineRule="exact"/>
        <w:rPr>
          <w:sz w:val="20"/>
          <w:szCs w:val="20"/>
          <w:color w:val="auto"/>
        </w:rPr>
      </w:pPr>
    </w:p>
    <w:p>
      <w:pPr>
        <w:ind w:left="880" w:right="20" w:hanging="494"/>
        <w:spacing w:after="0" w:line="277"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decrease of non-financial income, mainly at BCP Stand-alone, due to a contraction in fee income and in gains on foreign exchange transactions (explained in section 5. Non-financial income).</w:t>
      </w:r>
    </w:p>
    <w:p>
      <w:pPr>
        <w:spacing w:after="0" w:line="170" w:lineRule="exact"/>
        <w:rPr>
          <w:rFonts w:ascii="Arial" w:cs="Arial" w:eastAsia="Arial" w:hAnsi="Arial"/>
          <w:sz w:val="18"/>
          <w:szCs w:val="18"/>
          <w:color w:val="auto"/>
        </w:rPr>
      </w:pPr>
    </w:p>
    <w:p>
      <w:pPr>
        <w:ind w:left="880" w:hanging="49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drop in net interest income, as explained in section 4. Net interest income (NII).</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operating efficiency deteriorated due to 4.8% growth in operating expenses in a scenario in which operating income increased only 2.4%. The increase in operating expenses was due primarily to growth in Employee Salaries and Benefits, which was in turn mainly attributable to higher expenses for salaries in BCP Stand-alone and to a lesser extent, to an increase in administrative, general and taxes expenses. Growth in operating income was primarily associated with expansion in both fee income and in net interest income.</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10"/>
          </w:tcPr>
          <w:p>
            <w:pPr>
              <w:jc w:val="right"/>
              <w:ind w:right="280"/>
              <w:spacing w:after="0"/>
              <w:rPr>
                <w:sz w:val="20"/>
                <w:szCs w:val="20"/>
                <w:color w:val="auto"/>
              </w:rPr>
            </w:pPr>
            <w:r>
              <w:rPr>
                <w:rFonts w:ascii="Arial" w:cs="Arial" w:eastAsia="Arial" w:hAnsi="Arial"/>
                <w:sz w:val="18"/>
                <w:szCs w:val="18"/>
                <w:b w:val="1"/>
                <w:bCs w:val="1"/>
                <w:color w:val="auto"/>
                <w:w w:val="89"/>
              </w:rPr>
              <w:t>Credicorp’s administrative and general expenses</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w w:val="91"/>
              </w:rPr>
              <w:t>Administrative and general expenses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3"/>
          </w:tcPr>
          <w:p>
            <w:pPr>
              <w:ind w:left="580"/>
              <w:spacing w:after="0"/>
              <w:rPr>
                <w:sz w:val="20"/>
                <w:szCs w:val="20"/>
                <w:color w:val="auto"/>
              </w:rPr>
            </w:pPr>
            <w:r>
              <w:rPr>
                <w:rFonts w:ascii="Arial" w:cs="Arial" w:eastAsia="Arial" w:hAnsi="Arial"/>
                <w:sz w:val="18"/>
                <w:szCs w:val="18"/>
                <w:b w:val="1"/>
                <w:bCs w:val="1"/>
                <w:color w:val="auto"/>
                <w:w w:val="98"/>
              </w:rPr>
              <w:t>Quarter</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 change</w:t>
            </w:r>
          </w:p>
        </w:tc>
      </w:tr>
      <w:tr>
        <w:trPr>
          <w:trHeight w:val="271"/>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jc w:val="right"/>
              <w:spacing w:after="0" w:line="271" w:lineRule="exact"/>
              <w:rPr>
                <w:sz w:val="20"/>
                <w:szCs w:val="20"/>
                <w:color w:val="auto"/>
              </w:rPr>
            </w:pPr>
            <w:r>
              <w:rPr>
                <w:rFonts w:ascii="Arial" w:cs="Arial" w:eastAsia="Arial" w:hAnsi="Arial"/>
                <w:sz w:val="18"/>
                <w:szCs w:val="18"/>
                <w:b w:val="1"/>
                <w:bCs w:val="1"/>
                <w:color w:val="auto"/>
                <w:w w:val="95"/>
              </w:rPr>
              <w:t xml:space="preserve">1Q17 </w:t>
            </w:r>
            <w:r>
              <w:rPr>
                <w:rFonts w:ascii="Arial" w:cs="Arial" w:eastAsia="Arial" w:hAnsi="Arial"/>
                <w:sz w:val="30"/>
                <w:szCs w:val="30"/>
                <w:b w:val="1"/>
                <w:bCs w:val="1"/>
                <w:color w:val="auto"/>
                <w:w w:val="95"/>
                <w:vertAlign w:val="superscript"/>
              </w:rPr>
              <w:t>(1)</w:t>
            </w: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jc w:val="right"/>
              <w:spacing w:after="0" w:line="271" w:lineRule="exact"/>
              <w:rPr>
                <w:sz w:val="20"/>
                <w:szCs w:val="20"/>
                <w:color w:val="auto"/>
              </w:rPr>
            </w:pPr>
            <w:r>
              <w:rPr>
                <w:rFonts w:ascii="Arial" w:cs="Arial" w:eastAsia="Arial" w:hAnsi="Arial"/>
                <w:sz w:val="18"/>
                <w:szCs w:val="18"/>
                <w:b w:val="1"/>
                <w:bCs w:val="1"/>
                <w:color w:val="auto"/>
                <w:w w:val="97"/>
              </w:rPr>
              <w:t xml:space="preserve">4Q17 </w:t>
            </w:r>
            <w:r>
              <w:rPr>
                <w:rFonts w:ascii="Arial" w:cs="Arial" w:eastAsia="Arial" w:hAnsi="Arial"/>
                <w:sz w:val="30"/>
                <w:szCs w:val="30"/>
                <w:b w:val="1"/>
                <w:bCs w:val="1"/>
                <w:color w:val="auto"/>
                <w:w w:val="97"/>
                <w:vertAlign w:val="superscript"/>
              </w:rPr>
              <w:t>(1)</w:t>
            </w:r>
          </w:p>
        </w:tc>
        <w:tc>
          <w:tcPr>
            <w:tcW w:w="1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1Q18</w:t>
            </w:r>
          </w:p>
        </w:tc>
        <w:tc>
          <w:tcPr>
            <w:tcW w:w="2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tcPr>
          <w:p>
            <w:pPr>
              <w:spacing w:after="0"/>
              <w:rPr>
                <w:sz w:val="23"/>
                <w:szCs w:val="23"/>
                <w:color w:val="auto"/>
              </w:rPr>
            </w:pP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Taxes and contributions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51,394</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11%</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61,020</w:t>
            </w:r>
          </w:p>
        </w:tc>
        <w:tc>
          <w:tcPr>
            <w:tcW w:w="2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56,247</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Insfrastructure</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61,398</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70,427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61,586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Minor expenses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55,635</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11%</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70,262</w:t>
            </w:r>
          </w:p>
        </w:tc>
        <w:tc>
          <w:tcPr>
            <w:tcW w:w="2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36,258</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-48.4%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Systems outsourcing</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55,387</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51,016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50,835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Programs and systems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55,457</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11%</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69,640</w:t>
            </w:r>
          </w:p>
        </w:tc>
        <w:tc>
          <w:tcPr>
            <w:tcW w:w="2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58,808</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19,140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24,742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19,249</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Rent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43,977</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44,333</w:t>
            </w:r>
          </w:p>
        </w:tc>
        <w:tc>
          <w:tcPr>
            <w:tcW w:w="2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43,477</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Consulting</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31,244</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52,666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29,473</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Channels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44,894</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59,470</w:t>
            </w:r>
          </w:p>
        </w:tc>
        <w:tc>
          <w:tcPr>
            <w:tcW w:w="2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47,801</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270"/>
        </w:trPr>
        <w:tc>
          <w:tcPr>
            <w:tcW w:w="29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30"/>
                <w:szCs w:val="30"/>
                <w:color w:val="auto"/>
                <w:vertAlign w:val="superscript"/>
              </w:rPr>
              <w:t>(2)</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12,646</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10,143</w:t>
            </w:r>
          </w:p>
        </w:tc>
        <w:tc>
          <w:tcPr>
            <w:tcW w:w="2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28,834</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128.0%</w:t>
            </w:r>
          </w:p>
        </w:tc>
      </w:tr>
      <w:tr>
        <w:trPr>
          <w:trHeight w:val="178"/>
        </w:trPr>
        <w:tc>
          <w:tcPr>
            <w:tcW w:w="292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Total administrative and general</w:t>
            </w: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48"/>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488,466</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100%</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601,846</w:t>
            </w:r>
          </w:p>
        </w:tc>
        <w:tc>
          <w:tcPr>
            <w:tcW w:w="24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496,375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-17.5%</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w:t>
            </w:r>
          </w:p>
        </w:tc>
      </w:tr>
      <w:tr>
        <w:trPr>
          <w:trHeight w:val="20"/>
        </w:trPr>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Others include ASB, BCP Bolivia, Grupo Credito and eliminations for consolidation.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QoQ</w:t>
      </w:r>
      <w:r>
        <w:rPr>
          <w:rFonts w:ascii="Arial" w:cs="Arial" w:eastAsia="Arial" w:hAnsi="Arial"/>
          <w:sz w:val="18"/>
          <w:szCs w:val="18"/>
          <w:color w:val="auto"/>
        </w:rPr>
        <w:t xml:space="preserve"> decrease in administrative and general expenses was due to:</w:t>
      </w:r>
    </w:p>
    <w:p>
      <w:pPr>
        <w:spacing w:after="0" w:line="225" w:lineRule="exact"/>
        <w:rPr>
          <w:sz w:val="20"/>
          <w:szCs w:val="20"/>
          <w:color w:val="auto"/>
        </w:rPr>
      </w:pPr>
    </w:p>
    <w:p>
      <w:pPr>
        <w:ind w:left="880" w:hanging="49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drop in </w:t>
      </w:r>
      <w:r>
        <w:rPr>
          <w:rFonts w:ascii="Arial" w:cs="Arial" w:eastAsia="Arial" w:hAnsi="Arial"/>
          <w:sz w:val="18"/>
          <w:szCs w:val="18"/>
          <w:b w:val="1"/>
          <w:bCs w:val="1"/>
          <w:color w:val="auto"/>
        </w:rPr>
        <w:t>Minor expenses</w:t>
      </w:r>
      <w:r>
        <w:rPr>
          <w:rFonts w:ascii="Arial" w:cs="Arial" w:eastAsia="Arial" w:hAnsi="Arial"/>
          <w:sz w:val="18"/>
          <w:szCs w:val="18"/>
          <w:color w:val="auto"/>
        </w:rPr>
        <w:t>, mainly at BCP Stand-alone, associated with lower expenses for insurance.</w:t>
      </w:r>
    </w:p>
    <w:p>
      <w:pPr>
        <w:spacing w:after="0" w:line="225" w:lineRule="exact"/>
        <w:rPr>
          <w:rFonts w:ascii="Arial" w:cs="Arial" w:eastAsia="Arial" w:hAnsi="Arial"/>
          <w:sz w:val="18"/>
          <w:szCs w:val="18"/>
          <w:color w:val="auto"/>
        </w:rPr>
      </w:pPr>
    </w:p>
    <w:p>
      <w:pPr>
        <w:ind w:left="880" w:right="20" w:hanging="494"/>
        <w:spacing w:after="0" w:line="282"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decrease in expenses for </w:t>
      </w:r>
      <w:r>
        <w:rPr>
          <w:rFonts w:ascii="Arial" w:cs="Arial" w:eastAsia="Arial" w:hAnsi="Arial"/>
          <w:sz w:val="18"/>
          <w:szCs w:val="18"/>
          <w:b w:val="1"/>
          <w:bCs w:val="1"/>
          <w:color w:val="auto"/>
        </w:rPr>
        <w:t>Marketing,</w:t>
      </w:r>
      <w:r>
        <w:rPr>
          <w:rFonts w:ascii="Arial" w:cs="Arial" w:eastAsia="Arial" w:hAnsi="Arial"/>
          <w:sz w:val="18"/>
          <w:szCs w:val="18"/>
          <w:color w:val="auto"/>
        </w:rPr>
        <w:t xml:space="preserve"> given that every 4Q is affected by seasonal factors that register the impact of expenses for end-of-year campaigns for products and services at BCP Stand-alone.</w:t>
      </w:r>
    </w:p>
    <w:p>
      <w:pPr>
        <w:spacing w:after="0" w:line="161" w:lineRule="exact"/>
        <w:rPr>
          <w:rFonts w:ascii="Arial" w:cs="Arial" w:eastAsia="Arial" w:hAnsi="Arial"/>
          <w:sz w:val="18"/>
          <w:szCs w:val="18"/>
          <w:color w:val="auto"/>
        </w:rPr>
      </w:pPr>
    </w:p>
    <w:p>
      <w:pPr>
        <w:jc w:val="both"/>
        <w:ind w:left="880" w:hanging="494"/>
        <w:spacing w:after="0" w:line="26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Consultants</w:t>
      </w:r>
      <w:r>
        <w:rPr>
          <w:rFonts w:ascii="Arial" w:cs="Arial" w:eastAsia="Arial" w:hAnsi="Arial"/>
          <w:sz w:val="18"/>
          <w:szCs w:val="18"/>
          <w:color w:val="auto"/>
        </w:rPr>
        <w:t>, due to higher expenses in this account in 4Q17, particularly at BCP Stand-alone, due to the digital innovation and cultural</w:t>
      </w:r>
      <w:r>
        <w:rPr>
          <w:rFonts w:ascii="Arial" w:cs="Arial" w:eastAsia="Arial" w:hAnsi="Arial"/>
          <w:sz w:val="18"/>
          <w:szCs w:val="18"/>
          <w:b w:val="1"/>
          <w:bCs w:val="1"/>
          <w:color w:val="auto"/>
        </w:rPr>
        <w:t xml:space="preserve"> </w:t>
      </w:r>
      <w:r>
        <w:rPr>
          <w:rFonts w:ascii="Arial" w:cs="Arial" w:eastAsia="Arial" w:hAnsi="Arial"/>
          <w:sz w:val="18"/>
          <w:szCs w:val="18"/>
          <w:color w:val="auto"/>
        </w:rPr>
        <w:t>transformation projects. The aforementioned offset the increase posted by Mibanco for this account after the bank hired consultancy services for Effective Management.</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administrative and general expenses grew 1.6%, mainly due to an increase in eliminations following the consolidation of Pacifico of BCP Stand-alone and to a lesser extent, to an increase in marketing expenses. The aforementioned was slightly offset by a drop in minor expenses, particularly at Pacifico due to the elimination of transfer costs between EPS and Pacifico Vida and to lower expenses on insurance at BCP Stand-alone given that in 1Q17, a policy for unfortunate events to cover expenses for card cloning was assumed, generating additional costs to aggregate the effect to December 2016.</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7.1 Operating Expenses / Total Average Assets Ratio</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i w:val="1"/>
          <w:iCs w:val="1"/>
          <w:color w:val="auto"/>
        </w:rPr>
        <w:t>The ratio for operating expenses/average total assets fell QoQ and YoY. The QoQ reduction was due to the seasonal impacts on operating expenses that were outlined above. The annual analysis reveals an improvement in the ratio given that the increase in total average assets was greater than growth in expenses.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 / Total Average Assets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154940</wp:posOffset>
            </wp:positionV>
            <wp:extent cx="3704590" cy="17583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704590"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following graph shows the evolution of the variation in operating expenses versus total average assets for the last 4 years. It is important to note that the improvements obtained compared to 2014 were attributable mainly to on-going and adequate management of operating expenses in an environment marked by low growth in assets and in loans, in particular in 2016 and 2017, as is evident in the figure below.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QoQ % of Change QoQ of Operating Expenses and Total Average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154305</wp:posOffset>
            </wp:positionV>
            <wp:extent cx="4081780" cy="18783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08178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r>
              <w:rPr>
                <w:rFonts w:ascii="Arial" w:cs="Arial" w:eastAsia="Arial" w:hAnsi="Arial"/>
                <w:sz w:val="18"/>
                <w:szCs w:val="18"/>
                <w:b w:val="1"/>
                <w:bCs w:val="1"/>
                <w:color w:val="auto"/>
              </w:rPr>
              <w:t>7.2 Efficiency Ratio</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gridSpan w:val="7"/>
          </w:tcPr>
          <w:p>
            <w:pPr>
              <w:jc w:val="right"/>
              <w:ind w:right="1140"/>
              <w:spacing w:after="0"/>
              <w:rPr>
                <w:sz w:val="20"/>
                <w:szCs w:val="20"/>
                <w:color w:val="auto"/>
              </w:rPr>
            </w:pPr>
            <w:r>
              <w:rPr>
                <w:rFonts w:ascii="Arial" w:cs="Arial" w:eastAsia="Arial" w:hAnsi="Arial"/>
                <w:sz w:val="18"/>
                <w:szCs w:val="18"/>
                <w:b w:val="1"/>
                <w:bCs w:val="1"/>
                <w:color w:val="auto"/>
                <w:w w:val="90"/>
              </w:rPr>
              <w:t xml:space="preserve">Efficiency Ratio by Subsidiary </w:t>
            </w:r>
            <w:r>
              <w:rPr>
                <w:rFonts w:ascii="Arial" w:cs="Arial" w:eastAsia="Arial" w:hAnsi="Arial"/>
                <w:sz w:val="30"/>
                <w:szCs w:val="30"/>
                <w:b w:val="1"/>
                <w:bCs w:val="1"/>
                <w:color w:val="auto"/>
                <w:w w:val="90"/>
                <w:vertAlign w:val="superscript"/>
              </w:rPr>
              <w:t>(1)</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Credicorp</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BCP Stand-alone</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Mibanco</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7"/>
              </w:rPr>
              <w:t>BCP Bolivia</w:t>
            </w:r>
          </w:p>
        </w:tc>
        <w:tc>
          <w:tcPr>
            <w:tcW w:w="1080" w:type="dxa"/>
            <w:vAlign w:val="bottom"/>
            <w:gridSpan w:val="2"/>
          </w:tcPr>
          <w:p>
            <w:pPr>
              <w:ind w:left="240"/>
              <w:spacing w:after="0"/>
              <w:rPr>
                <w:sz w:val="20"/>
                <w:szCs w:val="20"/>
                <w:color w:val="auto"/>
              </w:rPr>
            </w:pPr>
            <w:r>
              <w:rPr>
                <w:rFonts w:ascii="Arial" w:cs="Arial" w:eastAsia="Arial" w:hAnsi="Arial"/>
                <w:sz w:val="18"/>
                <w:szCs w:val="18"/>
                <w:b w:val="1"/>
                <w:bCs w:val="1"/>
                <w:color w:val="auto"/>
              </w:rPr>
              <w:t>ASB</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Grupo Pacifico</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Prima</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Capital</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6"/>
              </w:rPr>
              <w:t>Credicorp</w:t>
            </w:r>
          </w:p>
        </w:tc>
        <w:tc>
          <w:tcPr>
            <w:tcW w:w="0" w:type="dxa"/>
            <w:vAlign w:val="bottom"/>
          </w:tcPr>
          <w:p>
            <w:pPr>
              <w:spacing w:after="0"/>
              <w:rPr>
                <w:sz w:val="1"/>
                <w:szCs w:val="1"/>
                <w:color w:val="auto"/>
              </w:rPr>
            </w:pPr>
          </w:p>
        </w:tc>
      </w:tr>
      <w:tr>
        <w:trPr>
          <w:trHeight w:val="20"/>
        </w:trPr>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1Q17</w:t>
            </w:r>
          </w:p>
        </w:tc>
        <w:tc>
          <w:tcPr>
            <w:tcW w:w="10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w:t>
            </w:r>
          </w:p>
        </w:tc>
        <w:tc>
          <w:tcPr>
            <w:tcW w:w="8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5"/>
              </w:rPr>
              <w:t>4Q17</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44.7%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45.2%</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64.1%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104.8%</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1Q18</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0"/>
        </w:trPr>
        <w:tc>
          <w:tcPr>
            <w:tcW w:w="16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b w:val="1"/>
                <w:bCs w:val="1"/>
                <w:color w:val="auto"/>
                <w:w w:val="92"/>
              </w:rPr>
              <w:t>Var. QoQ</w:t>
            </w:r>
          </w:p>
        </w:tc>
        <w:tc>
          <w:tcPr>
            <w:tcW w:w="10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 bps</w:t>
            </w:r>
          </w:p>
        </w:tc>
        <w:tc>
          <w:tcPr>
            <w:tcW w:w="2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 bps</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 bps</w:t>
            </w:r>
          </w:p>
        </w:tc>
        <w:tc>
          <w:tcPr>
            <w:tcW w:w="2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w w:val="83"/>
              </w:rPr>
              <w:t>140 bps</w:t>
            </w:r>
          </w:p>
        </w:tc>
        <w:tc>
          <w:tcPr>
            <w:tcW w:w="26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 bps</w:t>
            </w:r>
          </w:p>
        </w:tc>
        <w:tc>
          <w:tcPr>
            <w:tcW w:w="2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 bps</w:t>
            </w:r>
          </w:p>
        </w:tc>
        <w:tc>
          <w:tcPr>
            <w:tcW w:w="2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380 bps</w:t>
            </w:r>
          </w:p>
        </w:tc>
        <w:tc>
          <w:tcPr>
            <w:tcW w:w="2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 bps</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Var. YoY</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 bps</w:t>
            </w:r>
          </w:p>
        </w:tc>
        <w:tc>
          <w:tcPr>
            <w:tcW w:w="2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-590 bps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640 bps</w:t>
            </w:r>
          </w:p>
        </w:tc>
        <w:tc>
          <w:tcPr>
            <w:tcW w:w="2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b w:val="1"/>
                <w:bCs w:val="1"/>
                <w:color w:val="auto"/>
                <w:w w:val="83"/>
              </w:rPr>
              <w:t>130 bps</w:t>
            </w:r>
          </w:p>
        </w:tc>
        <w:tc>
          <w:tcPr>
            <w:tcW w:w="2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430 bps</w:t>
            </w:r>
          </w:p>
        </w:tc>
        <w:tc>
          <w:tcPr>
            <w:tcW w:w="2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610 bps</w:t>
            </w:r>
          </w:p>
        </w:tc>
        <w:tc>
          <w:tcPr>
            <w:tcW w:w="2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 bps</w:t>
            </w:r>
          </w:p>
        </w:tc>
        <w:tc>
          <w:tcPr>
            <w:tcW w:w="2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 bps</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40" w:right="440" w:hanging="4"/>
        <w:spacing w:after="0" w:line="277" w:lineRule="auto"/>
        <w:tabs>
          <w:tab w:leader="none" w:pos="3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Operating income + acquisition cost - other expenses) / (Net interest income + fee income + Net gain on foreign exchange transactions + Result on exchange difference + Net gain on derivates + Net gain from associates + Net earned premiums).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analysis of the efficiency ratio by subsidiary shows that the improvement of +250 bps at Credicorp level was attributable primarily to BCP Stand-alone and was due, in large part, to a seasonal effect that is present every 4Q (described in the previous section) and to a lesser degree, to a decrease in the efficiency ratio at Prima AFP. The aforementioned offset the deterioration in operating efficiency at Mibanco.</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 is important to note that Mibanco has improved its efficiency ratio every quarter since 1Q17. This reflects on-going control of operating expenses and a significant improvement in income generation. The deterioration in efficiency this quarter was due primarily to an increase in operating expenses for the implementation of the Effective Management project, which seeks to improve processes at the branch level to increase productivity.</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YoY analysis, Credicorp’s efficiency ratio rose +100 bps. This growth was mainly attributable to a +100-bps increase at BCP Stand-alone and to a lesser extent, to the increases posted by other subsidiaries, with the notable exception of Mibanco, which reported a significant improvement of -590 bps.</w:t>
      </w:r>
    </w:p>
    <w:p>
      <w:pPr>
        <w:spacing w:after="0" w:line="34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8.</w:t>
            </w:r>
          </w:p>
        </w:tc>
        <w:tc>
          <w:tcPr>
            <w:tcW w:w="5000" w:type="dxa"/>
            <w:vAlign w:val="bottom"/>
            <w:gridSpan w:val="2"/>
          </w:tcPr>
          <w:p>
            <w:pPr>
              <w:ind w:left="60"/>
              <w:spacing w:after="0"/>
              <w:rPr>
                <w:sz w:val="20"/>
                <w:szCs w:val="20"/>
                <w:color w:val="auto"/>
              </w:rPr>
            </w:pPr>
            <w:r>
              <w:rPr>
                <w:rFonts w:ascii="Arial" w:cs="Arial" w:eastAsia="Arial" w:hAnsi="Arial"/>
                <w:sz w:val="18"/>
                <w:szCs w:val="18"/>
                <w:b w:val="1"/>
                <w:bCs w:val="1"/>
                <w:color w:val="auto"/>
              </w:rPr>
              <w:t>Regulatory Capital</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8.1</w:t>
            </w:r>
          </w:p>
        </w:tc>
        <w:tc>
          <w:tcPr>
            <w:tcW w:w="5000" w:type="dxa"/>
            <w:vAlign w:val="bottom"/>
            <w:gridSpan w:val="2"/>
          </w:tcPr>
          <w:p>
            <w:pPr>
              <w:ind w:left="60"/>
              <w:spacing w:after="0"/>
              <w:rPr>
                <w:sz w:val="20"/>
                <w:szCs w:val="20"/>
                <w:color w:val="auto"/>
              </w:rPr>
            </w:pPr>
            <w:r>
              <w:rPr>
                <w:rFonts w:ascii="Arial" w:cs="Arial" w:eastAsia="Arial" w:hAnsi="Arial"/>
                <w:sz w:val="18"/>
                <w:szCs w:val="18"/>
                <w:b w:val="1"/>
                <w:bCs w:val="1"/>
                <w:color w:val="auto"/>
              </w:rPr>
              <w:t>Regulatory Capital – BAP</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280" w:type="dxa"/>
            <w:vAlign w:val="bottom"/>
            <w:gridSpan w:val="4"/>
          </w:tcPr>
          <w:p>
            <w:pPr>
              <w:spacing w:after="0"/>
              <w:rPr>
                <w:sz w:val="20"/>
                <w:szCs w:val="20"/>
                <w:color w:val="auto"/>
              </w:rPr>
            </w:pPr>
            <w:r>
              <w:rPr>
                <w:rFonts w:ascii="Arial" w:cs="Arial" w:eastAsia="Arial" w:hAnsi="Arial"/>
                <w:sz w:val="14"/>
                <w:szCs w:val="14"/>
                <w:b w:val="1"/>
                <w:bCs w:val="1"/>
                <w:color w:val="auto"/>
              </w:rPr>
              <w:t>Regulatory Capital and Capital Adequacy Ratios</w:t>
            </w:r>
          </w:p>
        </w:tc>
        <w:tc>
          <w:tcPr>
            <w:tcW w:w="1540" w:type="dxa"/>
            <w:vAlign w:val="bottom"/>
            <w:gridSpan w:val="3"/>
          </w:tcPr>
          <w:p>
            <w:pPr>
              <w:ind w:left="720"/>
              <w:spacing w:after="0"/>
              <w:rPr>
                <w:sz w:val="20"/>
                <w:szCs w:val="20"/>
                <w:color w:val="auto"/>
              </w:rPr>
            </w:pPr>
            <w:r>
              <w:rPr>
                <w:rFonts w:ascii="Arial" w:cs="Arial" w:eastAsia="Arial" w:hAnsi="Arial"/>
                <w:sz w:val="14"/>
                <w:szCs w:val="14"/>
                <w:b w:val="1"/>
                <w:bCs w:val="1"/>
                <w:color w:val="auto"/>
                <w:w w:val="88"/>
              </w:rPr>
              <w:t>Balance as of</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gridSpan w:val="4"/>
          </w:tcPr>
          <w:p>
            <w:pPr>
              <w:jc w:val="right"/>
              <w:ind w:right="8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280" w:type="dxa"/>
            <w:vAlign w:val="bottom"/>
            <w:gridSpan w:val="4"/>
          </w:tcPr>
          <w:p>
            <w:pPr>
              <w:spacing w:after="0"/>
              <w:rPr>
                <w:sz w:val="20"/>
                <w:szCs w:val="20"/>
                <w:color w:val="auto"/>
              </w:rPr>
            </w:pPr>
            <w:r>
              <w:rPr>
                <w:rFonts w:ascii="Arial" w:cs="Arial" w:eastAsia="Arial" w:hAnsi="Arial"/>
                <w:sz w:val="14"/>
                <w:szCs w:val="14"/>
                <w:b w:val="1"/>
                <w:bCs w:val="1"/>
                <w:color w:val="auto"/>
              </w:rPr>
              <w:t>S/ 000</w:t>
            </w:r>
          </w:p>
        </w:tc>
        <w:tc>
          <w:tcPr>
            <w:tcW w:w="1540" w:type="dxa"/>
            <w:vAlign w:val="bottom"/>
            <w:gridSpan w:val="3"/>
          </w:tcPr>
          <w:p>
            <w:pPr>
              <w:ind w:left="280"/>
              <w:spacing w:after="0"/>
              <w:rPr>
                <w:sz w:val="20"/>
                <w:szCs w:val="20"/>
                <w:color w:val="auto"/>
              </w:rPr>
            </w:pPr>
            <w:r>
              <w:rPr>
                <w:rFonts w:ascii="Arial" w:cs="Arial" w:eastAsia="Arial" w:hAnsi="Arial"/>
                <w:sz w:val="14"/>
                <w:szCs w:val="14"/>
                <w:b w:val="1"/>
                <w:bCs w:val="1"/>
                <w:color w:val="auto"/>
              </w:rPr>
              <w:t>Mar 17</w:t>
            </w: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8"/>
              </w:rPr>
              <w:t>Dec 17</w:t>
            </w: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 18</w:t>
            </w:r>
          </w:p>
        </w:tc>
        <w:tc>
          <w:tcPr>
            <w:tcW w:w="12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w w:val="96"/>
              </w:rPr>
              <w:t>Mar 18 / Dec 17</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99"/>
              </w:rPr>
              <w:t>Mar 18 / Mar 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Capital Stock</w:t>
            </w:r>
          </w:p>
        </w:tc>
        <w:tc>
          <w:tcPr>
            <w:tcW w:w="120" w:type="dxa"/>
            <w:vAlign w:val="bottom"/>
            <w:vMerge w:val="continue"/>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1,318,993</w:t>
            </w:r>
          </w:p>
        </w:tc>
        <w:tc>
          <w:tcPr>
            <w:tcW w:w="220" w:type="dxa"/>
            <w:vAlign w:val="bottom"/>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1,318,993</w:t>
            </w:r>
          </w:p>
        </w:tc>
        <w:tc>
          <w:tcPr>
            <w:tcW w:w="220" w:type="dxa"/>
            <w:vAlign w:val="bottom"/>
            <w:vMerge w:val="continue"/>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1,318,993</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0.0%</w:t>
            </w:r>
          </w:p>
        </w:tc>
        <w:tc>
          <w:tcPr>
            <w:tcW w:w="1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tcPr>
          <w:p>
            <w:pPr>
              <w:spacing w:after="0" w:line="149" w:lineRule="exact"/>
              <w:rPr>
                <w:sz w:val="20"/>
                <w:szCs w:val="20"/>
                <w:color w:val="auto"/>
              </w:rPr>
            </w:pPr>
            <w:r>
              <w:rPr>
                <w:rFonts w:ascii="Arial" w:cs="Arial" w:eastAsia="Arial" w:hAnsi="Arial"/>
                <w:sz w:val="14"/>
                <w:szCs w:val="14"/>
                <w:color w:val="auto"/>
              </w:rPr>
              <w:t>Treasury Stocks</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(210,563)</w:t>
            </w:r>
          </w:p>
        </w:tc>
        <w:tc>
          <w:tcPr>
            <w:tcW w:w="2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(208,937)</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(210,310)</w:t>
            </w:r>
          </w:p>
        </w:tc>
        <w:tc>
          <w:tcPr>
            <w:tcW w:w="12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0.7%</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Capital Surplus</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229,339</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271,948</w:t>
            </w:r>
          </w:p>
        </w:tc>
        <w:tc>
          <w:tcPr>
            <w:tcW w:w="10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199,996</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-26.5%</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3"/>
          </w:tcPr>
          <w:p>
            <w:pPr>
              <w:spacing w:after="0" w:line="189" w:lineRule="exact"/>
              <w:rPr>
                <w:sz w:val="20"/>
                <w:szCs w:val="20"/>
                <w:color w:val="auto"/>
              </w:rPr>
            </w:pPr>
            <w:r>
              <w:rPr>
                <w:rFonts w:ascii="Arial" w:cs="Arial" w:eastAsia="Arial" w:hAnsi="Arial"/>
                <w:sz w:val="13"/>
                <w:szCs w:val="13"/>
                <w:color w:val="auto"/>
              </w:rPr>
              <w:t xml:space="preserve">Legal and Other capital reserves </w:t>
            </w:r>
            <w:r>
              <w:rPr>
                <w:rFonts w:ascii="Arial" w:cs="Arial" w:eastAsia="Arial" w:hAnsi="Arial"/>
                <w:sz w:val="21"/>
                <w:szCs w:val="21"/>
                <w:color w:val="auto"/>
                <w:vertAlign w:val="superscript"/>
              </w:rPr>
              <w:t>(1)</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15,889,763</w:t>
            </w:r>
          </w:p>
        </w:tc>
        <w:tc>
          <w:tcPr>
            <w:tcW w:w="2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14,647,709</w:t>
            </w:r>
          </w:p>
        </w:tc>
        <w:tc>
          <w:tcPr>
            <w:tcW w:w="1040" w:type="dxa"/>
            <w:vAlign w:val="bottom"/>
          </w:tcPr>
          <w:p>
            <w:pPr>
              <w:jc w:val="right"/>
              <w:spacing w:after="0"/>
              <w:rPr>
                <w:sz w:val="20"/>
                <w:szCs w:val="20"/>
                <w:color w:val="auto"/>
              </w:rPr>
            </w:pPr>
            <w:r>
              <w:rPr>
                <w:rFonts w:ascii="Arial" w:cs="Arial" w:eastAsia="Arial" w:hAnsi="Arial"/>
                <w:sz w:val="14"/>
                <w:szCs w:val="14"/>
                <w:color w:val="auto"/>
              </w:rPr>
              <w:t>17,578,906</w:t>
            </w:r>
          </w:p>
        </w:tc>
        <w:tc>
          <w:tcPr>
            <w:tcW w:w="180" w:type="dxa"/>
            <w:vAlign w:val="bottom"/>
          </w:tcPr>
          <w:p>
            <w:pPr>
              <w:spacing w:after="0"/>
              <w:rPr>
                <w:sz w:val="16"/>
                <w:szCs w:val="16"/>
                <w:color w:val="auto"/>
              </w:rPr>
            </w:pPr>
          </w:p>
        </w:tc>
        <w:tc>
          <w:tcPr>
            <w:tcW w:w="1280" w:type="dxa"/>
            <w:vAlign w:val="bottom"/>
            <w:gridSpan w:val="2"/>
          </w:tcPr>
          <w:p>
            <w:pPr>
              <w:jc w:val="right"/>
              <w:ind w:right="68"/>
              <w:spacing w:after="0"/>
              <w:rPr>
                <w:sz w:val="20"/>
                <w:szCs w:val="20"/>
                <w:color w:val="auto"/>
              </w:rPr>
            </w:pPr>
            <w:r>
              <w:rPr>
                <w:rFonts w:ascii="Arial" w:cs="Arial" w:eastAsia="Arial" w:hAnsi="Arial"/>
                <w:sz w:val="14"/>
                <w:szCs w:val="14"/>
                <w:color w:val="auto"/>
              </w:rPr>
              <w:t>20.0%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 xml:space="preserve">Minority interest </w:t>
            </w:r>
            <w:r>
              <w:rPr>
                <w:rFonts w:ascii="Arial" w:cs="Arial" w:eastAsia="Arial" w:hAnsi="Arial"/>
                <w:sz w:val="21"/>
                <w:szCs w:val="21"/>
                <w:color w:val="auto"/>
                <w:vertAlign w:val="superscript"/>
              </w:rPr>
              <w:t>(2)</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349,667</w:t>
            </w: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348,646</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376,990</w:t>
            </w:r>
          </w:p>
        </w:tc>
        <w:tc>
          <w:tcPr>
            <w:tcW w:w="1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8.1%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3"/>
          </w:tcPr>
          <w:p>
            <w:pPr>
              <w:spacing w:after="0" w:line="189" w:lineRule="exact"/>
              <w:rPr>
                <w:sz w:val="20"/>
                <w:szCs w:val="20"/>
                <w:color w:val="auto"/>
              </w:rPr>
            </w:pPr>
            <w:r>
              <w:rPr>
                <w:rFonts w:ascii="Arial" w:cs="Arial" w:eastAsia="Arial" w:hAnsi="Arial"/>
                <w:sz w:val="13"/>
                <w:szCs w:val="13"/>
                <w:color w:val="auto"/>
              </w:rPr>
              <w:t xml:space="preserve">Loan loss reserves </w:t>
            </w:r>
            <w:r>
              <w:rPr>
                <w:rFonts w:ascii="Arial" w:cs="Arial" w:eastAsia="Arial" w:hAnsi="Arial"/>
                <w:sz w:val="21"/>
                <w:szCs w:val="21"/>
                <w:color w:val="auto"/>
                <w:vertAlign w:val="superscript"/>
              </w:rPr>
              <w:t>(3)</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1,284,453</w:t>
            </w:r>
          </w:p>
        </w:tc>
        <w:tc>
          <w:tcPr>
            <w:tcW w:w="2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1,394,135</w:t>
            </w:r>
          </w:p>
        </w:tc>
        <w:tc>
          <w:tcPr>
            <w:tcW w:w="1040" w:type="dxa"/>
            <w:vAlign w:val="bottom"/>
          </w:tcPr>
          <w:p>
            <w:pPr>
              <w:jc w:val="right"/>
              <w:spacing w:after="0"/>
              <w:rPr>
                <w:sz w:val="20"/>
                <w:szCs w:val="20"/>
                <w:color w:val="auto"/>
              </w:rPr>
            </w:pPr>
            <w:r>
              <w:rPr>
                <w:rFonts w:ascii="Arial" w:cs="Arial" w:eastAsia="Arial" w:hAnsi="Arial"/>
                <w:sz w:val="14"/>
                <w:szCs w:val="14"/>
                <w:color w:val="auto"/>
              </w:rPr>
              <w:t>1,355,885</w:t>
            </w:r>
          </w:p>
        </w:tc>
        <w:tc>
          <w:tcPr>
            <w:tcW w:w="180" w:type="dxa"/>
            <w:vAlign w:val="bottom"/>
          </w:tcPr>
          <w:p>
            <w:pPr>
              <w:spacing w:after="0"/>
              <w:rPr>
                <w:sz w:val="16"/>
                <w:szCs w:val="16"/>
                <w:color w:val="auto"/>
              </w:rPr>
            </w:pPr>
          </w:p>
        </w:tc>
        <w:tc>
          <w:tcPr>
            <w:tcW w:w="1280" w:type="dxa"/>
            <w:vAlign w:val="bottom"/>
            <w:gridSpan w:val="2"/>
          </w:tcPr>
          <w:p>
            <w:pPr>
              <w:jc w:val="right"/>
              <w:ind w:right="68"/>
              <w:spacing w:after="0"/>
              <w:rPr>
                <w:sz w:val="20"/>
                <w:szCs w:val="20"/>
                <w:color w:val="auto"/>
              </w:rPr>
            </w:pPr>
            <w:r>
              <w:rPr>
                <w:rFonts w:ascii="Arial" w:cs="Arial" w:eastAsia="Arial" w:hAnsi="Arial"/>
                <w:sz w:val="14"/>
                <w:szCs w:val="14"/>
                <w:color w:val="auto"/>
              </w:rPr>
              <w:t>-2.7%</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Perpetual subordinated debt</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812,000</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810,250</w:t>
            </w:r>
          </w:p>
        </w:tc>
        <w:tc>
          <w:tcPr>
            <w:tcW w:w="10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806,750</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-0.4%</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tcPr>
          <w:p>
            <w:pPr>
              <w:spacing w:after="0" w:line="149" w:lineRule="exact"/>
              <w:rPr>
                <w:sz w:val="20"/>
                <w:szCs w:val="20"/>
                <w:color w:val="auto"/>
              </w:rPr>
            </w:pPr>
            <w:r>
              <w:rPr>
                <w:rFonts w:ascii="Arial" w:cs="Arial" w:eastAsia="Arial" w:hAnsi="Arial"/>
                <w:sz w:val="14"/>
                <w:szCs w:val="14"/>
                <w:color w:val="auto"/>
              </w:rPr>
              <w:t>Subordinated Debt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4,965,484</w:t>
            </w:r>
          </w:p>
        </w:tc>
        <w:tc>
          <w:tcPr>
            <w:tcW w:w="2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4,439,741</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4,421,708</w:t>
            </w:r>
          </w:p>
        </w:tc>
        <w:tc>
          <w:tcPr>
            <w:tcW w:w="180" w:type="dxa"/>
            <w:vAlign w:val="bottom"/>
          </w:tcPr>
          <w:p>
            <w:pPr>
              <w:spacing w:after="0"/>
              <w:rPr>
                <w:sz w:val="12"/>
                <w:szCs w:val="12"/>
                <w:color w:val="auto"/>
              </w:rPr>
            </w:pPr>
          </w:p>
        </w:tc>
        <w:tc>
          <w:tcPr>
            <w:tcW w:w="12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-0.4%</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Investments in equity and subordinated debt of financial and insurance companies</w:t>
            </w: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(752,488)</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(663,528)</w:t>
            </w: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(613,241)</w:t>
            </w:r>
          </w:p>
        </w:tc>
        <w:tc>
          <w:tcPr>
            <w:tcW w:w="12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-7.6%</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tcPr>
          <w:p>
            <w:pPr>
              <w:spacing w:after="0" w:line="149" w:lineRule="exact"/>
              <w:rPr>
                <w:sz w:val="20"/>
                <w:szCs w:val="20"/>
                <w:color w:val="auto"/>
              </w:rPr>
            </w:pPr>
            <w:r>
              <w:rPr>
                <w:rFonts w:ascii="Arial" w:cs="Arial" w:eastAsia="Arial" w:hAnsi="Arial"/>
                <w:sz w:val="14"/>
                <w:szCs w:val="14"/>
                <w:color w:val="auto"/>
              </w:rPr>
              <w:t>Goodwill</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(636,479)</w:t>
            </w:r>
          </w:p>
        </w:tc>
        <w:tc>
          <w:tcPr>
            <w:tcW w:w="2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(635,975)</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(641,505)</w:t>
            </w:r>
          </w:p>
        </w:tc>
        <w:tc>
          <w:tcPr>
            <w:tcW w:w="12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0.9%</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 xml:space="preserve">Deduction for subordinated debt limit (50% of Tier I excluding deductions) </w:t>
            </w:r>
            <w:r>
              <w:rPr>
                <w:rFonts w:ascii="Arial" w:cs="Arial" w:eastAsia="Arial" w:hAnsi="Arial"/>
                <w:sz w:val="21"/>
                <w:szCs w:val="21"/>
                <w:color w:val="auto"/>
                <w:vertAlign w:val="superscript"/>
              </w:rPr>
              <w:t>(4)</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gridSpan w:val="3"/>
          </w:tcPr>
          <w:p>
            <w:pPr>
              <w:spacing w:after="0" w:line="202" w:lineRule="exact"/>
              <w:rPr>
                <w:sz w:val="20"/>
                <w:szCs w:val="20"/>
                <w:color w:val="auto"/>
              </w:rPr>
            </w:pPr>
            <w:r>
              <w:rPr>
                <w:rFonts w:ascii="Arial" w:cs="Arial" w:eastAsia="Arial" w:hAnsi="Arial"/>
                <w:sz w:val="14"/>
                <w:szCs w:val="14"/>
                <w:color w:val="auto"/>
              </w:rPr>
              <w:t xml:space="preserve">Deduction for Tier I Limit (50% of Regulatory capital) </w:t>
            </w:r>
            <w:r>
              <w:rPr>
                <w:rFonts w:ascii="Arial" w:cs="Arial" w:eastAsia="Arial" w:hAnsi="Arial"/>
                <w:sz w:val="23"/>
                <w:szCs w:val="23"/>
                <w:color w:val="auto"/>
                <w:vertAlign w:val="superscript"/>
              </w:rPr>
              <w:t>(4)</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Regulatory Capital (A)</w:t>
            </w: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23,250,169</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21,722,983</w:t>
            </w:r>
          </w:p>
        </w:tc>
        <w:tc>
          <w:tcPr>
            <w:tcW w:w="2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24,594,173</w:t>
            </w:r>
          </w:p>
        </w:tc>
        <w:tc>
          <w:tcPr>
            <w:tcW w:w="18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13.2</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5.8</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6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 xml:space="preserve">Tier I </w:t>
            </w:r>
            <w:r>
              <w:rPr>
                <w:rFonts w:ascii="Arial" w:cs="Arial" w:eastAsia="Arial" w:hAnsi="Arial"/>
                <w:sz w:val="21"/>
                <w:szCs w:val="21"/>
                <w:color w:val="auto"/>
                <w:vertAlign w:val="superscript"/>
              </w:rPr>
              <w:t>(5)</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12,554,858</w:t>
            </w: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12,644,124</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13,615,257</w:t>
            </w:r>
          </w:p>
        </w:tc>
        <w:tc>
          <w:tcPr>
            <w:tcW w:w="1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7.7%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gridSpan w:val="3"/>
          </w:tcPr>
          <w:p>
            <w:pPr>
              <w:spacing w:after="0" w:line="202" w:lineRule="exact"/>
              <w:rPr>
                <w:sz w:val="20"/>
                <w:szCs w:val="20"/>
                <w:color w:val="auto"/>
              </w:rPr>
            </w:pPr>
            <w:r>
              <w:rPr>
                <w:rFonts w:ascii="Arial" w:cs="Arial" w:eastAsia="Arial" w:hAnsi="Arial"/>
                <w:sz w:val="14"/>
                <w:szCs w:val="14"/>
                <w:color w:val="auto"/>
              </w:rPr>
              <w:t xml:space="preserve">Tier II </w:t>
            </w:r>
            <w:r>
              <w:rPr>
                <w:rFonts w:ascii="Arial" w:cs="Arial" w:eastAsia="Arial" w:hAnsi="Arial"/>
                <w:sz w:val="23"/>
                <w:szCs w:val="23"/>
                <w:color w:val="auto"/>
                <w:vertAlign w:val="superscript"/>
              </w:rPr>
              <w:t>(6)</w:t>
            </w:r>
            <w:r>
              <w:rPr>
                <w:rFonts w:ascii="Arial" w:cs="Arial" w:eastAsia="Arial" w:hAnsi="Arial"/>
                <w:sz w:val="14"/>
                <w:szCs w:val="14"/>
                <w:color w:val="auto"/>
              </w:rPr>
              <w:t xml:space="preserve"> + Tier III </w:t>
            </w:r>
            <w:r>
              <w:rPr>
                <w:rFonts w:ascii="Arial" w:cs="Arial" w:eastAsia="Arial" w:hAnsi="Arial"/>
                <w:sz w:val="23"/>
                <w:szCs w:val="23"/>
                <w:color w:val="auto"/>
                <w:vertAlign w:val="superscript"/>
              </w:rPr>
              <w:t>(7)</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10,695,311</w:t>
            </w:r>
          </w:p>
        </w:tc>
        <w:tc>
          <w:tcPr>
            <w:tcW w:w="2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9,078,858</w:t>
            </w:r>
          </w:p>
        </w:tc>
        <w:tc>
          <w:tcPr>
            <w:tcW w:w="1040" w:type="dxa"/>
            <w:vAlign w:val="bottom"/>
          </w:tcPr>
          <w:p>
            <w:pPr>
              <w:jc w:val="right"/>
              <w:spacing w:after="0"/>
              <w:rPr>
                <w:sz w:val="20"/>
                <w:szCs w:val="20"/>
                <w:color w:val="auto"/>
              </w:rPr>
            </w:pPr>
            <w:r>
              <w:rPr>
                <w:rFonts w:ascii="Arial" w:cs="Arial" w:eastAsia="Arial" w:hAnsi="Arial"/>
                <w:sz w:val="14"/>
                <w:szCs w:val="14"/>
                <w:color w:val="auto"/>
              </w:rPr>
              <w:t>10,978,916</w:t>
            </w:r>
          </w:p>
        </w:tc>
        <w:tc>
          <w:tcPr>
            <w:tcW w:w="180" w:type="dxa"/>
            <w:vAlign w:val="bottom"/>
          </w:tcPr>
          <w:p>
            <w:pPr>
              <w:spacing w:after="0"/>
              <w:rPr>
                <w:sz w:val="17"/>
                <w:szCs w:val="17"/>
                <w:color w:val="auto"/>
              </w:rPr>
            </w:pPr>
          </w:p>
        </w:tc>
        <w:tc>
          <w:tcPr>
            <w:tcW w:w="1280" w:type="dxa"/>
            <w:vAlign w:val="bottom"/>
            <w:gridSpan w:val="2"/>
          </w:tcPr>
          <w:p>
            <w:pPr>
              <w:jc w:val="right"/>
              <w:ind w:right="68"/>
              <w:spacing w:after="0"/>
              <w:rPr>
                <w:sz w:val="20"/>
                <w:szCs w:val="20"/>
                <w:color w:val="auto"/>
              </w:rPr>
            </w:pPr>
            <w:r>
              <w:rPr>
                <w:rFonts w:ascii="Arial" w:cs="Arial" w:eastAsia="Arial" w:hAnsi="Arial"/>
                <w:sz w:val="14"/>
                <w:szCs w:val="14"/>
                <w:color w:val="auto"/>
              </w:rPr>
              <w:t>20.9%</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48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right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3"/>
          </w:tcPr>
          <w:p>
            <w:pPr>
              <w:spacing w:after="0" w:line="149" w:lineRule="exact"/>
              <w:rPr>
                <w:sz w:val="20"/>
                <w:szCs w:val="20"/>
                <w:color w:val="auto"/>
              </w:rPr>
            </w:pPr>
            <w:r>
              <w:rPr>
                <w:rFonts w:ascii="Arial" w:cs="Arial" w:eastAsia="Arial" w:hAnsi="Arial"/>
                <w:sz w:val="14"/>
                <w:szCs w:val="14"/>
                <w:color w:val="auto"/>
              </w:rPr>
              <w:t>Financial Consolidated Group (FCG) Regulatory Capital Requirements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16,236,995</w:t>
            </w:r>
          </w:p>
        </w:tc>
        <w:tc>
          <w:tcPr>
            <w:tcW w:w="2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17,385,609</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17,683,008</w:t>
            </w:r>
          </w:p>
        </w:tc>
        <w:tc>
          <w:tcPr>
            <w:tcW w:w="180" w:type="dxa"/>
            <w:vAlign w:val="bottom"/>
          </w:tcPr>
          <w:p>
            <w:pPr>
              <w:spacing w:after="0"/>
              <w:rPr>
                <w:sz w:val="12"/>
                <w:szCs w:val="12"/>
                <w:color w:val="auto"/>
              </w:rPr>
            </w:pPr>
          </w:p>
        </w:tc>
        <w:tc>
          <w:tcPr>
            <w:tcW w:w="12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1.7%</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Insurance Consolidated Group (ICG) Capital Requirements</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1,184,589</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913,427</w:t>
            </w:r>
          </w:p>
        </w:tc>
        <w:tc>
          <w:tcPr>
            <w:tcW w:w="10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926,264</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1.4%</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gridSpan w:val="3"/>
          </w:tcPr>
          <w:p>
            <w:pPr>
              <w:spacing w:after="0" w:line="189" w:lineRule="exact"/>
              <w:rPr>
                <w:sz w:val="20"/>
                <w:szCs w:val="20"/>
                <w:color w:val="auto"/>
              </w:rPr>
            </w:pPr>
            <w:r>
              <w:rPr>
                <w:rFonts w:ascii="Arial" w:cs="Arial" w:eastAsia="Arial" w:hAnsi="Arial"/>
                <w:sz w:val="13"/>
                <w:szCs w:val="13"/>
                <w:color w:val="auto"/>
              </w:rPr>
              <w:t xml:space="preserve">FCG Capital Requirements related to operations with ICG </w:t>
            </w:r>
            <w:r>
              <w:rPr>
                <w:rFonts w:ascii="Arial" w:cs="Arial" w:eastAsia="Arial" w:hAnsi="Arial"/>
                <w:sz w:val="21"/>
                <w:szCs w:val="21"/>
                <w:color w:val="auto"/>
                <w:vertAlign w:val="superscript"/>
              </w:rPr>
              <w:t>(8)</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(219,634)</w:t>
            </w:r>
          </w:p>
        </w:tc>
        <w:tc>
          <w:tcPr>
            <w:tcW w:w="2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(287,730)</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(256,143)</w:t>
            </w:r>
          </w:p>
        </w:tc>
        <w:tc>
          <w:tcPr>
            <w:tcW w:w="1280" w:type="dxa"/>
            <w:vAlign w:val="bottom"/>
            <w:gridSpan w:val="2"/>
          </w:tcPr>
          <w:p>
            <w:pPr>
              <w:jc w:val="right"/>
              <w:ind w:right="68"/>
              <w:spacing w:after="0"/>
              <w:rPr>
                <w:sz w:val="20"/>
                <w:szCs w:val="20"/>
                <w:color w:val="auto"/>
              </w:rPr>
            </w:pPr>
            <w:r>
              <w:rPr>
                <w:rFonts w:ascii="Arial" w:cs="Arial" w:eastAsia="Arial" w:hAnsi="Arial"/>
                <w:sz w:val="14"/>
                <w:szCs w:val="14"/>
                <w:color w:val="auto"/>
              </w:rPr>
              <w:t>-11.0%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auto"/>
              </w:rPr>
              <w:t xml:space="preserve">ICG Capital Requirements related to operations with FCG </w:t>
            </w:r>
            <w:r>
              <w:rPr>
                <w:rFonts w:ascii="Arial" w:cs="Arial" w:eastAsia="Arial" w:hAnsi="Arial"/>
                <w:sz w:val="23"/>
                <w:szCs w:val="23"/>
                <w:color w:val="auto"/>
                <w:vertAlign w:val="superscript"/>
              </w:rPr>
              <w:t>(9)</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rPr>
              <w:t>Total Regulatory Capital Requirements (B)</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17,201,950</w:t>
            </w:r>
          </w:p>
        </w:tc>
        <w:tc>
          <w:tcPr>
            <w:tcW w:w="2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18,011,306</w:t>
            </w:r>
          </w:p>
        </w:tc>
        <w:tc>
          <w:tcPr>
            <w:tcW w:w="22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18,353,128</w:t>
            </w:r>
          </w:p>
        </w:tc>
        <w:tc>
          <w:tcPr>
            <w:tcW w:w="18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w:t>
            </w:r>
          </w:p>
        </w:tc>
        <w:tc>
          <w:tcPr>
            <w:tcW w:w="260" w:type="dxa"/>
            <w:vAlign w:val="bottom"/>
            <w:tcBorders>
              <w:bottom w:val="single" w:sz="8" w:color="CCEEFF"/>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6.7</w:t>
            </w:r>
          </w:p>
        </w:tc>
        <w:tc>
          <w:tcPr>
            <w:tcW w:w="14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Regulatory Capital Ratio (A) / (B)</w:t>
            </w:r>
          </w:p>
        </w:tc>
        <w:tc>
          <w:tcPr>
            <w:tcW w:w="10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1.35</w:t>
            </w:r>
          </w:p>
        </w:tc>
        <w:tc>
          <w:tcPr>
            <w:tcW w:w="22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1.21</w:t>
            </w:r>
          </w:p>
        </w:tc>
        <w:tc>
          <w:tcPr>
            <w:tcW w:w="220" w:type="dxa"/>
            <w:vAlign w:val="bottom"/>
            <w:shd w:val="clear" w:color="auto" w:fill="CCEEFF"/>
          </w:tcPr>
          <w:p>
            <w:pPr>
              <w:spacing w:after="0"/>
              <w:rPr>
                <w:sz w:val="13"/>
                <w:szCs w:val="13"/>
                <w:color w:val="auto"/>
              </w:rPr>
            </w:pPr>
          </w:p>
        </w:tc>
        <w:tc>
          <w:tcPr>
            <w:tcW w:w="1040" w:type="dxa"/>
            <w:vAlign w:val="bottom"/>
            <w:tcBorders>
              <w:bottom w:val="single" w:sz="8" w:color="auto"/>
              <w:right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1.34</w:t>
            </w: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60" w:type="dxa"/>
            <w:vAlign w:val="bottom"/>
            <w:gridSpan w:val="3"/>
          </w:tcPr>
          <w:p>
            <w:pPr>
              <w:spacing w:after="0" w:line="183" w:lineRule="exact"/>
              <w:rPr>
                <w:sz w:val="20"/>
                <w:szCs w:val="20"/>
                <w:color w:val="auto"/>
              </w:rPr>
            </w:pPr>
            <w:r>
              <w:rPr>
                <w:rFonts w:ascii="Arial" w:cs="Arial" w:eastAsia="Arial" w:hAnsi="Arial"/>
                <w:sz w:val="13"/>
                <w:szCs w:val="13"/>
                <w:b w:val="1"/>
                <w:bCs w:val="1"/>
                <w:color w:val="auto"/>
              </w:rPr>
              <w:t xml:space="preserve">Required Regulatory Capital Ratio </w:t>
            </w:r>
            <w:r>
              <w:rPr>
                <w:rFonts w:ascii="Arial" w:cs="Arial" w:eastAsia="Arial" w:hAnsi="Arial"/>
                <w:sz w:val="21"/>
                <w:szCs w:val="21"/>
                <w:b w:val="1"/>
                <w:bCs w:val="1"/>
                <w:color w:val="auto"/>
                <w:vertAlign w:val="superscript"/>
              </w:rPr>
              <w:t>(10)</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1.00</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Legal and other capital reserves include restricted capital reserves (S/ 12,071 million) and optional capital reserves (S/ 5,508 million).</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Minority interest includes Tier I (S/ 377 million).</w:t>
      </w:r>
    </w:p>
    <w:p>
      <w:pPr>
        <w:spacing w:after="0" w:line="9" w:lineRule="exact"/>
        <w:rPr>
          <w:rFonts w:ascii="Arial" w:cs="Arial" w:eastAsia="Arial" w:hAnsi="Arial"/>
          <w:sz w:val="18"/>
          <w:szCs w:val="18"/>
          <w:color w:val="auto"/>
        </w:rPr>
      </w:pPr>
    </w:p>
    <w:p>
      <w:pPr>
        <w:ind w:right="280" w:firstLine="8"/>
        <w:spacing w:after="0" w:line="250"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 to 1.25% of total risk-weighted assets of Banco de Credito del Peru, Solucion Empresa Administradora Hipotecaria, Mibanco and Atlantic Security Bank.</w:t>
      </w: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Tier II + Tier III can not be more than 50% of total regulatory capital.</w:t>
      </w:r>
    </w:p>
    <w:p>
      <w:pPr>
        <w:spacing w:after="0" w:line="9" w:lineRule="exact"/>
        <w:rPr>
          <w:rFonts w:ascii="Arial" w:cs="Arial" w:eastAsia="Arial" w:hAnsi="Arial"/>
          <w:sz w:val="18"/>
          <w:szCs w:val="18"/>
          <w:color w:val="auto"/>
        </w:rPr>
      </w:pPr>
    </w:p>
    <w:p>
      <w:pPr>
        <w:ind w:right="560" w:firstLine="8"/>
        <w:spacing w:after="0" w:line="250"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Tier I = capital + restricted capital reserves + Tier I minority interest - goodwill - (0.5 x investment in equity and subordinated debt of financial and insurance companies) + perpetual subordinated debt.</w:t>
      </w:r>
    </w:p>
    <w:p>
      <w:pPr>
        <w:ind w:firstLine="8"/>
        <w:spacing w:after="0" w:line="250"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Tier II = subordinated debt + TierII minority interest tier + loan loss reserves - (0.5 x investment in equity and subordinated debt of financial and insurance companies).</w:t>
      </w: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Tier III = Subordinated debt covering market risk only.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regulatory capital requirements of the financial consolidated group.</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regulatory capital requirements of the insurance consolidated group.</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Regulatory Capital / Total Regulatory Capital Requirements (legal minimum = 1.00).</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end of 2017, Credicorp reported a comfortable capitalization level that was 33% higher than the capital required by the Peruvian Regulator. The increase in this ratio was driven by growth in regulatory capital (+12.1% QoQ), which was in turn associated with the distribution of net income attained in 2017 that implied an increase in special reserves and restricted special reserves, as per the announcement made in 1Q18.</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regard to the regulatory capital requirement, it increased QoQ due to the higher capital requirement from the Financial Consolidated Group, in particular from BCP Stand-alone.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YoY analysis, the regulatory capital ratio posted and slight decrease from 1.35 in 1Q17 to 1.33 in 1Q18. This was due to the effect on regulatory capital of Special Dividend Payment made in 4Q17, which was attenuated by the effect of net income generation in 1Q18.</w:t>
      </w: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5540" w:type="dxa"/>
            <w:vAlign w:val="bottom"/>
            <w:gridSpan w:val="4"/>
          </w:tcPr>
          <w:p>
            <w:pPr>
              <w:spacing w:after="0"/>
              <w:rPr>
                <w:sz w:val="20"/>
                <w:szCs w:val="20"/>
                <w:color w:val="auto"/>
              </w:rPr>
            </w:pPr>
            <w:r>
              <w:rPr>
                <w:rFonts w:ascii="Arial" w:cs="Arial" w:eastAsia="Arial" w:hAnsi="Arial"/>
                <w:sz w:val="18"/>
                <w:szCs w:val="18"/>
                <w:b w:val="1"/>
                <w:bCs w:val="1"/>
                <w:color w:val="auto"/>
              </w:rPr>
              <w:t>8.2 Regulatory Capital – BCP Stand-alone based on Peru GAAP</w:t>
            </w: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w w:val="98"/>
              </w:rPr>
              <w:t>Regulatory Capital and Capital Adequacy Ratios</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As of</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3"/>
          </w:tcPr>
          <w:p>
            <w:pPr>
              <w:ind w:left="960"/>
              <w:spacing w:after="0"/>
              <w:rPr>
                <w:sz w:val="20"/>
                <w:szCs w:val="20"/>
                <w:color w:val="auto"/>
              </w:rPr>
            </w:pPr>
            <w:r>
              <w:rPr>
                <w:rFonts w:ascii="Arial" w:cs="Arial" w:eastAsia="Arial" w:hAnsi="Arial"/>
                <w:sz w:val="18"/>
                <w:szCs w:val="18"/>
                <w:b w:val="1"/>
                <w:bCs w:val="1"/>
                <w:color w:val="auto"/>
                <w:w w:val="99"/>
              </w:rPr>
              <w:t>% change</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Mar 17</w:t>
            </w:r>
          </w:p>
        </w:tc>
        <w:tc>
          <w:tcPr>
            <w:tcW w:w="2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Dec 17</w:t>
            </w:r>
          </w:p>
        </w:tc>
        <w:tc>
          <w:tcPr>
            <w:tcW w:w="2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Mar 18</w:t>
            </w:r>
          </w:p>
        </w:tc>
        <w:tc>
          <w:tcPr>
            <w:tcW w:w="26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7,933,342</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7,933,342</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8,770,365</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Legal and Other capital reserves</w:t>
            </w:r>
          </w:p>
        </w:tc>
        <w:tc>
          <w:tcPr>
            <w:tcW w:w="1220" w:type="dxa"/>
            <w:vAlign w:val="bottom"/>
          </w:tcPr>
          <w:p>
            <w:pPr>
              <w:jc w:val="right"/>
              <w:spacing w:after="0"/>
              <w:rPr>
                <w:sz w:val="20"/>
                <w:szCs w:val="20"/>
                <w:color w:val="auto"/>
              </w:rPr>
            </w:pPr>
            <w:r>
              <w:rPr>
                <w:rFonts w:ascii="Arial" w:cs="Arial" w:eastAsia="Arial" w:hAnsi="Arial"/>
                <w:sz w:val="18"/>
                <w:szCs w:val="18"/>
                <w:color w:val="auto"/>
              </w:rPr>
              <w:t>3,885,484</w:t>
            </w:r>
          </w:p>
        </w:tc>
        <w:tc>
          <w:tcPr>
            <w:tcW w:w="2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3,885,494</w:t>
            </w:r>
          </w:p>
        </w:tc>
        <w:tc>
          <w:tcPr>
            <w:tcW w:w="1240" w:type="dxa"/>
            <w:vAlign w:val="bottom"/>
          </w:tcPr>
          <w:p>
            <w:pPr>
              <w:jc w:val="right"/>
              <w:spacing w:after="0"/>
              <w:rPr>
                <w:sz w:val="20"/>
                <w:szCs w:val="20"/>
                <w:color w:val="auto"/>
              </w:rPr>
            </w:pPr>
            <w:r>
              <w:rPr>
                <w:rFonts w:ascii="Arial" w:cs="Arial" w:eastAsia="Arial" w:hAnsi="Arial"/>
                <w:sz w:val="18"/>
                <w:szCs w:val="18"/>
                <w:color w:val="auto"/>
              </w:rPr>
              <w:t>4,184,303</w:t>
            </w:r>
          </w:p>
        </w:tc>
        <w:tc>
          <w:tcPr>
            <w:tcW w:w="260" w:type="dxa"/>
            <w:vAlign w:val="bottom"/>
          </w:tcPr>
          <w:p>
            <w:pPr>
              <w:spacing w:after="0"/>
              <w:rPr>
                <w:sz w:val="18"/>
                <w:szCs w:val="18"/>
                <w:color w:val="auto"/>
              </w:rPr>
            </w:pP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Accumulated earnings with capitalization agreement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57"/>
        </w:trPr>
        <w:tc>
          <w:tcPr>
            <w:tcW w:w="40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(1)</w:t>
            </w:r>
          </w:p>
        </w:tc>
        <w:tc>
          <w:tcPr>
            <w:tcW w:w="1220" w:type="dxa"/>
            <w:vAlign w:val="bottom"/>
          </w:tcPr>
          <w:p>
            <w:pPr>
              <w:jc w:val="right"/>
              <w:spacing w:after="0"/>
              <w:rPr>
                <w:sz w:val="20"/>
                <w:szCs w:val="20"/>
                <w:color w:val="auto"/>
              </w:rPr>
            </w:pPr>
            <w:r>
              <w:rPr>
                <w:rFonts w:ascii="Arial" w:cs="Arial" w:eastAsia="Arial" w:hAnsi="Arial"/>
                <w:sz w:val="18"/>
                <w:szCs w:val="18"/>
                <w:color w:val="auto"/>
              </w:rPr>
              <w:t>1,135,286</w:t>
            </w:r>
          </w:p>
        </w:tc>
        <w:tc>
          <w:tcPr>
            <w:tcW w:w="260" w:type="dxa"/>
            <w:vAlign w:val="bottom"/>
          </w:tcPr>
          <w:p>
            <w:pPr>
              <w:spacing w:after="0"/>
              <w:rPr>
                <w:sz w:val="22"/>
                <w:szCs w:val="22"/>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1,234,999</w:t>
            </w:r>
          </w:p>
        </w:tc>
        <w:tc>
          <w:tcPr>
            <w:tcW w:w="1240" w:type="dxa"/>
            <w:vAlign w:val="bottom"/>
          </w:tcPr>
          <w:p>
            <w:pPr>
              <w:jc w:val="right"/>
              <w:spacing w:after="0"/>
              <w:rPr>
                <w:sz w:val="20"/>
                <w:szCs w:val="20"/>
                <w:color w:val="auto"/>
              </w:rPr>
            </w:pPr>
            <w:r>
              <w:rPr>
                <w:rFonts w:ascii="Arial" w:cs="Arial" w:eastAsia="Arial" w:hAnsi="Arial"/>
                <w:sz w:val="18"/>
                <w:szCs w:val="18"/>
                <w:color w:val="auto"/>
              </w:rPr>
              <w:t>1,146,746</w:t>
            </w:r>
          </w:p>
        </w:tc>
        <w:tc>
          <w:tcPr>
            <w:tcW w:w="260" w:type="dxa"/>
            <w:vAlign w:val="bottom"/>
          </w:tcPr>
          <w:p>
            <w:pPr>
              <w:spacing w:after="0"/>
              <w:rPr>
                <w:sz w:val="22"/>
                <w:szCs w:val="22"/>
                <w:color w:val="auto"/>
              </w:rPr>
            </w:pP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730,800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729,225</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645,400</w:t>
            </w: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1220" w:type="dxa"/>
            <w:vAlign w:val="bottom"/>
          </w:tcPr>
          <w:p>
            <w:pPr>
              <w:jc w:val="right"/>
              <w:spacing w:after="0"/>
              <w:rPr>
                <w:sz w:val="20"/>
                <w:szCs w:val="20"/>
                <w:color w:val="auto"/>
              </w:rPr>
            </w:pPr>
            <w:r>
              <w:rPr>
                <w:rFonts w:ascii="Arial" w:cs="Arial" w:eastAsia="Arial" w:hAnsi="Arial"/>
                <w:sz w:val="18"/>
                <w:szCs w:val="18"/>
                <w:color w:val="auto"/>
              </w:rPr>
              <w:t>4,472,169</w:t>
            </w:r>
          </w:p>
        </w:tc>
        <w:tc>
          <w:tcPr>
            <w:tcW w:w="2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3,978,406</w:t>
            </w:r>
          </w:p>
        </w:tc>
        <w:tc>
          <w:tcPr>
            <w:tcW w:w="1240" w:type="dxa"/>
            <w:vAlign w:val="bottom"/>
          </w:tcPr>
          <w:p>
            <w:pPr>
              <w:jc w:val="right"/>
              <w:spacing w:after="0"/>
              <w:rPr>
                <w:sz w:val="20"/>
                <w:szCs w:val="20"/>
                <w:color w:val="auto"/>
              </w:rPr>
            </w:pPr>
            <w:r>
              <w:rPr>
                <w:rFonts w:ascii="Arial" w:cs="Arial" w:eastAsia="Arial" w:hAnsi="Arial"/>
                <w:sz w:val="18"/>
                <w:szCs w:val="18"/>
                <w:color w:val="auto"/>
              </w:rPr>
              <w:t>4,041,960</w:t>
            </w:r>
          </w:p>
        </w:tc>
        <w:tc>
          <w:tcPr>
            <w:tcW w:w="260" w:type="dxa"/>
            <w:vAlign w:val="bottom"/>
          </w:tcPr>
          <w:p>
            <w:pPr>
              <w:spacing w:after="0"/>
              <w:rPr>
                <w:sz w:val="18"/>
                <w:szCs w:val="18"/>
                <w:color w:val="auto"/>
              </w:rPr>
            </w:pP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profit (loss)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02"/>
        </w:trPr>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Investment in subsidiaries and others, net of</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unrealized profit and net income</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(1,242,640)</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(1,241,060)</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(1,275,333)</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subsidiaries and others</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(1,310,797)</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(1,587,715)</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(1,567,782)</w:t>
            </w: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Unrealized profit and net income in subsidiaries</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68,157</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346,656</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292,449</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-15.6%</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329.1%</w:t>
            </w: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Total Regulatory Capital</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16,792,358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16,398,322</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17,391,358</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6.1%</w:t>
            </w: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3.6%</w:t>
            </w:r>
          </w:p>
        </w:tc>
      </w:tr>
      <w:tr>
        <w:trPr>
          <w:trHeight w:val="210"/>
        </w:trPr>
        <w:tc>
          <w:tcPr>
            <w:tcW w:w="4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Off-balance sheet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31,054,769</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33,218,412</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32,849,193</w:t>
            </w:r>
          </w:p>
        </w:tc>
        <w:tc>
          <w:tcPr>
            <w:tcW w:w="2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r>
      <w:tr>
        <w:trPr>
          <w:trHeight w:val="237"/>
        </w:trPr>
        <w:tc>
          <w:tcPr>
            <w:tcW w:w="4060" w:type="dxa"/>
            <w:vAlign w:val="bottom"/>
            <w:gridSpan w:val="2"/>
          </w:tcPr>
          <w:p>
            <w:pPr>
              <w:spacing w:after="0" w:line="236" w:lineRule="exact"/>
              <w:rPr>
                <w:sz w:val="20"/>
                <w:szCs w:val="20"/>
                <w:color w:val="auto"/>
              </w:rPr>
            </w:pPr>
            <w:r>
              <w:rPr>
                <w:rFonts w:ascii="Arial" w:cs="Arial" w:eastAsia="Arial" w:hAnsi="Arial"/>
                <w:sz w:val="17"/>
                <w:szCs w:val="17"/>
                <w:color w:val="auto"/>
              </w:rPr>
              <w:t xml:space="preserve">Tier 1 </w:t>
            </w:r>
            <w:r>
              <w:rPr>
                <w:rFonts w:ascii="Arial" w:cs="Arial" w:eastAsia="Arial" w:hAnsi="Arial"/>
                <w:sz w:val="27"/>
                <w:szCs w:val="27"/>
                <w:color w:val="auto"/>
                <w:vertAlign w:val="superscript"/>
              </w:rPr>
              <w:t>(2)</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11,806,223</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11,805,448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12,840,318</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406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Tier 2 </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 Tier 3 </w:t>
            </w:r>
            <w:r>
              <w:rPr>
                <w:rFonts w:ascii="Arial" w:cs="Arial" w:eastAsia="Arial" w:hAnsi="Arial"/>
                <w:sz w:val="30"/>
                <w:szCs w:val="30"/>
                <w:color w:val="auto"/>
                <w:vertAlign w:val="superscript"/>
              </w:rPr>
              <w:t>(4)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4,986,135</w:t>
            </w:r>
          </w:p>
        </w:tc>
        <w:tc>
          <w:tcPr>
            <w:tcW w:w="26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4,592,875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4,551,040</w:t>
            </w:r>
          </w:p>
        </w:tc>
        <w:tc>
          <w:tcPr>
            <w:tcW w:w="26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-0.9%</w:t>
            </w:r>
          </w:p>
        </w:tc>
        <w:tc>
          <w:tcPr>
            <w:tcW w:w="3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0"/>
        </w:trPr>
        <w:tc>
          <w:tcPr>
            <w:tcW w:w="4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risk-weighted assets</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100,356,369</w:t>
            </w:r>
          </w:p>
        </w:tc>
        <w:tc>
          <w:tcPr>
            <w:tcW w:w="2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108,950,140</w:t>
            </w:r>
          </w:p>
        </w:tc>
        <w:tc>
          <w:tcPr>
            <w:tcW w:w="2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109,285,520</w:t>
            </w:r>
          </w:p>
        </w:tc>
        <w:tc>
          <w:tcPr>
            <w:tcW w:w="26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r>
      <w:tr>
        <w:trPr>
          <w:trHeight w:val="237"/>
        </w:trPr>
        <w:tc>
          <w:tcPr>
            <w:tcW w:w="406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Market risk-weighted assets </w:t>
            </w:r>
            <w:r>
              <w:rPr>
                <w:rFonts w:ascii="Arial" w:cs="Arial" w:eastAsia="Arial" w:hAnsi="Arial"/>
                <w:sz w:val="27"/>
                <w:szCs w:val="27"/>
                <w:color w:val="auto"/>
                <w:vertAlign w:val="superscript"/>
              </w:rPr>
              <w:t>(5)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1,205,828</w:t>
            </w:r>
          </w:p>
        </w:tc>
        <w:tc>
          <w:tcPr>
            <w:tcW w:w="2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1,391,099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1,870,259</w:t>
            </w:r>
          </w:p>
        </w:tc>
        <w:tc>
          <w:tcPr>
            <w:tcW w:w="2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34.4%</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Credit risk-weighted assets</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90,822,870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98,799,888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98,592,033</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Operational risk-weighted assets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8,327,672</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8,759,154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8,823,228</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0"/>
        </w:trPr>
        <w:tc>
          <w:tcPr>
            <w:tcW w:w="4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Adjusted Risk-Weighted Assets</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99,785,022</w:t>
            </w:r>
          </w:p>
        </w:tc>
        <w:tc>
          <w:tcPr>
            <w:tcW w:w="2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108,293,546</w:t>
            </w:r>
          </w:p>
        </w:tc>
        <w:tc>
          <w:tcPr>
            <w:tcW w:w="2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108,539,396</w:t>
            </w:r>
          </w:p>
        </w:tc>
        <w:tc>
          <w:tcPr>
            <w:tcW w:w="26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risk-weighted assets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100,356,369</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108,950,140</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109,285,520</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18"/>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 RWA Intangible assets, excluding goodwill.</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571,347</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656,594</w:t>
            </w:r>
          </w:p>
        </w:tc>
        <w:tc>
          <w:tcPr>
            <w:tcW w:w="1240" w:type="dxa"/>
            <w:vAlign w:val="bottom"/>
          </w:tcPr>
          <w:p>
            <w:pPr>
              <w:jc w:val="right"/>
              <w:spacing w:after="0"/>
              <w:rPr>
                <w:sz w:val="20"/>
                <w:szCs w:val="20"/>
                <w:color w:val="auto"/>
              </w:rPr>
            </w:pPr>
            <w:r>
              <w:rPr>
                <w:rFonts w:ascii="Arial" w:cs="Arial" w:eastAsia="Arial" w:hAnsi="Arial"/>
                <w:sz w:val="18"/>
                <w:szCs w:val="18"/>
                <w:color w:val="auto"/>
              </w:rPr>
              <w:t>1,304,099</w:t>
            </w:r>
          </w:p>
        </w:tc>
        <w:tc>
          <w:tcPr>
            <w:tcW w:w="260" w:type="dxa"/>
            <w:vAlign w:val="bottom"/>
          </w:tcPr>
          <w:p>
            <w:pPr>
              <w:spacing w:after="0"/>
              <w:rPr>
                <w:sz w:val="18"/>
                <w:szCs w:val="18"/>
                <w:color w:val="auto"/>
              </w:rPr>
            </w:pP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98.6%</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411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180" w:right="7480" w:hanging="10"/>
        <w:spacing w:after="0" w:line="280" w:lineRule="auto"/>
        <w:tabs>
          <w:tab w:leader="none" w:pos="446" w:val="left"/>
        </w:tabs>
        <w:numPr>
          <w:ilvl w:val="0"/>
          <w:numId w:val="67"/>
        </w:numPr>
        <w:rPr>
          <w:rFonts w:ascii="Arial" w:cs="Arial" w:eastAsia="Arial" w:hAnsi="Arial"/>
          <w:sz w:val="16"/>
          <w:szCs w:val="16"/>
          <w:color w:val="auto"/>
        </w:rPr>
      </w:pPr>
      <w:r>
        <w:rPr>
          <w:rFonts w:ascii="Arial" w:cs="Arial" w:eastAsia="Arial" w:hAnsi="Arial"/>
          <w:sz w:val="16"/>
          <w:szCs w:val="16"/>
          <w:color w:val="auto"/>
        </w:rPr>
        <w:t>RWA Deferred tax assets generated as a result of temporary differences in income tax, in excess of</w:t>
      </w: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40" w:type="dxa"/>
            <w:vAlign w:val="bottom"/>
          </w:tcPr>
          <w:p>
            <w:pPr>
              <w:ind w:left="160"/>
              <w:spacing w:after="0" w:line="203" w:lineRule="exact"/>
              <w:rPr>
                <w:sz w:val="20"/>
                <w:szCs w:val="20"/>
                <w:color w:val="auto"/>
              </w:rPr>
            </w:pPr>
            <w:r>
              <w:rPr>
                <w:rFonts w:ascii="Arial" w:cs="Arial" w:eastAsia="Arial" w:hAnsi="Arial"/>
                <w:sz w:val="18"/>
                <w:szCs w:val="18"/>
                <w:color w:val="auto"/>
              </w:rPr>
              <w:t>10% of CET1</w:t>
            </w:r>
          </w:p>
        </w:tc>
        <w:tc>
          <w:tcPr>
            <w:tcW w:w="12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150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557,976</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00" w:type="dxa"/>
            <w:vAlign w:val="bottom"/>
            <w:gridSpan w:val="2"/>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w w:val="91"/>
              </w:rPr>
              <w:t>(-) RWA Deferred tax assets generated as a result of</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past losses</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capital requirement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12,458,416</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13,569,117</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13,662,112</w:t>
            </w:r>
          </w:p>
        </w:tc>
        <w:tc>
          <w:tcPr>
            <w:tcW w:w="2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40" w:type="dxa"/>
            <w:vAlign w:val="bottom"/>
          </w:tcPr>
          <w:p>
            <w:pPr>
              <w:spacing w:after="0" w:line="236" w:lineRule="exact"/>
              <w:rPr>
                <w:sz w:val="20"/>
                <w:szCs w:val="20"/>
                <w:color w:val="auto"/>
              </w:rPr>
            </w:pPr>
            <w:r>
              <w:rPr>
                <w:rFonts w:ascii="Arial" w:cs="Arial" w:eastAsia="Arial" w:hAnsi="Arial"/>
                <w:sz w:val="17"/>
                <w:szCs w:val="17"/>
                <w:color w:val="auto"/>
              </w:rPr>
              <w:t xml:space="preserve">Market risk capital requirement </w:t>
            </w:r>
            <w:r>
              <w:rPr>
                <w:rFonts w:ascii="Arial" w:cs="Arial" w:eastAsia="Arial" w:hAnsi="Arial"/>
                <w:sz w:val="27"/>
                <w:szCs w:val="27"/>
                <w:color w:val="auto"/>
                <w:vertAlign w:val="superscript"/>
              </w:rPr>
              <w:t>(5)</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120,583</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139,110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187,026</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34.4%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Credit risk capital requirement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9,082,287</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9,879,989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9,859,203</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Operational risk capital requirement</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832,767</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875,915</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882,323</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0.7%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Additional capital requirements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2,422,779</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2,674,103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2,733,560</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ratios</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tcPr>
          <w:p>
            <w:pPr>
              <w:spacing w:after="0" w:line="256" w:lineRule="exact"/>
              <w:rPr>
                <w:sz w:val="20"/>
                <w:szCs w:val="20"/>
                <w:color w:val="auto"/>
              </w:rPr>
            </w:pPr>
            <w:r>
              <w:rPr>
                <w:rFonts w:ascii="Arial" w:cs="Arial" w:eastAsia="Arial" w:hAnsi="Arial"/>
                <w:sz w:val="18"/>
                <w:szCs w:val="18"/>
                <w:color w:val="auto"/>
              </w:rPr>
              <w:t xml:space="preserve">Tier 1 ratio </w:t>
            </w:r>
            <w:r>
              <w:rPr>
                <w:rFonts w:ascii="Arial" w:cs="Arial" w:eastAsia="Arial" w:hAnsi="Arial"/>
                <w:sz w:val="29"/>
                <w:szCs w:val="29"/>
                <w:color w:val="auto"/>
                <w:vertAlign w:val="superscript"/>
              </w:rPr>
              <w:t>(6)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11.76%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10.84%</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11.75%</w:t>
            </w: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(7)</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11.22%</w:t>
            </w:r>
          </w:p>
        </w:tc>
        <w:tc>
          <w:tcPr>
            <w:tcW w:w="1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16.73%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15.05%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15.91%</w:t>
            </w: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4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Risk-weighted assets / Regulatory capital </w:t>
            </w:r>
            <w:r>
              <w:rPr>
                <w:rFonts w:ascii="Arial" w:cs="Arial" w:eastAsia="Arial" w:hAnsi="Arial"/>
                <w:sz w:val="30"/>
                <w:szCs w:val="30"/>
                <w:color w:val="auto"/>
                <w:vertAlign w:val="superscript"/>
              </w:rPr>
              <w:t>(9)</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6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6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23" w:lineRule="exact"/>
        <w:rPr>
          <w:rFonts w:ascii="Arial" w:cs="Arial" w:eastAsia="Arial" w:hAnsi="Arial"/>
          <w:sz w:val="18"/>
          <w:szCs w:val="18"/>
          <w:color w:val="auto"/>
        </w:rPr>
      </w:pPr>
    </w:p>
    <w:p>
      <w:pPr>
        <w:jc w:val="both"/>
        <w:ind w:right="340" w:firstLine="8"/>
        <w:spacing w:after="0" w:line="265" w:lineRule="auto"/>
        <w:tabs>
          <w:tab w:leader="none" w:pos="255" w:val="left"/>
        </w:tabs>
        <w:numPr>
          <w:ilvl w:val="0"/>
          <w:numId w:val="68"/>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Tier 2 = Subordinated debt + Loan loss reserves + (0.5 x Unrealized profit and net income in subsidiaries) - (0.5 x Investment in subsidiaries).</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Tier 3 = Subordinated debt covering market risk only. Tier 3 exists since 1Q10.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Tier 1 / Risk-weighted assets</w:t>
      </w:r>
    </w:p>
    <w:p>
      <w:pPr>
        <w:spacing w:after="0" w:line="9" w:lineRule="exact"/>
        <w:rPr>
          <w:rFonts w:ascii="Arial" w:cs="Arial" w:eastAsia="Arial" w:hAnsi="Arial"/>
          <w:sz w:val="18"/>
          <w:szCs w:val="18"/>
          <w:color w:val="auto"/>
        </w:rPr>
      </w:pPr>
    </w:p>
    <w:p>
      <w:pPr>
        <w:ind w:right="40" w:firstLine="8"/>
        <w:spacing w:after="0" w:line="250"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right="360"/>
        <w:spacing w:after="0" w:line="265" w:lineRule="auto"/>
        <w:rPr>
          <w:rFonts w:ascii="Arial" w:cs="Arial" w:eastAsia="Arial" w:hAnsi="Arial"/>
          <w:sz w:val="18"/>
          <w:szCs w:val="18"/>
          <w:color w:val="auto"/>
        </w:rPr>
      </w:pPr>
      <w:r>
        <w:rPr>
          <w:rFonts w:ascii="Arial" w:cs="Arial" w:eastAsia="Arial" w:hAnsi="Arial"/>
          <w:sz w:val="17"/>
          <w:szCs w:val="17"/>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Regulatory Capital / Risk-weighted assets (legal minimum = 10% since July 2011)</w:t>
      </w:r>
    </w:p>
    <w:p>
      <w:pPr>
        <w:spacing w:after="0" w:line="9" w:lineRule="exact"/>
        <w:rPr>
          <w:rFonts w:ascii="Arial" w:cs="Arial" w:eastAsia="Arial" w:hAnsi="Arial"/>
          <w:sz w:val="18"/>
          <w:szCs w:val="18"/>
          <w:color w:val="auto"/>
        </w:rPr>
      </w:pPr>
    </w:p>
    <w:p>
      <w:pPr>
        <w:ind w:right="40" w:firstLine="8"/>
        <w:spacing w:after="0" w:line="261"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Since July 2012, Risk-weighted assets = Credit risk-weighted assets * 1.00 + Capital requirement to cover market risk * 10 + Capital requirement to cover operational risk * 10 * 1.00 (since July 2014).</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At the end of 1Q18, the BIS ratio was situated at 15.91%, which topped the figure reported at the end of 4Q17</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(15.05%). This was due to significant growth in regulatory capital (+6.1% QoQ), which was in turn associated with the distribution of net income attained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2017 after the Annual General Meeting of Shareholders approved the capitalization of earnings as well as the increase in legal reserves in March 2018.</w:t>
      </w:r>
    </w:p>
    <w:p>
      <w:pPr>
        <w:spacing w:after="0" w:line="222" w:lineRule="exact"/>
        <w:rPr>
          <w:sz w:val="20"/>
          <w:szCs w:val="20"/>
          <w:color w:val="auto"/>
        </w:rPr>
      </w:pPr>
    </w:p>
    <w:p>
      <w:pPr>
        <w:ind w:right="3220"/>
        <w:spacing w:after="0" w:line="277" w:lineRule="auto"/>
        <w:rPr>
          <w:sz w:val="20"/>
          <w:szCs w:val="20"/>
          <w:color w:val="auto"/>
        </w:rPr>
      </w:pPr>
      <w:r>
        <w:rPr>
          <w:rFonts w:ascii="Arial" w:cs="Arial" w:eastAsia="Arial" w:hAnsi="Arial"/>
          <w:sz w:val="18"/>
          <w:szCs w:val="18"/>
          <w:color w:val="auto"/>
        </w:rPr>
        <w:t>The Tier 1 ratio rose from 10.84% in 4Q17 to 11.75% in 1Q18 due to the evolution of Tier 1 (+8.8% QoQ) versus the very slight increase in RWAs (0.3%).</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Finally, the Common Equity Tier 1 ratio (CET1), the most rigorous capital ratio, reported a contraction of 61 bps QoQ contraction. This was attributable to the distribution of net income attained in 2017 after the Annual General Meeting of Shareholders declared dividends.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Equity Tier 1 Ratio – BCP Stand-alone</w:t>
      </w:r>
    </w:p>
    <w:p>
      <w:pPr>
        <w:spacing w:after="0" w:line="225" w:lineRule="exact"/>
        <w:rPr>
          <w:sz w:val="20"/>
          <w:szCs w:val="20"/>
          <w:color w:val="auto"/>
        </w:rPr>
      </w:pPr>
    </w:p>
    <w:p>
      <w:pPr>
        <w:ind w:left="2280"/>
        <w:spacing w:after="0"/>
        <w:tabs>
          <w:tab w:leader="none" w:pos="8140" w:val="left"/>
        </w:tabs>
        <w:rPr>
          <w:sz w:val="20"/>
          <w:szCs w:val="20"/>
          <w:color w:val="auto"/>
        </w:rPr>
      </w:pPr>
      <w:r>
        <w:rPr>
          <w:rFonts w:ascii="Arial" w:cs="Arial" w:eastAsia="Arial" w:hAnsi="Arial"/>
          <w:sz w:val="18"/>
          <w:szCs w:val="18"/>
          <w:b w:val="1"/>
          <w:bCs w:val="1"/>
          <w:color w:val="auto"/>
        </w:rPr>
        <w:t>December 2017</w:t>
      </w:r>
      <w:r>
        <w:rPr>
          <w:sz w:val="20"/>
          <w:szCs w:val="20"/>
          <w:color w:val="auto"/>
        </w:rPr>
        <w:tab/>
      </w:r>
      <w:r>
        <w:rPr>
          <w:rFonts w:ascii="Arial" w:cs="Arial" w:eastAsia="Arial" w:hAnsi="Arial"/>
          <w:sz w:val="16"/>
          <w:szCs w:val="16"/>
          <w:b w:val="1"/>
          <w:bCs w:val="1"/>
          <w:color w:val="auto"/>
        </w:rPr>
        <w:t>March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154940</wp:posOffset>
            </wp:positionV>
            <wp:extent cx="6629400" cy="132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29400"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gain on sale of BCI shares to Credicorp contributed around 40bps to the level of Retained earnings on the Common Equity Tier 1 ratio.</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investments in BCP Bolivia and other subsidiaries.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left="500" w:hanging="492"/>
        <w:spacing w:after="0"/>
        <w:tabs>
          <w:tab w:leader="none" w:pos="5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Banking business’s Distribution channels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As of</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gridSpan w:val="4"/>
          </w:tcPr>
          <w:p>
            <w:pPr>
              <w:ind w:left="480"/>
              <w:spacing w:after="0"/>
              <w:rPr>
                <w:sz w:val="20"/>
                <w:szCs w:val="20"/>
                <w:color w:val="auto"/>
              </w:rPr>
            </w:pPr>
            <w:r>
              <w:rPr>
                <w:rFonts w:ascii="Arial" w:cs="Arial" w:eastAsia="Arial" w:hAnsi="Arial"/>
                <w:sz w:val="18"/>
                <w:szCs w:val="18"/>
                <w:b w:val="1"/>
                <w:bCs w:val="1"/>
                <w:color w:val="auto"/>
              </w:rPr>
              <w:t>% change (units)</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Mar 17</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Dec 17</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 18</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QoQ</w:t>
            </w:r>
          </w:p>
        </w:tc>
        <w:tc>
          <w:tcPr>
            <w:tcW w:w="1140" w:type="dxa"/>
            <w:vAlign w:val="bottom"/>
            <w:gridSpan w:val="2"/>
          </w:tcPr>
          <w:p>
            <w:pPr>
              <w:ind w:left="36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Branches</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ATMs</w:t>
            </w:r>
          </w:p>
        </w:tc>
        <w:tc>
          <w:tcPr>
            <w:tcW w:w="1080" w:type="dxa"/>
            <w:vAlign w:val="bottom"/>
          </w:tcPr>
          <w:p>
            <w:pPr>
              <w:jc w:val="right"/>
              <w:spacing w:after="0"/>
              <w:rPr>
                <w:sz w:val="20"/>
                <w:szCs w:val="20"/>
                <w:color w:val="auto"/>
              </w:rPr>
            </w:pPr>
            <w:r>
              <w:rPr>
                <w:rFonts w:ascii="Arial" w:cs="Arial" w:eastAsia="Arial" w:hAnsi="Arial"/>
                <w:sz w:val="18"/>
                <w:szCs w:val="18"/>
                <w:color w:val="auto"/>
              </w:rPr>
              <w:t>2,321</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2,329</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2,321</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Agentes BCP</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6,191</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b w:val="1"/>
                <w:bCs w:val="1"/>
                <w:color w:val="auto"/>
              </w:rPr>
              <w:t>Total BCP's Network</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8,748</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9,087</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8,950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-137</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202</w:t>
            </w:r>
          </w:p>
        </w:tc>
        <w:tc>
          <w:tcPr>
            <w:tcW w:w="0" w:type="dxa"/>
            <w:vAlign w:val="bottom"/>
          </w:tcPr>
          <w:p>
            <w:pPr>
              <w:spacing w:after="0"/>
              <w:rPr>
                <w:sz w:val="1"/>
                <w:szCs w:val="1"/>
                <w:color w:val="auto"/>
              </w:rPr>
            </w:pPr>
          </w:p>
        </w:tc>
      </w:tr>
      <w:tr>
        <w:trPr>
          <w:trHeight w:val="20"/>
        </w:trPr>
        <w:tc>
          <w:tcPr>
            <w:tcW w:w="3520" w:type="dxa"/>
            <w:vAlign w:val="bottom"/>
            <w:vMerge w:val="restart"/>
            <w:shd w:val="clear" w:color="auto" w:fill="CCEEFF"/>
          </w:tcPr>
          <w:p>
            <w:pPr>
              <w:spacing w:after="0" w:line="269" w:lineRule="exact"/>
              <w:rPr>
                <w:sz w:val="20"/>
                <w:szCs w:val="20"/>
                <w:color w:val="auto"/>
              </w:rPr>
            </w:pPr>
            <w:r>
              <w:rPr>
                <w:rFonts w:ascii="Arial" w:cs="Arial" w:eastAsia="Arial" w:hAnsi="Arial"/>
                <w:sz w:val="18"/>
                <w:szCs w:val="18"/>
                <w:b w:val="1"/>
                <w:bCs w:val="1"/>
                <w:color w:val="auto"/>
              </w:rPr>
              <w:t xml:space="preserve">Total Mibanco's Network </w:t>
            </w:r>
            <w:r>
              <w:rPr>
                <w:rFonts w:ascii="Arial" w:cs="Arial" w:eastAsia="Arial" w:hAnsi="Arial"/>
                <w:sz w:val="30"/>
                <w:szCs w:val="30"/>
                <w:b w:val="1"/>
                <w:bCs w:val="1"/>
                <w:color w:val="auto"/>
                <w:vertAlign w:val="superscript"/>
              </w:rPr>
              <w:t>(1)</w:t>
            </w: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vMerge w:val="continue"/>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324</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325</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Peru's Network</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9,066</w:t>
            </w:r>
          </w:p>
        </w:tc>
        <w:tc>
          <w:tcPr>
            <w:tcW w:w="22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9,411</w:t>
            </w:r>
          </w:p>
        </w:tc>
        <w:tc>
          <w:tcPr>
            <w:tcW w:w="2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9,275</w:t>
            </w:r>
          </w:p>
        </w:tc>
        <w:tc>
          <w:tcPr>
            <w:tcW w:w="2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2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Branches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ATMs</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270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275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Agentes BCP Bolivia</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Bolivia's Network</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w:t>
            </w:r>
          </w:p>
        </w:tc>
        <w:tc>
          <w:tcPr>
            <w:tcW w:w="22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w:t>
            </w:r>
          </w:p>
        </w:tc>
        <w:tc>
          <w:tcPr>
            <w:tcW w:w="2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w:t>
            </w:r>
          </w:p>
        </w:tc>
        <w:tc>
          <w:tcPr>
            <w:tcW w:w="2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20" w:type="dxa"/>
            <w:vAlign w:val="bottom"/>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 xml:space="preserve">Total Banking Business Network </w:t>
            </w:r>
            <w:r>
              <w:rPr>
                <w:rFonts w:ascii="Arial" w:cs="Arial" w:eastAsia="Arial" w:hAnsi="Arial"/>
                <w:sz w:val="28"/>
                <w:szCs w:val="28"/>
                <w:b w:val="1"/>
                <w:bCs w:val="1"/>
                <w:color w:val="auto"/>
                <w:vertAlign w:val="superscript"/>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9,537</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9,966</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9,835</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-131</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298</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580" w:firstLine="8"/>
        <w:spacing w:after="0" w:line="258" w:lineRule="auto"/>
        <w:tabs>
          <w:tab w:leader="none" w:pos="2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Mibanco does not have Agentes or ATMs because it uses the BCP network. Mibanco branches include Banco de la Nacion branches, which in Mar 17, Dec 17 and Mar 18 were 40, 38 and 38 respectively.</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ASB not included.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distribution channels at BCP Stand-alone, Mibanco and BCP Bolivia reported a total of 9,835 points of contact at the end of 1Q18, which represented a drop of 131 points QoQ.</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BCP Stand-alone posted a total of 8,950 points of contact at the end of 1Q18, which represented a reduction of 137 points QoQ. The aforementioned was due primarily to a drop in the number of Agentes BCP (-119 QoQ) given that in the first quarter of every year, a review is conducted of the performance of Agentes BCP and those that fail to reach profitability benchmarks for the year are shut down.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Mibanco maintained a stable number of branches QoQ. It is important to mention that Mibanco has an agreement with the Banco de la Nacion that allows it to use the latter’s offices throughout the country to reduce operating costs. At the end of 1Q18, these offices represented 12% (38 branches) of Mibanco’s total of 325 branches.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Bolivia increased its points of contact by +5 points 1Q18 due to growth in the number of ATMs. This was in line with the bank’s growth strategy, which has set a goal to open 300 Agentes BCP by the end of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BCP Stand-alone’s total number of points of contact rose by 180 units, which was mainly attributable to the increase in Agentes BCP (+205). This reflected the bank’s strategy to step-up banking penetration and promote migration to cost-efficient channels. The number of branches fell by 14 QoQ, which led to a subsequent drop in ATMs YoY (-11).</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Bolivia increased its points of contact (+89 YoY), mainly due to growth in agentes BCP. Mibanco posted an increase in its total number of branches (+7 YoY), which was attributable to on-going business expansion.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Arial" w:cs="Arial" w:eastAsia="Arial" w:hAnsi="Arial"/>
                <w:sz w:val="18"/>
                <w:szCs w:val="18"/>
                <w:b w:val="1"/>
                <w:bCs w:val="1"/>
                <w:color w:val="auto"/>
              </w:rPr>
              <w:t>Points of contact – BCP Stand-alone</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27"/>
        </w:trPr>
        <w:tc>
          <w:tcPr>
            <w:tcW w:w="3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As of</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5"/>
          </w:tcPr>
          <w:p>
            <w:pPr>
              <w:ind w:left="480"/>
              <w:spacing w:after="0"/>
              <w:rPr>
                <w:sz w:val="20"/>
                <w:szCs w:val="20"/>
                <w:color w:val="auto"/>
              </w:rPr>
            </w:pPr>
            <w:r>
              <w:rPr>
                <w:rFonts w:ascii="Arial" w:cs="Arial" w:eastAsia="Arial" w:hAnsi="Arial"/>
                <w:sz w:val="18"/>
                <w:szCs w:val="18"/>
                <w:b w:val="1"/>
                <w:bCs w:val="1"/>
                <w:color w:val="auto"/>
              </w:rPr>
              <w:t>% change (units)</w:t>
            </w:r>
          </w:p>
        </w:tc>
      </w:tr>
      <w:tr>
        <w:trPr>
          <w:trHeight w:val="234"/>
        </w:trPr>
        <w:tc>
          <w:tcPr>
            <w:tcW w:w="352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Mar 17</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Dec 17</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 18</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QoQ</w:t>
            </w:r>
          </w:p>
        </w:tc>
        <w:tc>
          <w:tcPr>
            <w:tcW w:w="1140" w:type="dxa"/>
            <w:vAlign w:val="bottom"/>
            <w:gridSpan w:val="3"/>
          </w:tcPr>
          <w:p>
            <w:pPr>
              <w:ind w:left="360"/>
              <w:spacing w:after="0"/>
              <w:rPr>
                <w:sz w:val="20"/>
                <w:szCs w:val="20"/>
                <w:color w:val="auto"/>
              </w:rPr>
            </w:pPr>
            <w:r>
              <w:rPr>
                <w:rFonts w:ascii="Arial" w:cs="Arial" w:eastAsia="Arial" w:hAnsi="Arial"/>
                <w:sz w:val="18"/>
                <w:szCs w:val="18"/>
                <w:b w:val="1"/>
                <w:bCs w:val="1"/>
                <w:color w:val="auto"/>
              </w:rPr>
              <w:t>YoY</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Lima</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Provinces</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167</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Branches</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8"/>
                <w:szCs w:val="18"/>
                <w:color w:val="auto"/>
              </w:rPr>
              <w:t>Lima</w:t>
            </w:r>
          </w:p>
        </w:tc>
        <w:tc>
          <w:tcPr>
            <w:tcW w:w="1080" w:type="dxa"/>
            <w:vAlign w:val="bottom"/>
          </w:tcPr>
          <w:p>
            <w:pPr>
              <w:jc w:val="right"/>
              <w:spacing w:after="0"/>
              <w:rPr>
                <w:sz w:val="20"/>
                <w:szCs w:val="20"/>
                <w:color w:val="auto"/>
              </w:rPr>
            </w:pPr>
            <w:r>
              <w:rPr>
                <w:rFonts w:ascii="Arial" w:cs="Arial" w:eastAsia="Arial" w:hAnsi="Arial"/>
                <w:sz w:val="18"/>
                <w:szCs w:val="18"/>
                <w:color w:val="auto"/>
              </w:rPr>
              <w:t>1,555</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1,528</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1,531</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Provinces</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801</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790</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0"/>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ATM's</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2,321</w:t>
            </w:r>
          </w:p>
        </w:tc>
        <w:tc>
          <w:tcPr>
            <w:tcW w:w="22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2,329</w:t>
            </w:r>
          </w:p>
        </w:tc>
        <w:tc>
          <w:tcPr>
            <w:tcW w:w="2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2,321</w:t>
            </w:r>
          </w:p>
        </w:tc>
        <w:tc>
          <w:tcPr>
            <w:tcW w:w="2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Lima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Provinces</w:t>
            </w:r>
          </w:p>
        </w:tc>
        <w:tc>
          <w:tcPr>
            <w:tcW w:w="1080" w:type="dxa"/>
            <w:vAlign w:val="bottom"/>
          </w:tcPr>
          <w:p>
            <w:pPr>
              <w:jc w:val="right"/>
              <w:spacing w:after="0"/>
              <w:rPr>
                <w:sz w:val="20"/>
                <w:szCs w:val="20"/>
                <w:color w:val="auto"/>
              </w:rPr>
            </w:pPr>
            <w:r>
              <w:rPr>
                <w:rFonts w:ascii="Arial" w:cs="Arial" w:eastAsia="Arial" w:hAnsi="Arial"/>
                <w:sz w:val="18"/>
                <w:szCs w:val="18"/>
                <w:color w:val="auto"/>
              </w:rPr>
              <w:t>2,852</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2,983</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2,922</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Agentes BCP</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5,976</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6,310</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6,191</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8"/>
                <w:szCs w:val="18"/>
                <w:b w:val="1"/>
                <w:bCs w:val="1"/>
                <w:color w:val="auto"/>
              </w:rPr>
              <w:t>Total points of contact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8,748</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9,087</w:t>
            </w: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8,950</w:t>
            </w: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8"/>
          <w:szCs w:val="18"/>
          <w:color w:val="auto"/>
        </w:rPr>
        <w:t>This quarter, the number of points of contact at BCP Stand-alone fell 137 points. Lima accounted for 60 points of this drop and the provinces, 77. It is important to note that the bank eliminated a branch in Lima with a traditional format to introduce a new layout known as “BCP Lab” to drive a pilot experience and explore new initiatives to improve the clients’ experiences. We are also actively promoting the use of digital channels to improve customer service and the efficiency of our points of contact.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YoY analysis reported significant growth in the total number of points of contact. This was primarily attributable to an increase of Agentes BCP (+205), which took place both in Lima (+138) and in the provinces (+67). It is important to note that the plan for growth is based on the historic behavior of each territory with the aim of achieving the target set for national expansion.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aforementioned helped offset the drop in Branches and ATMs. This decline was seen in both Lima and in the provinces and is in line with the bank’s strategy to promote migration to cost-efficient channels. The number of ATMs in the provinces fell YoY (-35) while in Lima, the total increased (+24) due to new ATMs installed in branches and in other public spaces.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per channel – BCP Stand-alone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w w:val="89"/>
              </w:rPr>
              <w:t xml:space="preserve">N° of Transactions per channel </w:t>
            </w:r>
            <w:r>
              <w:rPr>
                <w:rFonts w:ascii="Arial" w:cs="Arial" w:eastAsia="Arial" w:hAnsi="Arial"/>
                <w:sz w:val="23"/>
                <w:szCs w:val="23"/>
                <w:b w:val="1"/>
                <w:bCs w:val="1"/>
                <w:color w:val="auto"/>
                <w:w w:val="89"/>
                <w:vertAlign w:val="superscript"/>
              </w:rPr>
              <w:t>(1)</w:t>
            </w:r>
          </w:p>
        </w:tc>
        <w:tc>
          <w:tcPr>
            <w:tcW w:w="100" w:type="dxa"/>
            <w:vAlign w:val="bottom"/>
            <w:vMerge w:val="restart"/>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jc w:val="right"/>
              <w:ind w:right="68"/>
              <w:spacing w:after="0"/>
              <w:rPr>
                <w:sz w:val="20"/>
                <w:szCs w:val="20"/>
                <w:color w:val="auto"/>
              </w:rPr>
            </w:pPr>
            <w:r>
              <w:rPr>
                <w:rFonts w:ascii="Arial" w:cs="Arial" w:eastAsia="Arial" w:hAnsi="Arial"/>
                <w:sz w:val="14"/>
                <w:szCs w:val="14"/>
                <w:b w:val="1"/>
                <w:bCs w:val="1"/>
                <w:color w:val="auto"/>
                <w:w w:val="94"/>
              </w:rPr>
              <w:t>Monthly average in each quarter</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1Q17</w:t>
            </w:r>
          </w:p>
        </w:tc>
        <w:tc>
          <w:tcPr>
            <w:tcW w:w="1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4Q17</w:t>
            </w:r>
          </w:p>
        </w:tc>
        <w:tc>
          <w:tcPr>
            <w:tcW w:w="2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1Q18</w:t>
            </w:r>
          </w:p>
        </w:tc>
        <w:tc>
          <w:tcPr>
            <w:tcW w:w="1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92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b w:val="1"/>
                <w:bCs w:val="1"/>
                <w:color w:val="auto"/>
              </w:rPr>
              <w:t>Traditional</w:t>
            </w:r>
          </w:p>
        </w:tc>
        <w:tc>
          <w:tcPr>
            <w:tcW w:w="10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Teller</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8,209,262</w:t>
            </w: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7.6%</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8,379,478</w:t>
            </w:r>
          </w:p>
        </w:tc>
        <w:tc>
          <w:tcPr>
            <w:tcW w:w="20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48"/>
              <w:spacing w:after="0" w:line="119" w:lineRule="exact"/>
              <w:rPr>
                <w:sz w:val="20"/>
                <w:szCs w:val="20"/>
                <w:color w:val="auto"/>
              </w:rPr>
            </w:pPr>
            <w:r>
              <w:rPr>
                <w:rFonts w:ascii="Arial" w:cs="Arial" w:eastAsia="Arial" w:hAnsi="Arial"/>
                <w:sz w:val="13"/>
                <w:szCs w:val="13"/>
                <w:color w:val="auto"/>
              </w:rPr>
              <w:t>6.4%</w:t>
            </w: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7,989,543</w:t>
            </w: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48"/>
              <w:spacing w:after="0" w:line="119" w:lineRule="exact"/>
              <w:rPr>
                <w:sz w:val="20"/>
                <w:szCs w:val="20"/>
                <w:color w:val="auto"/>
              </w:rPr>
            </w:pPr>
            <w:r>
              <w:rPr>
                <w:rFonts w:ascii="Arial" w:cs="Arial" w:eastAsia="Arial" w:hAnsi="Arial"/>
                <w:sz w:val="13"/>
                <w:szCs w:val="13"/>
                <w:color w:val="auto"/>
              </w:rPr>
              <w:t>6.2%</w:t>
            </w:r>
          </w:p>
        </w:tc>
        <w:tc>
          <w:tcPr>
            <w:tcW w:w="1020" w:type="dxa"/>
            <w:vAlign w:val="bottom"/>
            <w:gridSpan w:val="2"/>
            <w:shd w:val="clear" w:color="auto" w:fill="CCEEFF"/>
          </w:tcPr>
          <w:p>
            <w:pPr>
              <w:jc w:val="right"/>
              <w:ind w:right="28"/>
              <w:spacing w:after="0" w:line="119" w:lineRule="exact"/>
              <w:rPr>
                <w:sz w:val="20"/>
                <w:szCs w:val="20"/>
                <w:color w:val="auto"/>
              </w:rPr>
            </w:pPr>
            <w:r>
              <w:rPr>
                <w:rFonts w:ascii="Arial" w:cs="Arial" w:eastAsia="Arial" w:hAnsi="Arial"/>
                <w:sz w:val="13"/>
                <w:szCs w:val="13"/>
                <w:color w:val="auto"/>
              </w:rPr>
              <w:t>-4.7%</w:t>
            </w:r>
          </w:p>
        </w:tc>
        <w:tc>
          <w:tcPr>
            <w:tcW w:w="2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71"/>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channels</w:t>
            </w:r>
          </w:p>
        </w:tc>
        <w:tc>
          <w:tcPr>
            <w:tcW w:w="10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Telephone banking</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3,617,008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4,892,314</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4,502,039</w:t>
            </w:r>
          </w:p>
        </w:tc>
        <w:tc>
          <w:tcPr>
            <w:tcW w:w="4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2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26"/>
        </w:trPr>
        <w:tc>
          <w:tcPr>
            <w:tcW w:w="9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1"/>
              </w:rPr>
              <w:t>Cost-efficient</w:t>
            </w:r>
          </w:p>
        </w:tc>
        <w:tc>
          <w:tcPr>
            <w:tcW w:w="100" w:type="dxa"/>
            <w:vAlign w:val="bottom"/>
          </w:tcPr>
          <w:p>
            <w:pPr>
              <w:spacing w:after="0"/>
              <w:rPr>
                <w:sz w:val="10"/>
                <w:szCs w:val="10"/>
                <w:color w:val="auto"/>
              </w:rPr>
            </w:pPr>
          </w:p>
        </w:tc>
        <w:tc>
          <w:tcPr>
            <w:tcW w:w="2180" w:type="dxa"/>
            <w:vAlign w:val="bottom"/>
            <w:gridSpan w:val="2"/>
          </w:tcPr>
          <w:p>
            <w:pPr>
              <w:spacing w:after="0" w:line="126" w:lineRule="exact"/>
              <w:rPr>
                <w:sz w:val="20"/>
                <w:szCs w:val="20"/>
                <w:color w:val="auto"/>
              </w:rPr>
            </w:pPr>
            <w:r>
              <w:rPr>
                <w:rFonts w:ascii="Arial" w:cs="Arial" w:eastAsia="Arial" w:hAnsi="Arial"/>
                <w:sz w:val="14"/>
                <w:szCs w:val="14"/>
                <w:color w:val="auto"/>
              </w:rPr>
              <w:t>Agentes BCP</w:t>
            </w:r>
          </w:p>
        </w:tc>
        <w:tc>
          <w:tcPr>
            <w:tcW w:w="1060" w:type="dxa"/>
            <w:vAlign w:val="bottom"/>
            <w:gridSpan w:val="2"/>
          </w:tcPr>
          <w:p>
            <w:pPr>
              <w:jc w:val="right"/>
              <w:ind w:right="180"/>
              <w:spacing w:after="0" w:line="126" w:lineRule="exact"/>
              <w:rPr>
                <w:sz w:val="20"/>
                <w:szCs w:val="20"/>
                <w:color w:val="auto"/>
              </w:rPr>
            </w:pPr>
            <w:r>
              <w:rPr>
                <w:rFonts w:ascii="Arial" w:cs="Arial" w:eastAsia="Arial" w:hAnsi="Arial"/>
                <w:sz w:val="14"/>
                <w:szCs w:val="14"/>
                <w:color w:val="auto"/>
              </w:rPr>
              <w:t>15,883,836</w:t>
            </w:r>
          </w:p>
        </w:tc>
        <w:tc>
          <w:tcPr>
            <w:tcW w:w="940" w:type="dxa"/>
            <w:vAlign w:val="bottom"/>
            <w:gridSpan w:val="2"/>
          </w:tcPr>
          <w:p>
            <w:pPr>
              <w:jc w:val="right"/>
              <w:spacing w:after="0" w:line="126" w:lineRule="exact"/>
              <w:rPr>
                <w:sz w:val="20"/>
                <w:szCs w:val="20"/>
                <w:color w:val="auto"/>
              </w:rPr>
            </w:pPr>
            <w:r>
              <w:rPr>
                <w:rFonts w:ascii="Arial" w:cs="Arial" w:eastAsia="Arial" w:hAnsi="Arial"/>
                <w:sz w:val="14"/>
                <w:szCs w:val="14"/>
                <w:color w:val="auto"/>
              </w:rPr>
              <w:t>14.7%</w:t>
            </w:r>
          </w:p>
        </w:tc>
        <w:tc>
          <w:tcPr>
            <w:tcW w:w="960" w:type="dxa"/>
            <w:vAlign w:val="bottom"/>
            <w:gridSpan w:val="2"/>
          </w:tcPr>
          <w:p>
            <w:pPr>
              <w:jc w:val="right"/>
              <w:spacing w:after="0" w:line="126" w:lineRule="exact"/>
              <w:rPr>
                <w:sz w:val="20"/>
                <w:szCs w:val="20"/>
                <w:color w:val="auto"/>
              </w:rPr>
            </w:pPr>
            <w:r>
              <w:rPr>
                <w:rFonts w:ascii="Arial" w:cs="Arial" w:eastAsia="Arial" w:hAnsi="Arial"/>
                <w:sz w:val="14"/>
                <w:szCs w:val="14"/>
                <w:color w:val="auto"/>
              </w:rPr>
              <w:t>19,383,629</w:t>
            </w:r>
          </w:p>
        </w:tc>
        <w:tc>
          <w:tcPr>
            <w:tcW w:w="200" w:type="dxa"/>
            <w:vAlign w:val="bottom"/>
          </w:tcPr>
          <w:p>
            <w:pPr>
              <w:spacing w:after="0"/>
              <w:rPr>
                <w:sz w:val="10"/>
                <w:szCs w:val="10"/>
                <w:color w:val="auto"/>
              </w:rPr>
            </w:pPr>
          </w:p>
        </w:tc>
        <w:tc>
          <w:tcPr>
            <w:tcW w:w="1020" w:type="dxa"/>
            <w:vAlign w:val="bottom"/>
            <w:gridSpan w:val="2"/>
          </w:tcPr>
          <w:p>
            <w:pPr>
              <w:jc w:val="right"/>
              <w:ind w:right="48"/>
              <w:spacing w:after="0" w:line="126" w:lineRule="exact"/>
              <w:rPr>
                <w:sz w:val="20"/>
                <w:szCs w:val="20"/>
                <w:color w:val="auto"/>
              </w:rPr>
            </w:pPr>
            <w:r>
              <w:rPr>
                <w:rFonts w:ascii="Arial" w:cs="Arial" w:eastAsia="Arial" w:hAnsi="Arial"/>
                <w:sz w:val="14"/>
                <w:szCs w:val="14"/>
                <w:color w:val="auto"/>
              </w:rPr>
              <w:t>14.7%</w:t>
            </w:r>
          </w:p>
        </w:tc>
        <w:tc>
          <w:tcPr>
            <w:tcW w:w="1060" w:type="dxa"/>
            <w:vAlign w:val="bottom"/>
            <w:gridSpan w:val="2"/>
          </w:tcPr>
          <w:p>
            <w:pPr>
              <w:jc w:val="right"/>
              <w:ind w:right="180"/>
              <w:spacing w:after="0" w:line="126" w:lineRule="exact"/>
              <w:rPr>
                <w:sz w:val="20"/>
                <w:szCs w:val="20"/>
                <w:color w:val="auto"/>
              </w:rPr>
            </w:pPr>
            <w:r>
              <w:rPr>
                <w:rFonts w:ascii="Arial" w:cs="Arial" w:eastAsia="Arial" w:hAnsi="Arial"/>
                <w:sz w:val="14"/>
                <w:szCs w:val="14"/>
                <w:color w:val="auto"/>
              </w:rPr>
              <w:t>19,147,059</w:t>
            </w:r>
          </w:p>
        </w:tc>
        <w:tc>
          <w:tcPr>
            <w:tcW w:w="480" w:type="dxa"/>
            <w:vAlign w:val="bottom"/>
          </w:tcPr>
          <w:p>
            <w:pPr>
              <w:spacing w:after="0"/>
              <w:rPr>
                <w:sz w:val="10"/>
                <w:szCs w:val="10"/>
                <w:color w:val="auto"/>
              </w:rPr>
            </w:pPr>
          </w:p>
        </w:tc>
        <w:tc>
          <w:tcPr>
            <w:tcW w:w="560" w:type="dxa"/>
            <w:vAlign w:val="bottom"/>
            <w:gridSpan w:val="2"/>
          </w:tcPr>
          <w:p>
            <w:pPr>
              <w:jc w:val="right"/>
              <w:ind w:right="48"/>
              <w:spacing w:after="0" w:line="126" w:lineRule="exact"/>
              <w:rPr>
                <w:sz w:val="20"/>
                <w:szCs w:val="20"/>
                <w:color w:val="auto"/>
              </w:rPr>
            </w:pPr>
            <w:r>
              <w:rPr>
                <w:rFonts w:ascii="Arial" w:cs="Arial" w:eastAsia="Arial" w:hAnsi="Arial"/>
                <w:sz w:val="14"/>
                <w:szCs w:val="14"/>
                <w:color w:val="auto"/>
              </w:rPr>
              <w:t>14.8%</w:t>
            </w:r>
          </w:p>
        </w:tc>
        <w:tc>
          <w:tcPr>
            <w:tcW w:w="1020" w:type="dxa"/>
            <w:vAlign w:val="bottom"/>
            <w:gridSpan w:val="2"/>
          </w:tcPr>
          <w:p>
            <w:pPr>
              <w:jc w:val="right"/>
              <w:ind w:right="28"/>
              <w:spacing w:after="0" w:line="126" w:lineRule="exact"/>
              <w:rPr>
                <w:sz w:val="20"/>
                <w:szCs w:val="20"/>
                <w:color w:val="auto"/>
              </w:rPr>
            </w:pPr>
            <w:r>
              <w:rPr>
                <w:rFonts w:ascii="Arial" w:cs="Arial" w:eastAsia="Arial" w:hAnsi="Arial"/>
                <w:sz w:val="14"/>
                <w:szCs w:val="14"/>
                <w:color w:val="auto"/>
              </w:rPr>
              <w:t>-1.2%</w:t>
            </w:r>
          </w:p>
        </w:tc>
        <w:tc>
          <w:tcPr>
            <w:tcW w:w="240" w:type="dxa"/>
            <w:vAlign w:val="bottom"/>
          </w:tcPr>
          <w:p>
            <w:pPr>
              <w:spacing w:after="0"/>
              <w:rPr>
                <w:sz w:val="10"/>
                <w:szCs w:val="10"/>
                <w:color w:val="auto"/>
              </w:rPr>
            </w:pPr>
          </w:p>
        </w:tc>
        <w:tc>
          <w:tcPr>
            <w:tcW w:w="680" w:type="dxa"/>
            <w:vAlign w:val="bottom"/>
            <w:gridSpan w:val="2"/>
          </w:tcPr>
          <w:p>
            <w:pPr>
              <w:jc w:val="right"/>
              <w:spacing w:after="0" w:line="126" w:lineRule="exact"/>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7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channels</w:t>
            </w:r>
          </w:p>
        </w:tc>
        <w:tc>
          <w:tcPr>
            <w:tcW w:w="10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Arial" w:cs="Arial" w:eastAsia="Arial" w:hAnsi="Arial"/>
                <w:sz w:val="14"/>
                <w:szCs w:val="14"/>
                <w:color w:val="auto"/>
              </w:rPr>
              <w:t>ATMs</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19,689,451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18.2%</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22,034,832</w:t>
            </w:r>
          </w:p>
        </w:tc>
        <w:tc>
          <w:tcPr>
            <w:tcW w:w="200" w:type="dxa"/>
            <w:vAlign w:val="bottom"/>
          </w:tcPr>
          <w:p>
            <w:pPr>
              <w:spacing w:after="0"/>
              <w:rPr>
                <w:sz w:val="14"/>
                <w:szCs w:val="14"/>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16.8%</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21,733,218</w:t>
            </w:r>
          </w:p>
        </w:tc>
        <w:tc>
          <w:tcPr>
            <w:tcW w:w="480" w:type="dxa"/>
            <w:vAlign w:val="bottom"/>
          </w:tcPr>
          <w:p>
            <w:pPr>
              <w:spacing w:after="0"/>
              <w:rPr>
                <w:sz w:val="14"/>
                <w:szCs w:val="14"/>
                <w:color w:val="auto"/>
              </w:rPr>
            </w:pPr>
          </w:p>
        </w:tc>
        <w:tc>
          <w:tcPr>
            <w:tcW w:w="560" w:type="dxa"/>
            <w:vAlign w:val="bottom"/>
            <w:gridSpan w:val="2"/>
          </w:tcPr>
          <w:p>
            <w:pPr>
              <w:jc w:val="right"/>
              <w:ind w:right="48"/>
              <w:spacing w:after="0"/>
              <w:rPr>
                <w:sz w:val="20"/>
                <w:szCs w:val="20"/>
                <w:color w:val="auto"/>
              </w:rPr>
            </w:pPr>
            <w:r>
              <w:rPr>
                <w:rFonts w:ascii="Arial" w:cs="Arial" w:eastAsia="Arial" w:hAnsi="Arial"/>
                <w:sz w:val="14"/>
                <w:szCs w:val="14"/>
                <w:color w:val="auto"/>
              </w:rPr>
              <w:t>16.8%</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26"/>
        </w:trPr>
        <w:tc>
          <w:tcPr>
            <w:tcW w:w="920" w:type="dxa"/>
            <w:vAlign w:val="bottom"/>
            <w:shd w:val="clear" w:color="auto" w:fill="CCEEFF"/>
          </w:tcPr>
          <w:p>
            <w:pPr>
              <w:jc w:val="center"/>
              <w:spacing w:after="0" w:line="126" w:lineRule="exact"/>
              <w:rPr>
                <w:sz w:val="20"/>
                <w:szCs w:val="20"/>
                <w:color w:val="auto"/>
              </w:rPr>
            </w:pPr>
            <w:r>
              <w:rPr>
                <w:rFonts w:ascii="Arial" w:cs="Arial" w:eastAsia="Arial" w:hAnsi="Arial"/>
                <w:sz w:val="14"/>
                <w:szCs w:val="14"/>
                <w:b w:val="1"/>
                <w:bCs w:val="1"/>
                <w:color w:val="auto"/>
                <w:w w:val="98"/>
              </w:rPr>
              <w:t>Digital</w:t>
            </w:r>
          </w:p>
        </w:tc>
        <w:tc>
          <w:tcPr>
            <w:tcW w:w="100" w:type="dxa"/>
            <w:vAlign w:val="bottom"/>
            <w:shd w:val="clear" w:color="auto" w:fill="CCEEFF"/>
          </w:tcPr>
          <w:p>
            <w:pPr>
              <w:spacing w:after="0"/>
              <w:rPr>
                <w:sz w:val="10"/>
                <w:szCs w:val="10"/>
                <w:color w:val="auto"/>
              </w:rPr>
            </w:pPr>
          </w:p>
        </w:tc>
        <w:tc>
          <w:tcPr>
            <w:tcW w:w="218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color w:val="auto"/>
              </w:rPr>
              <w:t>Mobile banking</w:t>
            </w:r>
          </w:p>
        </w:tc>
        <w:tc>
          <w:tcPr>
            <w:tcW w:w="1060" w:type="dxa"/>
            <w:vAlign w:val="bottom"/>
            <w:gridSpan w:val="2"/>
            <w:shd w:val="clear" w:color="auto" w:fill="CCEEFF"/>
          </w:tcPr>
          <w:p>
            <w:pPr>
              <w:jc w:val="right"/>
              <w:ind w:right="180"/>
              <w:spacing w:after="0" w:line="126" w:lineRule="exact"/>
              <w:rPr>
                <w:sz w:val="20"/>
                <w:szCs w:val="20"/>
                <w:color w:val="auto"/>
              </w:rPr>
            </w:pPr>
            <w:r>
              <w:rPr>
                <w:rFonts w:ascii="Arial" w:cs="Arial" w:eastAsia="Arial" w:hAnsi="Arial"/>
                <w:sz w:val="14"/>
                <w:szCs w:val="14"/>
                <w:color w:val="auto"/>
              </w:rPr>
              <w:t>19,161,532</w:t>
            </w:r>
          </w:p>
        </w:tc>
        <w:tc>
          <w:tcPr>
            <w:tcW w:w="94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4"/>
                <w:szCs w:val="14"/>
                <w:color w:val="auto"/>
              </w:rPr>
              <w:t>17.7%</w:t>
            </w:r>
          </w:p>
        </w:tc>
        <w:tc>
          <w:tcPr>
            <w:tcW w:w="96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4"/>
                <w:szCs w:val="14"/>
                <w:color w:val="auto"/>
              </w:rPr>
              <w:t>33,389,721</w:t>
            </w:r>
          </w:p>
        </w:tc>
        <w:tc>
          <w:tcPr>
            <w:tcW w:w="20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48"/>
              <w:spacing w:after="0" w:line="126" w:lineRule="exact"/>
              <w:rPr>
                <w:sz w:val="20"/>
                <w:szCs w:val="20"/>
                <w:color w:val="auto"/>
              </w:rPr>
            </w:pPr>
            <w:r>
              <w:rPr>
                <w:rFonts w:ascii="Arial" w:cs="Arial" w:eastAsia="Arial" w:hAnsi="Arial"/>
                <w:sz w:val="14"/>
                <w:szCs w:val="14"/>
                <w:color w:val="auto"/>
              </w:rPr>
              <w:t>25.4%</w:t>
            </w:r>
          </w:p>
        </w:tc>
        <w:tc>
          <w:tcPr>
            <w:tcW w:w="1060" w:type="dxa"/>
            <w:vAlign w:val="bottom"/>
            <w:gridSpan w:val="2"/>
            <w:shd w:val="clear" w:color="auto" w:fill="CCEEFF"/>
          </w:tcPr>
          <w:p>
            <w:pPr>
              <w:jc w:val="right"/>
              <w:ind w:right="180"/>
              <w:spacing w:after="0" w:line="126" w:lineRule="exact"/>
              <w:rPr>
                <w:sz w:val="20"/>
                <w:szCs w:val="20"/>
                <w:color w:val="auto"/>
              </w:rPr>
            </w:pPr>
            <w:r>
              <w:rPr>
                <w:rFonts w:ascii="Arial" w:cs="Arial" w:eastAsia="Arial" w:hAnsi="Arial"/>
                <w:sz w:val="14"/>
                <w:szCs w:val="14"/>
                <w:color w:val="auto"/>
              </w:rPr>
              <w:t>35,607,617</w:t>
            </w:r>
          </w:p>
        </w:tc>
        <w:tc>
          <w:tcPr>
            <w:tcW w:w="4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48"/>
              <w:spacing w:after="0" w:line="126" w:lineRule="exact"/>
              <w:rPr>
                <w:sz w:val="20"/>
                <w:szCs w:val="20"/>
                <w:color w:val="auto"/>
              </w:rPr>
            </w:pPr>
            <w:r>
              <w:rPr>
                <w:rFonts w:ascii="Arial" w:cs="Arial" w:eastAsia="Arial" w:hAnsi="Arial"/>
                <w:sz w:val="14"/>
                <w:szCs w:val="14"/>
                <w:color w:val="auto"/>
              </w:rPr>
              <w:t>27.5%</w:t>
            </w:r>
          </w:p>
        </w:tc>
        <w:tc>
          <w:tcPr>
            <w:tcW w:w="1020" w:type="dxa"/>
            <w:vAlign w:val="bottom"/>
            <w:gridSpan w:val="2"/>
            <w:shd w:val="clear" w:color="auto" w:fill="CCEEFF"/>
          </w:tcPr>
          <w:p>
            <w:pPr>
              <w:jc w:val="right"/>
              <w:ind w:right="28"/>
              <w:spacing w:after="0" w:line="126" w:lineRule="exact"/>
              <w:rPr>
                <w:sz w:val="20"/>
                <w:szCs w:val="20"/>
                <w:color w:val="auto"/>
              </w:rPr>
            </w:pPr>
            <w:r>
              <w:rPr>
                <w:rFonts w:ascii="Arial" w:cs="Arial" w:eastAsia="Arial" w:hAnsi="Arial"/>
                <w:sz w:val="14"/>
                <w:szCs w:val="14"/>
                <w:color w:val="auto"/>
              </w:rPr>
              <w:t>6.6%</w:t>
            </w:r>
          </w:p>
        </w:tc>
        <w:tc>
          <w:tcPr>
            <w:tcW w:w="2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171"/>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channels</w:t>
            </w:r>
          </w:p>
        </w:tc>
        <w:tc>
          <w:tcPr>
            <w:tcW w:w="10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Internet banking Via BCP</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18,665,888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17,447,776</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14,087,742</w:t>
            </w:r>
          </w:p>
        </w:tc>
        <w:tc>
          <w:tcPr>
            <w:tcW w:w="4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-19.3%</w:t>
            </w:r>
          </w:p>
        </w:tc>
        <w:tc>
          <w:tcPr>
            <w:tcW w:w="2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89"/>
        </w:trPr>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Balance inquiries </w:t>
            </w:r>
            <w:r>
              <w:rPr>
                <w:rFonts w:ascii="Arial" w:cs="Arial" w:eastAsia="Arial" w:hAnsi="Arial"/>
                <w:sz w:val="21"/>
                <w:szCs w:val="21"/>
                <w:color w:val="auto"/>
                <w:vertAlign w:val="superscript"/>
              </w:rPr>
              <w:t>(2)</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2,240,812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1,877,972</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1,716,853</w:t>
            </w:r>
          </w:p>
        </w:tc>
        <w:tc>
          <w:tcPr>
            <w:tcW w:w="4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2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30"/>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Others</w:t>
            </w:r>
          </w:p>
        </w:tc>
        <w:tc>
          <w:tcPr>
            <w:tcW w:w="100" w:type="dxa"/>
            <w:vAlign w:val="bottom"/>
          </w:tcPr>
          <w:p>
            <w:pPr>
              <w:spacing w:after="0"/>
              <w:rPr>
                <w:sz w:val="11"/>
                <w:szCs w:val="11"/>
                <w:color w:val="auto"/>
              </w:rPr>
            </w:pPr>
          </w:p>
        </w:tc>
        <w:tc>
          <w:tcPr>
            <w:tcW w:w="2180" w:type="dxa"/>
            <w:vAlign w:val="bottom"/>
            <w:gridSpan w:val="2"/>
          </w:tcPr>
          <w:p>
            <w:pPr>
              <w:spacing w:after="0" w:line="130" w:lineRule="exact"/>
              <w:rPr>
                <w:sz w:val="20"/>
                <w:szCs w:val="20"/>
                <w:color w:val="auto"/>
              </w:rPr>
            </w:pPr>
            <w:r>
              <w:rPr>
                <w:rFonts w:ascii="Arial" w:cs="Arial" w:eastAsia="Arial" w:hAnsi="Arial"/>
                <w:sz w:val="14"/>
                <w:szCs w:val="14"/>
                <w:color w:val="auto"/>
              </w:rPr>
              <w:t>Telecrédito</w:t>
            </w:r>
          </w:p>
        </w:tc>
        <w:tc>
          <w:tcPr>
            <w:tcW w:w="106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9,348,825</w:t>
            </w:r>
          </w:p>
        </w:tc>
        <w:tc>
          <w:tcPr>
            <w:tcW w:w="9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8.6%</w:t>
            </w:r>
          </w:p>
        </w:tc>
        <w:tc>
          <w:tcPr>
            <w:tcW w:w="9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10,746,093</w:t>
            </w:r>
          </w:p>
        </w:tc>
        <w:tc>
          <w:tcPr>
            <w:tcW w:w="200" w:type="dxa"/>
            <w:vAlign w:val="bottom"/>
          </w:tcPr>
          <w:p>
            <w:pPr>
              <w:spacing w:after="0"/>
              <w:rPr>
                <w:sz w:val="11"/>
                <w:szCs w:val="11"/>
                <w:color w:val="auto"/>
              </w:rPr>
            </w:pPr>
          </w:p>
        </w:tc>
        <w:tc>
          <w:tcPr>
            <w:tcW w:w="1020" w:type="dxa"/>
            <w:vAlign w:val="bottom"/>
            <w:gridSpan w:val="2"/>
          </w:tcPr>
          <w:p>
            <w:pPr>
              <w:jc w:val="right"/>
              <w:ind w:right="48"/>
              <w:spacing w:after="0" w:line="130" w:lineRule="exact"/>
              <w:rPr>
                <w:sz w:val="20"/>
                <w:szCs w:val="20"/>
                <w:color w:val="auto"/>
              </w:rPr>
            </w:pPr>
            <w:r>
              <w:rPr>
                <w:rFonts w:ascii="Arial" w:cs="Arial" w:eastAsia="Arial" w:hAnsi="Arial"/>
                <w:sz w:val="14"/>
                <w:szCs w:val="14"/>
                <w:color w:val="auto"/>
              </w:rPr>
              <w:t>8.2%</w:t>
            </w:r>
          </w:p>
        </w:tc>
        <w:tc>
          <w:tcPr>
            <w:tcW w:w="106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10,415,356</w:t>
            </w:r>
          </w:p>
        </w:tc>
        <w:tc>
          <w:tcPr>
            <w:tcW w:w="480" w:type="dxa"/>
            <w:vAlign w:val="bottom"/>
          </w:tcPr>
          <w:p>
            <w:pPr>
              <w:spacing w:after="0"/>
              <w:rPr>
                <w:sz w:val="11"/>
                <w:szCs w:val="11"/>
                <w:color w:val="auto"/>
              </w:rPr>
            </w:pPr>
          </w:p>
        </w:tc>
        <w:tc>
          <w:tcPr>
            <w:tcW w:w="560" w:type="dxa"/>
            <w:vAlign w:val="bottom"/>
            <w:gridSpan w:val="2"/>
          </w:tcPr>
          <w:p>
            <w:pPr>
              <w:jc w:val="right"/>
              <w:ind w:right="48"/>
              <w:spacing w:after="0" w:line="130" w:lineRule="exact"/>
              <w:rPr>
                <w:sz w:val="20"/>
                <w:szCs w:val="20"/>
                <w:color w:val="auto"/>
              </w:rPr>
            </w:pPr>
            <w:r>
              <w:rPr>
                <w:rFonts w:ascii="Arial" w:cs="Arial" w:eastAsia="Arial" w:hAnsi="Arial"/>
                <w:sz w:val="14"/>
                <w:szCs w:val="14"/>
                <w:color w:val="auto"/>
              </w:rPr>
              <w:t>8.1%</w:t>
            </w:r>
          </w:p>
        </w:tc>
        <w:tc>
          <w:tcPr>
            <w:tcW w:w="1020" w:type="dxa"/>
            <w:vAlign w:val="bottom"/>
            <w:gridSpan w:val="2"/>
          </w:tcPr>
          <w:p>
            <w:pPr>
              <w:jc w:val="right"/>
              <w:ind w:right="28"/>
              <w:spacing w:after="0" w:line="130" w:lineRule="exact"/>
              <w:rPr>
                <w:sz w:val="20"/>
                <w:szCs w:val="20"/>
                <w:color w:val="auto"/>
              </w:rPr>
            </w:pPr>
            <w:r>
              <w:rPr>
                <w:rFonts w:ascii="Arial" w:cs="Arial" w:eastAsia="Arial" w:hAnsi="Arial"/>
                <w:sz w:val="14"/>
                <w:szCs w:val="14"/>
                <w:color w:val="auto"/>
              </w:rPr>
              <w:t>-3.1%</w:t>
            </w:r>
          </w:p>
        </w:tc>
        <w:tc>
          <w:tcPr>
            <w:tcW w:w="240" w:type="dxa"/>
            <w:vAlign w:val="bottom"/>
          </w:tcPr>
          <w:p>
            <w:pPr>
              <w:spacing w:after="0"/>
              <w:rPr>
                <w:sz w:val="11"/>
                <w:szCs w:val="11"/>
                <w:color w:val="auto"/>
              </w:rPr>
            </w:pPr>
          </w:p>
        </w:tc>
        <w:tc>
          <w:tcPr>
            <w:tcW w:w="6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Direct debit</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678,060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0.6%</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613,776</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0.5%</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615,195</w:t>
            </w:r>
          </w:p>
        </w:tc>
        <w:tc>
          <w:tcPr>
            <w:tcW w:w="480" w:type="dxa"/>
            <w:vAlign w:val="bottom"/>
          </w:tcPr>
          <w:p>
            <w:pPr>
              <w:spacing w:after="0"/>
              <w:rPr>
                <w:sz w:val="12"/>
                <w:szCs w:val="12"/>
                <w:color w:val="auto"/>
              </w:rPr>
            </w:pPr>
          </w:p>
        </w:tc>
        <w:tc>
          <w:tcPr>
            <w:tcW w:w="5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0.5%</w:t>
            </w:r>
          </w:p>
        </w:tc>
        <w:tc>
          <w:tcPr>
            <w:tcW w:w="10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0.2%</w:t>
            </w:r>
          </w:p>
        </w:tc>
        <w:tc>
          <w:tcPr>
            <w:tcW w:w="2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Points of sale P.O.S.</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10,609,166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12,534,911</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9.5%</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13,251,916</w:t>
            </w:r>
          </w:p>
        </w:tc>
        <w:tc>
          <w:tcPr>
            <w:tcW w:w="480" w:type="dxa"/>
            <w:vAlign w:val="bottom"/>
          </w:tcPr>
          <w:p>
            <w:pPr>
              <w:spacing w:after="0"/>
              <w:rPr>
                <w:sz w:val="12"/>
                <w:szCs w:val="12"/>
                <w:color w:val="auto"/>
              </w:rPr>
            </w:pPr>
          </w:p>
        </w:tc>
        <w:tc>
          <w:tcPr>
            <w:tcW w:w="5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10.3%</w:t>
            </w:r>
          </w:p>
        </w:tc>
        <w:tc>
          <w:tcPr>
            <w:tcW w:w="10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5.7%</w:t>
            </w:r>
          </w:p>
        </w:tc>
        <w:tc>
          <w:tcPr>
            <w:tcW w:w="2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spacing w:after="0"/>
              <w:rPr>
                <w:sz w:val="20"/>
                <w:szCs w:val="20"/>
                <w:color w:val="auto"/>
              </w:rPr>
            </w:pPr>
            <w:r>
              <w:rPr>
                <w:rFonts w:ascii="Arial" w:cs="Arial" w:eastAsia="Arial" w:hAnsi="Arial"/>
                <w:sz w:val="14"/>
                <w:szCs w:val="14"/>
                <w:color w:val="auto"/>
              </w:rPr>
              <w:t>Other ATMs network</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216,113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1160" w:type="dxa"/>
            <w:vAlign w:val="bottom"/>
            <w:gridSpan w:val="3"/>
          </w:tcPr>
          <w:p>
            <w:pPr>
              <w:jc w:val="right"/>
              <w:ind w:right="200"/>
              <w:spacing w:after="0"/>
              <w:rPr>
                <w:sz w:val="20"/>
                <w:szCs w:val="20"/>
                <w:color w:val="auto"/>
              </w:rPr>
            </w:pPr>
            <w:r>
              <w:rPr>
                <w:rFonts w:ascii="Arial" w:cs="Arial" w:eastAsia="Arial" w:hAnsi="Arial"/>
                <w:sz w:val="14"/>
                <w:szCs w:val="14"/>
                <w:color w:val="auto"/>
              </w:rPr>
              <w:t>220,218</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0.2%</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201,712</w:t>
            </w:r>
          </w:p>
        </w:tc>
        <w:tc>
          <w:tcPr>
            <w:tcW w:w="480" w:type="dxa"/>
            <w:vAlign w:val="bottom"/>
          </w:tcPr>
          <w:p>
            <w:pPr>
              <w:spacing w:after="0"/>
              <w:rPr>
                <w:sz w:val="15"/>
                <w:szCs w:val="15"/>
                <w:color w:val="auto"/>
              </w:rPr>
            </w:pPr>
          </w:p>
        </w:tc>
        <w:tc>
          <w:tcPr>
            <w:tcW w:w="560" w:type="dxa"/>
            <w:vAlign w:val="bottom"/>
            <w:gridSpan w:val="2"/>
          </w:tcPr>
          <w:p>
            <w:pPr>
              <w:jc w:val="right"/>
              <w:ind w:right="48"/>
              <w:spacing w:after="0"/>
              <w:rPr>
                <w:sz w:val="20"/>
                <w:szCs w:val="20"/>
                <w:color w:val="auto"/>
              </w:rPr>
            </w:pPr>
            <w:r>
              <w:rPr>
                <w:rFonts w:ascii="Arial" w:cs="Arial" w:eastAsia="Arial" w:hAnsi="Arial"/>
                <w:sz w:val="14"/>
                <w:szCs w:val="14"/>
                <w:color w:val="auto"/>
              </w:rPr>
              <w:t>0.2%</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-8.4%</w:t>
            </w:r>
          </w:p>
        </w:tc>
        <w:tc>
          <w:tcPr>
            <w:tcW w:w="2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2"/>
        </w:trPr>
        <w:tc>
          <w:tcPr>
            <w:tcW w:w="9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1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transactions</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108,319,952</w:t>
            </w:r>
          </w:p>
        </w:tc>
        <w:tc>
          <w:tcPr>
            <w:tcW w:w="1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131,520,719</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129,268,250</w:t>
            </w:r>
          </w:p>
        </w:tc>
        <w:tc>
          <w:tcPr>
            <w:tcW w:w="1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5"/>
              </w:rPr>
              <w:t>100.0</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22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19.3</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Figures include monetary and non-monetary transactions.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Figures from 1Q17 differ from previously reported because they included estimated figures.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monthly average of transactions fell QoQ due to a seasonal effect. As such, the YoY analysis provides a clearer picture of growth in transaction volumes. It is important to note that in 1Q18, the largest proportion of the drop in volume was see in Internet Banking Via BCP (-19.3% QoQ), followed by Telephone Banking (-8.0% QoQ) and Tellers (-4.7% QoQ). This reflects the bank’s strategy to migrate to digital and cost-efficient channels.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Mobile Banking posted the largest increase of all transaction channels (+6.6%) and has significantly increased its share of total transactions, which was situated at 27.5% in 1Q18. This was in keeping with our strategy to migrate to digital channels.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YoY analysis, which excludes the seasonal effect, an increase was seen in the monthly transaction level (+19.3%). The aforementioned was due primarily to an increase in the transactions through the following channels:</w:t>
      </w:r>
    </w:p>
    <w:p>
      <w:pPr>
        <w:spacing w:after="0" w:line="170" w:lineRule="exact"/>
        <w:rPr>
          <w:sz w:val="20"/>
          <w:szCs w:val="20"/>
          <w:color w:val="auto"/>
        </w:rPr>
      </w:pPr>
    </w:p>
    <w:p>
      <w:pPr>
        <w:jc w:val="both"/>
        <w:ind w:left="880" w:hanging="494"/>
        <w:spacing w:after="0" w:line="264"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Mobile Banking (+85.8% YoY) continues to increase its share due to mobile applications such as “Banca Celular BCP” and “Tus Beneficios BCP;” moves to open accounts for time deposits; confirmation of transactions with digital fingerprints through Android and IOS; and loan payments.</w:t>
      </w:r>
    </w:p>
    <w:p>
      <w:pPr>
        <w:spacing w:after="0" w:line="181" w:lineRule="exact"/>
        <w:rPr>
          <w:rFonts w:ascii="Arial" w:cs="Arial" w:eastAsia="Arial" w:hAnsi="Arial"/>
          <w:sz w:val="18"/>
          <w:szCs w:val="18"/>
          <w:color w:val="auto"/>
        </w:rPr>
      </w:pPr>
    </w:p>
    <w:p>
      <w:pPr>
        <w:jc w:val="both"/>
        <w:ind w:left="880" w:hanging="494"/>
        <w:spacing w:after="0" w:line="264"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Agentes BCP (+20.5% YoY), where the vast majority of the increase in the transactions volume is due to growth in deposits, withdrawals and payments of services (the option to pay electricity was established and the number of participating companies was increased), and, to a lesser extent, due to an increase in the volume of wire transfer issuances and withdrawals. The bank also instituted a campaign directed at the “socio agente BCP</w:t>
      </w:r>
      <w:r>
        <w:rPr>
          <w:rFonts w:ascii="Arial" w:cs="Arial" w:eastAsia="Arial" w:hAnsi="Arial"/>
          <w:sz w:val="30"/>
          <w:szCs w:val="30"/>
          <w:color w:val="auto"/>
          <w:vertAlign w:val="superscript"/>
        </w:rPr>
        <w:t>7</w:t>
      </w:r>
      <w:r>
        <w:rPr>
          <w:rFonts w:ascii="Arial" w:cs="Arial" w:eastAsia="Arial" w:hAnsi="Arial"/>
          <w:sz w:val="18"/>
          <w:szCs w:val="18"/>
          <w:color w:val="auto"/>
        </w:rPr>
        <w:t>” to promote electronic sales of SOAT.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8097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9" w:lineRule="exact"/>
        <w:rPr>
          <w:sz w:val="20"/>
          <w:szCs w:val="20"/>
          <w:color w:val="auto"/>
        </w:rPr>
      </w:pPr>
    </w:p>
    <w:p>
      <w:pPr>
        <w:ind w:left="120" w:hanging="112"/>
        <w:spacing w:after="0"/>
        <w:tabs>
          <w:tab w:leader="none" w:pos="120" w:val="left"/>
        </w:tabs>
        <w:numPr>
          <w:ilvl w:val="0"/>
          <w:numId w:val="74"/>
        </w:numPr>
        <w:rPr>
          <w:rFonts w:ascii="Arial" w:cs="Arial" w:eastAsia="Arial" w:hAnsi="Arial"/>
          <w:sz w:val="30"/>
          <w:szCs w:val="30"/>
          <w:color w:val="auto"/>
          <w:vertAlign w:val="superscript"/>
        </w:rPr>
      </w:pPr>
      <w:r>
        <w:rPr>
          <w:rFonts w:ascii="Arial" w:cs="Arial" w:eastAsia="Arial" w:hAnsi="Arial"/>
          <w:sz w:val="18"/>
          <w:szCs w:val="18"/>
          <w:color w:val="auto"/>
        </w:rPr>
        <w:t>Hires and is responsible for the functioning of agentes BCP</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left="880" w:hanging="494"/>
        <w:spacing w:after="0" w:line="277"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Points of sale P.O.S (+24.9% YoY), where the increase was due primarily to an initiative to promote the Latam Miles Program in 1Q18. This venue’s share of total the total monthly transactions average increased to 10.3% in 1Q18 vs. 9.8% in 1Q17.</w:t>
      </w:r>
    </w:p>
    <w:p>
      <w:pPr>
        <w:spacing w:after="0" w:line="170" w:lineRule="exact"/>
        <w:rPr>
          <w:rFonts w:ascii="Arial" w:cs="Arial" w:eastAsia="Arial" w:hAnsi="Arial"/>
          <w:sz w:val="18"/>
          <w:szCs w:val="18"/>
          <w:color w:val="auto"/>
        </w:rPr>
      </w:pPr>
    </w:p>
    <w:p>
      <w:pPr>
        <w:jc w:val="both"/>
        <w:ind w:left="880" w:hanging="494"/>
        <w:spacing w:after="0" w:line="264"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ATMs (+10.4% YoY), whose growth was in line with the annual expansion posted in the transactions volume. A large portion of this increase was attributable to the fact that the ATMs were equipped with more functionalities to contemplate deposits, balance inquiries and other kinds of non-monetary transactions.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channels posted a decrease in their transactions YoY: (i) Internet Banking ViaBCP (-24.5%), due to an increase in Mobile Banking, which is now equipped with functions similar to those found in Internet Banking, (ii) Balance Inquiries (-23.4%) and (iii) Tellers (-2.7%), in line with migration to cost-efficient channels.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Transformation Strategy –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154305</wp:posOffset>
            </wp:positionV>
            <wp:extent cx="4596765" cy="22980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59676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80" w:hanging="251"/>
        <w:spacing w:after="0"/>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 including Telecredito, Direct debit, POS and Other ATMs network.</w:t>
      </w:r>
    </w:p>
    <w:p>
      <w:pPr>
        <w:spacing w:after="0" w:line="23" w:lineRule="exact"/>
        <w:rPr>
          <w:rFonts w:ascii="Arial" w:cs="Arial" w:eastAsia="Arial" w:hAnsi="Arial"/>
          <w:sz w:val="18"/>
          <w:szCs w:val="18"/>
          <w:color w:val="auto"/>
        </w:rPr>
      </w:pPr>
    </w:p>
    <w:p>
      <w:pPr>
        <w:ind w:left="1280" w:hanging="251"/>
        <w:spacing w:after="0"/>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Internet banking Via BCP, Mobile banking and Balance inquiries.</w:t>
      </w:r>
    </w:p>
    <w:p>
      <w:pPr>
        <w:spacing w:after="0" w:line="9" w:lineRule="exact"/>
        <w:rPr>
          <w:rFonts w:ascii="Arial" w:cs="Arial" w:eastAsia="Arial" w:hAnsi="Arial"/>
          <w:sz w:val="18"/>
          <w:szCs w:val="18"/>
          <w:color w:val="auto"/>
        </w:rPr>
      </w:pPr>
    </w:p>
    <w:p>
      <w:pPr>
        <w:ind w:left="1280" w:hanging="251"/>
        <w:spacing w:after="0"/>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Numbers as of March 2018.</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future growth in banking in the region will primarily focus on digital channels. For this reason, companies at Credicorp continue to strengthen their strategic position in cost-efficient channels. This is in line with Credicorp’s Transformation Strategy and is the driving force of growth in the transactions volume, mainly in Mobile Banking.</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10.   Economic Perspectives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10.1  Peru Economic Forecasts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540" w:type="dxa"/>
            <w:vAlign w:val="bottom"/>
            <w:gridSpan w:val="2"/>
          </w:tcPr>
          <w:p>
            <w:pPr>
              <w:ind w:left="1540"/>
              <w:spacing w:after="0"/>
              <w:rPr>
                <w:sz w:val="20"/>
                <w:szCs w:val="20"/>
                <w:color w:val="auto"/>
              </w:rPr>
            </w:pPr>
            <w:r>
              <w:rPr>
                <w:rFonts w:ascii="Arial" w:cs="Arial" w:eastAsia="Arial" w:hAnsi="Arial"/>
                <w:sz w:val="18"/>
                <w:szCs w:val="18"/>
                <w:b w:val="1"/>
                <w:bCs w:val="1"/>
                <w:color w:val="auto"/>
              </w:rPr>
              <w:t>Peru</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4"/>
                <w:szCs w:val="24"/>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4"/>
                <w:szCs w:val="24"/>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4"/>
                <w:szCs w:val="24"/>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4"/>
                <w:szCs w:val="24"/>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GDP (US$ Millions)</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192,353</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195,707</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215,411</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229,513</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245,111</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Real GDP (% change)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GDP per capita (US$)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6,165</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6,213</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6,774</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7,128</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7,542</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Domestic demand (% change)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consumption (% change)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Private Consumption (% change)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fixed investment (as % GDP)</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Private Investment (% change)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Public Investment (% change)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Public Debt (as % GDP)</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23.0</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23.6</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24.7</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26.5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0"/>
        </w:trPr>
        <w:tc>
          <w:tcPr>
            <w:tcW w:w="354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System loan growth (% change) </w:t>
            </w:r>
            <w:r>
              <w:rPr>
                <w:rFonts w:ascii="Arial" w:cs="Arial" w:eastAsia="Arial" w:hAnsi="Arial"/>
                <w:sz w:val="30"/>
                <w:szCs w:val="30"/>
                <w:color w:val="auto"/>
                <w:vertAlign w:val="superscript"/>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line="269" w:lineRule="exact"/>
              <w:rPr>
                <w:sz w:val="20"/>
                <w:szCs w:val="20"/>
                <w:color w:val="auto"/>
              </w:rPr>
            </w:pPr>
            <w:r>
              <w:rPr>
                <w:rFonts w:ascii="Arial" w:cs="Arial" w:eastAsia="Arial" w:hAnsi="Arial"/>
                <w:sz w:val="18"/>
                <w:szCs w:val="18"/>
                <w:color w:val="auto"/>
              </w:rPr>
              <w:t xml:space="preserve">Inflation </w:t>
            </w:r>
            <w:r>
              <w:rPr>
                <w:rFonts w:ascii="Arial" w:cs="Arial" w:eastAsia="Arial" w:hAnsi="Arial"/>
                <w:sz w:val="30"/>
                <w:szCs w:val="30"/>
                <w:color w:val="auto"/>
                <w:vertAlign w:val="superscript"/>
              </w:rPr>
              <w:t>(2)</w:t>
            </w: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gridSpan w:val="2"/>
            <w:vMerge w:val="continue"/>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Reference Rate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gridSpan w:val="2"/>
          </w:tcPr>
          <w:p>
            <w:pPr>
              <w:spacing w:after="0"/>
              <w:rPr>
                <w:sz w:val="20"/>
                <w:szCs w:val="20"/>
                <w:color w:val="auto"/>
              </w:rPr>
            </w:pPr>
            <w:r>
              <w:rPr>
                <w:rFonts w:ascii="Arial" w:cs="Arial" w:eastAsia="Arial" w:hAnsi="Arial"/>
                <w:sz w:val="18"/>
                <w:szCs w:val="18"/>
                <w:color w:val="auto"/>
              </w:rPr>
              <w:t>Exchange rate, end of period</w:t>
            </w:r>
          </w:p>
        </w:tc>
        <w:tc>
          <w:tcPr>
            <w:tcW w:w="1120" w:type="dxa"/>
            <w:vAlign w:val="bottom"/>
          </w:tcPr>
          <w:p>
            <w:pPr>
              <w:jc w:val="right"/>
              <w:spacing w:after="0"/>
              <w:rPr>
                <w:sz w:val="20"/>
                <w:szCs w:val="20"/>
                <w:color w:val="auto"/>
              </w:rPr>
            </w:pPr>
            <w:r>
              <w:rPr>
                <w:rFonts w:ascii="Arial" w:cs="Arial" w:eastAsia="Arial" w:hAnsi="Arial"/>
                <w:sz w:val="18"/>
                <w:szCs w:val="18"/>
                <w:color w:val="auto"/>
              </w:rPr>
              <w:t>3.41</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3.20-3.25</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3.20-3.25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 change)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Fiscal balance (% GDP)</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balance (US$ Millions)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(As % GDP)</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Exports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34,414</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37,020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44,918</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51,400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Imports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37,330</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35,132</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38,652</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41,300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account balance (US$ Millions)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-9,169</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-5,303</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-2,716</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-2,984</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(As % GDP)</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international reserves (US$ Millions)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61,485</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61,686</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63,621</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66,151</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68,651</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(As % GDP)</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months of imports)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Estimates by BCP Economic Research as of March 2018; INEI, BCRP, and SBS.</w:t>
      </w:r>
    </w:p>
    <w:p>
      <w:pPr>
        <w:spacing w:after="0" w:line="23" w:lineRule="exact"/>
        <w:rPr>
          <w:sz w:val="20"/>
          <w:szCs w:val="20"/>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Multiple Banking, Current Exchange Rate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Inflation target: 1% - 3%</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Economic Activity: </w:t>
      </w:r>
      <w:r>
        <w:rPr>
          <w:rFonts w:ascii="Arial" w:cs="Arial" w:eastAsia="Arial" w:hAnsi="Arial"/>
          <w:sz w:val="17"/>
          <w:szCs w:val="17"/>
          <w:color w:val="auto"/>
        </w:rPr>
        <w:t>the economy experienced a smooth political transition, and the new Government will maintain the macroeconomic fundamentals</w:t>
      </w:r>
      <w:r>
        <w:rPr>
          <w:rFonts w:ascii="Arial" w:cs="Arial" w:eastAsia="Arial" w:hAnsi="Arial"/>
          <w:sz w:val="17"/>
          <w:szCs w:val="17"/>
          <w:b w:val="1"/>
          <w:bCs w:val="1"/>
          <w:color w:val="auto"/>
        </w:rPr>
        <w:t xml:space="preserve"> </w:t>
      </w:r>
      <w:r>
        <w:rPr>
          <w:rFonts w:ascii="Arial" w:cs="Arial" w:eastAsia="Arial" w:hAnsi="Arial"/>
          <w:sz w:val="17"/>
          <w:szCs w:val="17"/>
          <w:color w:val="auto"/>
        </w:rPr>
        <w:t>observed in Peru over the past 25 years (for more information, refer to section 10.3 Smooth political transition). We have made no changes to our macroeconomic forecasts despite the change in Government. GDP and Domestic Demand will grow around 3.5% this year, above 2017’s figure, due to:</w:t>
      </w:r>
    </w:p>
    <w:p>
      <w:pPr>
        <w:spacing w:after="0" w:line="162" w:lineRule="exact"/>
        <w:rPr>
          <w:sz w:val="20"/>
          <w:szCs w:val="20"/>
          <w:color w:val="auto"/>
        </w:rPr>
      </w:pPr>
    </w:p>
    <w:p>
      <w:pPr>
        <w:ind w:left="880" w:hanging="49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Favorable international environment:</w:t>
      </w:r>
    </w:p>
    <w:p>
      <w:pPr>
        <w:spacing w:after="0" w:line="225" w:lineRule="exact"/>
        <w:rPr>
          <w:rFonts w:ascii="Arial" w:cs="Arial" w:eastAsia="Arial" w:hAnsi="Arial"/>
          <w:sz w:val="18"/>
          <w:szCs w:val="18"/>
          <w:color w:val="auto"/>
        </w:rPr>
      </w:pPr>
    </w:p>
    <w:p>
      <w:pPr>
        <w:ind w:left="1260" w:hanging="239"/>
        <w:spacing w:after="0"/>
        <w:tabs>
          <w:tab w:leader="none" w:pos="12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IMF made no changes to the global GDP growth forecast for this year, which stands at 3.9% (7-year peak).</w:t>
      </w:r>
    </w:p>
    <w:p>
      <w:pPr>
        <w:spacing w:after="0" w:line="23" w:lineRule="exact"/>
        <w:rPr>
          <w:rFonts w:ascii="Arial" w:cs="Arial" w:eastAsia="Arial" w:hAnsi="Arial"/>
          <w:sz w:val="18"/>
          <w:szCs w:val="18"/>
          <w:color w:val="auto"/>
        </w:rPr>
      </w:pPr>
    </w:p>
    <w:p>
      <w:pPr>
        <w:ind w:left="1260" w:hanging="239"/>
        <w:spacing w:after="0" w:line="261" w:lineRule="auto"/>
        <w:tabs>
          <w:tab w:leader="none" w:pos="12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price of copper stands above USD/lb. 3.00 (average price of 1Q18 almost 50% above the same quarter two-years ago); the terms of trade have accumulated 7 consecutive quarters of growth.</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ind w:left="880" w:hanging="49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Monetary and Fiscal counter-cyclical policies:</w:t>
      </w:r>
    </w:p>
    <w:p>
      <w:pPr>
        <w:spacing w:after="0" w:line="225" w:lineRule="exact"/>
        <w:rPr>
          <w:rFonts w:ascii="Arial" w:cs="Arial" w:eastAsia="Arial" w:hAnsi="Arial"/>
          <w:sz w:val="18"/>
          <w:szCs w:val="18"/>
          <w:color w:val="auto"/>
        </w:rPr>
      </w:pPr>
    </w:p>
    <w:p>
      <w:pPr>
        <w:ind w:left="1260" w:hanging="239"/>
        <w:spacing w:after="0"/>
        <w:tabs>
          <w:tab w:leader="none" w:pos="12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Central Bank has lowered its reference rate 150bps in the last 12 months, and we do not rule out another 25bps rate cut.</w:t>
      </w:r>
    </w:p>
    <w:p>
      <w:pPr>
        <w:spacing w:after="0" w:line="23" w:lineRule="exact"/>
        <w:rPr>
          <w:rFonts w:ascii="Arial" w:cs="Arial" w:eastAsia="Arial" w:hAnsi="Arial"/>
          <w:sz w:val="18"/>
          <w:szCs w:val="18"/>
          <w:color w:val="auto"/>
        </w:rPr>
      </w:pPr>
    </w:p>
    <w:p>
      <w:pPr>
        <w:ind w:left="1260" w:hanging="239"/>
        <w:spacing w:after="0"/>
        <w:tabs>
          <w:tab w:leader="none" w:pos="12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Public investment mat rebound this year (1Q18: +14.0% YoY) due to the reconstruction process after the El Nino Phenomenon in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Nonetheless, the 3.5% expected growth for this year still faces downside risks, such as the potential under-execution of public investment.</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Inflation: </w:t>
      </w:r>
      <w:r>
        <w:rPr>
          <w:rFonts w:ascii="Arial" w:cs="Arial" w:eastAsia="Arial" w:hAnsi="Arial"/>
          <w:sz w:val="18"/>
          <w:szCs w:val="18"/>
          <w:color w:val="auto"/>
        </w:rPr>
        <w:t>from its current level of 0.5% YoY in April, inflation is expected to accelerate gradually (negative inflation in 6 of the last 9 months last year) to</w:t>
      </w:r>
      <w:r>
        <w:rPr>
          <w:rFonts w:ascii="Arial" w:cs="Arial" w:eastAsia="Arial" w:hAnsi="Arial"/>
          <w:sz w:val="18"/>
          <w:szCs w:val="18"/>
          <w:b w:val="1"/>
          <w:bCs w:val="1"/>
          <w:color w:val="auto"/>
        </w:rPr>
        <w:t xml:space="preserve"> </w:t>
      </w:r>
      <w:r>
        <w:rPr>
          <w:rFonts w:ascii="Arial" w:cs="Arial" w:eastAsia="Arial" w:hAnsi="Arial"/>
          <w:sz w:val="18"/>
          <w:szCs w:val="18"/>
          <w:color w:val="auto"/>
        </w:rPr>
        <w:t>close the year around 2.5%.</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Monetary policy rate: </w:t>
      </w:r>
      <w:r>
        <w:rPr>
          <w:rFonts w:ascii="Arial" w:cs="Arial" w:eastAsia="Arial" w:hAnsi="Arial"/>
          <w:sz w:val="18"/>
          <w:szCs w:val="18"/>
          <w:color w:val="auto"/>
        </w:rPr>
        <w:t>since April 2017, the Central Bank has lowered its reference rate by 150bps, going from 4.25% to 2.75%. We do not rule out a final</w:t>
      </w:r>
      <w:r>
        <w:rPr>
          <w:rFonts w:ascii="Arial" w:cs="Arial" w:eastAsia="Arial" w:hAnsi="Arial"/>
          <w:sz w:val="18"/>
          <w:szCs w:val="18"/>
          <w:b w:val="1"/>
          <w:bCs w:val="1"/>
          <w:color w:val="auto"/>
        </w:rPr>
        <w:t xml:space="preserve"> </w:t>
      </w:r>
      <w:r>
        <w:rPr>
          <w:rFonts w:ascii="Arial" w:cs="Arial" w:eastAsia="Arial" w:hAnsi="Arial"/>
          <w:sz w:val="18"/>
          <w:szCs w:val="18"/>
          <w:color w:val="auto"/>
        </w:rPr>
        <w:t>25pbs rate cut by the monetary institution if inflation takes a surprise downward turn and the economic recovery is not as robust as expected by the monetary institution.</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Exchange Rate: </w:t>
      </w:r>
      <w:r>
        <w:rPr>
          <w:rFonts w:ascii="Arial" w:cs="Arial" w:eastAsia="Arial" w:hAnsi="Arial"/>
          <w:sz w:val="17"/>
          <w:szCs w:val="17"/>
          <w:color w:val="auto"/>
        </w:rPr>
        <w:t>we maintain our long-held call that the exchange rate will close this year between USDPEN 3.20-3.25 due to sound external accounts (the</w:t>
      </w:r>
      <w:r>
        <w:rPr>
          <w:rFonts w:ascii="Arial" w:cs="Arial" w:eastAsia="Arial" w:hAnsi="Arial"/>
          <w:sz w:val="17"/>
          <w:szCs w:val="17"/>
          <w:b w:val="1"/>
          <w:bCs w:val="1"/>
          <w:color w:val="auto"/>
        </w:rPr>
        <w:t xml:space="preserve"> </w:t>
      </w:r>
      <w:r>
        <w:rPr>
          <w:rFonts w:ascii="Arial" w:cs="Arial" w:eastAsia="Arial" w:hAnsi="Arial"/>
          <w:sz w:val="17"/>
          <w:szCs w:val="17"/>
          <w:color w:val="auto"/>
        </w:rPr>
        <w:t>trade balance may reach a surplus of almost USD 9 billion this year). However, today the balance of risks points toward PEN depreciation, mainly due to external factors (faster increases in international rates, abrupt strengthening of the dollar, and/or drops in metal prices).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Main Economic Variables</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 xml:space="preserve">Economic Activity – GDP </w:t>
      </w:r>
      <w:r>
        <w:rPr>
          <w:rFonts w:ascii="Arial" w:cs="Arial" w:eastAsia="Arial" w:hAnsi="Arial"/>
          <w:sz w:val="18"/>
          <w:szCs w:val="18"/>
          <w:color w:val="auto"/>
        </w:rPr>
        <w:t>(% change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154305</wp:posOffset>
            </wp:positionV>
            <wp:extent cx="3936365" cy="15005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93636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800"/>
        <w:spacing w:after="0"/>
        <w:rPr>
          <w:sz w:val="20"/>
          <w:szCs w:val="20"/>
          <w:color w:val="auto"/>
        </w:rPr>
      </w:pPr>
      <w:r>
        <w:rPr>
          <w:rFonts w:ascii="Arial" w:cs="Arial" w:eastAsia="Arial" w:hAnsi="Arial"/>
          <w:sz w:val="18"/>
          <w:szCs w:val="18"/>
          <w:i w:val="1"/>
          <w:iCs w:val="1"/>
          <w:color w:val="auto"/>
        </w:rPr>
        <w:t>Source: INEI</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estimates suggest that GDP expanded around 3.0% YoY in 1Q18. Domestic Demand is expected to have expanded around 4.0% YoY in the same quarter, partially due to rebound in both public (1Q17: -16.4%) and private (1Q17: -5.3%) investment.</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Inflation and Monetary Policy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154940</wp:posOffset>
            </wp:positionV>
            <wp:extent cx="3662045" cy="1672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62045" cy="167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920"/>
        <w:spacing w:after="0"/>
        <w:rPr>
          <w:sz w:val="20"/>
          <w:szCs w:val="20"/>
          <w:color w:val="auto"/>
        </w:rPr>
      </w:pPr>
      <w:r>
        <w:rPr>
          <w:rFonts w:ascii="Arial" w:cs="Arial" w:eastAsia="Arial" w:hAnsi="Arial"/>
          <w:sz w:val="18"/>
          <w:szCs w:val="18"/>
          <w:i w:val="1"/>
          <w:iCs w:val="1"/>
          <w:color w:val="auto"/>
        </w:rPr>
        <w:t>Source: INEI, BCRP</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spacing w:after="0" w:line="259" w:lineRule="auto"/>
        <w:rPr>
          <w:sz w:val="20"/>
          <w:szCs w:val="20"/>
          <w:color w:val="auto"/>
        </w:rPr>
      </w:pPr>
      <w:r>
        <w:rPr>
          <w:rFonts w:ascii="Arial" w:cs="Arial" w:eastAsia="Arial" w:hAnsi="Arial"/>
          <w:sz w:val="18"/>
          <w:szCs w:val="18"/>
          <w:color w:val="auto"/>
        </w:rPr>
        <w:t>Annual inflation closed 1Q18 at 0.4% YoY; this was the lowest figure registered since December 2009 and the first time that inflation has situated in the lower band of the Central Bank’s target range (1%-3%) in the last 8 years. In parallel, core inflation stood at 2.0% YoY, a 5-year low. In this context, in 1Q18 the Peruvian Central Bank lowered its reference rate 50bps, from 3.25% to 2.75% (25bps in the January meeting and other 25pbs at the March meeting). With these cuts, the reference rate has been reduced 150bps in the past 12 months.</w:t>
      </w:r>
    </w:p>
    <w:p>
      <w:pPr>
        <w:spacing w:after="0" w:line="18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 xml:space="preserve">Fiscal Result and Current Account Balance </w:t>
      </w:r>
      <w:r>
        <w:rPr>
          <w:rFonts w:ascii="Arial" w:cs="Arial" w:eastAsia="Arial" w:hAnsi="Arial"/>
          <w:sz w:val="18"/>
          <w:szCs w:val="18"/>
          <w:color w:val="auto"/>
        </w:rPr>
        <w:t>(%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154940</wp:posOffset>
            </wp:positionV>
            <wp:extent cx="3181350" cy="16979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81350" cy="169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300"/>
        <w:spacing w:after="0"/>
        <w:rPr>
          <w:sz w:val="20"/>
          <w:szCs w:val="20"/>
          <w:color w:val="auto"/>
        </w:rPr>
      </w:pPr>
      <w:r>
        <w:rPr>
          <w:rFonts w:ascii="Arial" w:cs="Arial" w:eastAsia="Arial" w:hAnsi="Arial"/>
          <w:sz w:val="18"/>
          <w:szCs w:val="18"/>
          <w:i w:val="1"/>
          <w:iCs w:val="1"/>
          <w:color w:val="auto"/>
        </w:rPr>
        <w:t>Source: Central Bank</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*BCP estimates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1Q18, the annualized fiscal deficit stood at 3.1% of GDP (2017: 3.1%). Fiscal revenues represented 18.2% of GDP (2017: 18.0%), posting an increase for the second consecutive quarter. In real terms, fiscal revenues advanced 7.2% YoY in 1Q18 due to an improvement in terms of trade. In contrast, public spending stood stable at 20.0% of GDP. In real terms, it increased 6.0% YoY in 1Q18; public investment grew 14.0% YoY.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February 2018, the 12-month-rolling trade balance registered a surplus of USD 6,283 million. The sound trade surplus is mainly explained by higher exports (+17.2% YoY), led by copper exports (+27.8% YoY). Non-traditional exports also accelerated to 10.0% YoY; this represents the highest level reported since 2012. Regarding imports, the 12-month-rolling imports as of February 2018 increased 11.3% YoY.</w:t>
      </w:r>
    </w:p>
    <w:p>
      <w:pPr>
        <w:spacing w:after="0" w:line="17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 xml:space="preserve">Exchange rate </w:t>
      </w:r>
      <w:r>
        <w:rPr>
          <w:rFonts w:ascii="Arial" w:cs="Arial" w:eastAsia="Arial" w:hAnsi="Arial"/>
          <w:sz w:val="18"/>
          <w:szCs w:val="18"/>
          <w:color w:val="auto"/>
        </w:rPr>
        <w:t>(S/ per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154940</wp:posOffset>
            </wp:positionV>
            <wp:extent cx="3053080" cy="18268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053080"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560"/>
        <w:spacing w:after="0"/>
        <w:rPr>
          <w:sz w:val="20"/>
          <w:szCs w:val="20"/>
          <w:color w:val="auto"/>
        </w:rPr>
      </w:pPr>
      <w:r>
        <w:rPr>
          <w:rFonts w:ascii="Arial" w:cs="Arial" w:eastAsia="Arial" w:hAnsi="Arial"/>
          <w:sz w:val="18"/>
          <w:szCs w:val="18"/>
          <w:i w:val="1"/>
          <w:iCs w:val="1"/>
          <w:color w:val="auto"/>
        </w:rPr>
        <w:t>Source: Bloomberg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1Q18, the exchange rate closed at USDPEN 3.227, which implied 0.4% in PEN compared to the figure at the close of 2017 (USDPEN 3.241). During March, the exchange rate escalated to USDPEN 3.28 in a context of high political turmoil prior to the vote on the second presidential vacancy (for more information referred to section 10.3 Smooth political transition). Thereafter, the rate fell to a range between USDPEN 3.22-3.24.</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spacing w:after="0" w:line="264" w:lineRule="auto"/>
        <w:rPr>
          <w:sz w:val="20"/>
          <w:szCs w:val="20"/>
          <w:color w:val="auto"/>
        </w:rPr>
      </w:pPr>
      <w:r>
        <w:rPr>
          <w:rFonts w:ascii="Arial" w:cs="Arial" w:eastAsia="Arial" w:hAnsi="Arial"/>
          <w:sz w:val="18"/>
          <w:szCs w:val="18"/>
          <w:color w:val="auto"/>
        </w:rPr>
        <w:t>All of the currencies in the region appreciated in 1Q18. PEN’s appreciation (0.4%) was lower than that of CLP (1.9%), COP (6.4%) and MXN (7.5%) but above that of BRL (0.2%). Furthermore, in 1Q18 the Peruvian Central Bank purchased USD 184 million at the start of the quarter (net USD purchases 2017: USD 5,246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 Smooth political transition</w:t>
      </w:r>
    </w:p>
    <w:p>
      <w:pPr>
        <w:spacing w:after="0" w:line="23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On March 21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Pedro Pablo Kuczynski (PPK), former President of Peru, resigned the presidency amid political turmoil before a second impeachment vote (the first one took place in December 2017). Martin Vizcarra</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(Kuczynski’s Vice-president) assumed the office on March 23</w:t>
      </w:r>
      <w:r>
        <w:rPr>
          <w:rFonts w:ascii="Arial" w:cs="Arial" w:eastAsia="Arial" w:hAnsi="Arial"/>
          <w:sz w:val="26"/>
          <w:szCs w:val="26"/>
          <w:color w:val="auto"/>
          <w:vertAlign w:val="superscript"/>
        </w:rPr>
        <w:t>rd</w:t>
      </w:r>
      <w:r>
        <w:rPr>
          <w:rFonts w:ascii="Arial" w:cs="Arial" w:eastAsia="Arial" w:hAnsi="Arial"/>
          <w:sz w:val="16"/>
          <w:szCs w:val="16"/>
          <w:color w:val="auto"/>
        </w:rPr>
        <w:t>. On April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Subsequently, a completely new Cabinet took office, led by Cesar Villanueva</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as Prime Minister and David Tuesta</w:t>
      </w:r>
      <w:r>
        <w:rPr>
          <w:rFonts w:ascii="Arial" w:cs="Arial" w:eastAsia="Arial" w:hAnsi="Arial"/>
          <w:sz w:val="26"/>
          <w:szCs w:val="26"/>
          <w:color w:val="auto"/>
          <w:vertAlign w:val="superscript"/>
        </w:rPr>
        <w:t>10</w:t>
      </w:r>
      <w:r>
        <w:rPr>
          <w:rFonts w:ascii="Arial" w:cs="Arial" w:eastAsia="Arial" w:hAnsi="Arial"/>
          <w:sz w:val="16"/>
          <w:szCs w:val="16"/>
          <w:color w:val="auto"/>
        </w:rPr>
        <w:t xml:space="preserve"> as head of the Ministry of Finance (MoF).</w:t>
      </w:r>
    </w:p>
    <w:p>
      <w:pPr>
        <w:spacing w:after="0" w:line="81"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According to President Vizcarra, the priorities of the government until the end of term (July 28</w:t>
      </w:r>
      <w:r>
        <w:rPr>
          <w:rFonts w:ascii="Arial" w:cs="Arial" w:eastAsia="Arial" w:hAnsi="Arial"/>
          <w:sz w:val="30"/>
          <w:szCs w:val="30"/>
          <w:color w:val="auto"/>
          <w:vertAlign w:val="superscript"/>
        </w:rPr>
        <w:t>th</w:t>
      </w:r>
      <w:r>
        <w:rPr>
          <w:rFonts w:ascii="Arial" w:cs="Arial" w:eastAsia="Arial" w:hAnsi="Arial"/>
          <w:sz w:val="18"/>
          <w:szCs w:val="18"/>
          <w:color w:val="auto"/>
        </w:rPr>
        <w:t>, 2021) are: fighting corruption, prioritizing health and education, and supporting private investment along with SMEs. The new Cabinet obtained a vote of confidence from Congress on March 2</w:t>
      </w:r>
      <w:r>
        <w:rPr>
          <w:rFonts w:ascii="Arial" w:cs="Arial" w:eastAsia="Arial" w:hAnsi="Arial"/>
          <w:sz w:val="30"/>
          <w:szCs w:val="30"/>
          <w:color w:val="auto"/>
          <w:vertAlign w:val="superscript"/>
        </w:rPr>
        <w:t>nd</w:t>
      </w:r>
      <w:r>
        <w:rPr>
          <w:rFonts w:ascii="Arial" w:cs="Arial" w:eastAsia="Arial" w:hAnsi="Arial"/>
          <w:sz w:val="18"/>
          <w:szCs w:val="18"/>
          <w:color w:val="auto"/>
        </w:rPr>
        <w:t>. Prime Minister Villanueva announced that the Cabinet will request legislative powers in the topics of economics and finance, reconstruction, fight against corruption, modernization of the State, and protection of violence victims.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head of the MoF, David Tuesta, has commented his intention to:</w:t>
      </w:r>
    </w:p>
    <w:p>
      <w:pPr>
        <w:spacing w:after="0" w:line="221" w:lineRule="exact"/>
        <w:rPr>
          <w:sz w:val="20"/>
          <w:szCs w:val="20"/>
          <w:color w:val="auto"/>
        </w:rPr>
      </w:pPr>
    </w:p>
    <w:p>
      <w:pPr>
        <w:ind w:left="880" w:hanging="49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Bolster fiscal revenues. </w:t>
      </w:r>
      <w:r>
        <w:rPr>
          <w:rFonts w:ascii="Arial" w:cs="Arial" w:eastAsia="Arial" w:hAnsi="Arial"/>
          <w:sz w:val="18"/>
          <w:szCs w:val="18"/>
          <w:color w:val="auto"/>
        </w:rPr>
        <w:t>Some of the initiatives hinted by the government are:</w:t>
      </w:r>
    </w:p>
    <w:p>
      <w:pPr>
        <w:spacing w:after="0" w:line="229" w:lineRule="exact"/>
        <w:rPr>
          <w:rFonts w:ascii="Arial" w:cs="Arial" w:eastAsia="Arial" w:hAnsi="Arial"/>
          <w:sz w:val="18"/>
          <w:szCs w:val="18"/>
          <w:color w:val="auto"/>
        </w:rPr>
      </w:pPr>
    </w:p>
    <w:p>
      <w:pPr>
        <w:ind w:left="1140" w:hanging="497"/>
        <w:spacing w:after="0" w:line="258" w:lineRule="auto"/>
        <w:tabs>
          <w:tab w:leader="none" w:pos="11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revision of tax-exemptions and other tax benefits (according to the national tax and customs agency these represent slightly above 2.0% of GDP),</w:t>
      </w:r>
    </w:p>
    <w:p>
      <w:pPr>
        <w:spacing w:after="0" w:line="1" w:lineRule="exact"/>
        <w:rPr>
          <w:rFonts w:ascii="Arial" w:cs="Arial" w:eastAsia="Arial" w:hAnsi="Arial"/>
          <w:sz w:val="18"/>
          <w:szCs w:val="18"/>
          <w:color w:val="auto"/>
        </w:rPr>
      </w:pPr>
    </w:p>
    <w:p>
      <w:pPr>
        <w:ind w:left="1140" w:hanging="497"/>
        <w:spacing w:after="0"/>
        <w:tabs>
          <w:tab w:leader="none" w:pos="11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implementation of a ruling to fight tax elusion (it was suspended in 2014 until the MoF established a ruling), and</w:t>
      </w:r>
    </w:p>
    <w:p>
      <w:pPr>
        <w:spacing w:after="0" w:line="9" w:lineRule="exact"/>
        <w:rPr>
          <w:rFonts w:ascii="Arial" w:cs="Arial" w:eastAsia="Arial" w:hAnsi="Arial"/>
          <w:sz w:val="18"/>
          <w:szCs w:val="18"/>
          <w:color w:val="auto"/>
        </w:rPr>
      </w:pPr>
    </w:p>
    <w:p>
      <w:pPr>
        <w:ind w:left="1140" w:hanging="497"/>
        <w:spacing w:after="0"/>
        <w:tabs>
          <w:tab w:leader="none" w:pos="11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possible changes to the excise tax with the objective of collecting PEN 2,000 million.</w:t>
      </w:r>
    </w:p>
    <w:p>
      <w:pPr>
        <w:spacing w:after="0" w:line="206" w:lineRule="exact"/>
        <w:rPr>
          <w:rFonts w:ascii="Arial" w:cs="Arial" w:eastAsia="Arial" w:hAnsi="Arial"/>
          <w:sz w:val="18"/>
          <w:szCs w:val="18"/>
          <w:color w:val="auto"/>
        </w:rPr>
      </w:pPr>
    </w:p>
    <w:p>
      <w:pPr>
        <w:ind w:left="880" w:hanging="494"/>
        <w:spacing w:after="0" w:line="282"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Optimizing public spending. </w:t>
      </w:r>
      <w:r>
        <w:rPr>
          <w:rFonts w:ascii="Arial" w:cs="Arial" w:eastAsia="Arial" w:hAnsi="Arial"/>
          <w:sz w:val="18"/>
          <w:szCs w:val="18"/>
          <w:color w:val="auto"/>
        </w:rPr>
        <w:t>The MoF announced his intention to cut current expenditures on consulting, recruitment and others for PEN</w:t>
      </w:r>
      <w:r>
        <w:rPr>
          <w:rFonts w:ascii="Arial" w:cs="Arial" w:eastAsia="Arial" w:hAnsi="Arial"/>
          <w:sz w:val="18"/>
          <w:szCs w:val="18"/>
          <w:b w:val="1"/>
          <w:bCs w:val="1"/>
          <w:color w:val="auto"/>
        </w:rPr>
        <w:t xml:space="preserve"> </w:t>
      </w:r>
      <w:r>
        <w:rPr>
          <w:rFonts w:ascii="Arial" w:cs="Arial" w:eastAsia="Arial" w:hAnsi="Arial"/>
          <w:sz w:val="18"/>
          <w:szCs w:val="18"/>
          <w:color w:val="auto"/>
        </w:rPr>
        <w:t>10,000 million (these have doubled in the past 10 years) in order to execute more public investment.</w:t>
      </w:r>
    </w:p>
    <w:p>
      <w:pPr>
        <w:spacing w:after="0" w:line="161" w:lineRule="exact"/>
        <w:rPr>
          <w:rFonts w:ascii="Arial" w:cs="Arial" w:eastAsia="Arial" w:hAnsi="Arial"/>
          <w:sz w:val="18"/>
          <w:szCs w:val="18"/>
          <w:color w:val="auto"/>
        </w:rPr>
      </w:pPr>
    </w:p>
    <w:p>
      <w:pPr>
        <w:ind w:left="880" w:hanging="49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Increasing potential GDP growth up to 5.0% </w:t>
      </w:r>
      <w:r>
        <w:rPr>
          <w:rFonts w:ascii="Arial" w:cs="Arial" w:eastAsia="Arial" w:hAnsi="Arial"/>
          <w:sz w:val="18"/>
          <w:szCs w:val="18"/>
          <w:color w:val="auto"/>
        </w:rPr>
        <w:t>(the current estimate is 3.5%).</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new government will preserve the macroeconomic fundamentals observed in Peru over the past 25 years (prudent macroeconomic policies; trade openness and integration into the world economy; and a legal framework that protects and promotes private investment). It should be noted that the three credit rating agencies have maintained their stable outlook and Peru’s sovereign credit rating has not varied (Moody’s: A3, S&amp;P and Fitch: BBB+).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097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21" w:lineRule="exact"/>
        <w:rPr>
          <w:sz w:val="20"/>
          <w:szCs w:val="20"/>
          <w:color w:val="auto"/>
        </w:rPr>
      </w:pPr>
    </w:p>
    <w:p>
      <w:pPr>
        <w:ind w:firstLine="8"/>
        <w:spacing w:after="0" w:line="207" w:lineRule="auto"/>
        <w:tabs>
          <w:tab w:leader="none" w:pos="133" w:val="left"/>
        </w:tabs>
        <w:numPr>
          <w:ilvl w:val="0"/>
          <w:numId w:val="81"/>
        </w:numPr>
        <w:rPr>
          <w:rFonts w:ascii="Arial" w:cs="Arial" w:eastAsia="Arial" w:hAnsi="Arial"/>
          <w:sz w:val="28"/>
          <w:szCs w:val="28"/>
          <w:color w:val="auto"/>
          <w:vertAlign w:val="superscript"/>
        </w:rPr>
      </w:pPr>
      <w:r>
        <w:rPr>
          <w:rFonts w:ascii="Arial" w:cs="Arial" w:eastAsia="Arial" w:hAnsi="Arial"/>
          <w:sz w:val="17"/>
          <w:szCs w:val="17"/>
          <w:color w:val="auto"/>
        </w:rPr>
        <w:t>Martín Vizcarra is an engineer who served as Regional Governor of Moquegua (a mining region in the south of Peru) between 2011-2014. Later, he was appointed as head of the Ministry of Transportation and Communications (2016-2017) and Peru’s ambassador to Canada (2017-2018).</w:t>
      </w:r>
    </w:p>
    <w:p>
      <w:pPr>
        <w:spacing w:after="0" w:line="26" w:lineRule="exact"/>
        <w:rPr>
          <w:sz w:val="20"/>
          <w:szCs w:val="20"/>
          <w:color w:val="auto"/>
        </w:rPr>
      </w:pPr>
    </w:p>
    <w:p>
      <w:pPr>
        <w:ind w:right="20" w:firstLine="8"/>
        <w:spacing w:after="0" w:line="207" w:lineRule="auto"/>
        <w:tabs>
          <w:tab w:leader="none" w:pos="137" w:val="left"/>
        </w:tabs>
        <w:numPr>
          <w:ilvl w:val="0"/>
          <w:numId w:val="82"/>
        </w:numPr>
        <w:rPr>
          <w:rFonts w:ascii="Arial" w:cs="Arial" w:eastAsia="Arial" w:hAnsi="Arial"/>
          <w:sz w:val="28"/>
          <w:szCs w:val="28"/>
          <w:color w:val="auto"/>
          <w:vertAlign w:val="superscript"/>
        </w:rPr>
      </w:pPr>
      <w:r>
        <w:rPr>
          <w:rFonts w:ascii="Arial" w:cs="Arial" w:eastAsia="Arial" w:hAnsi="Arial"/>
          <w:sz w:val="17"/>
          <w:szCs w:val="17"/>
          <w:color w:val="auto"/>
        </w:rPr>
        <w:t>Cesar Villanueva is congressman from the opposition party “Alianza por el Progreso”, who served as Regional President of San Martin (a region in the Peruvian jungle) between 2007-2013; he was was also Prime Minister in the Humala administration (October 2013/February 2014).</w:t>
      </w:r>
    </w:p>
    <w:p>
      <w:pPr>
        <w:spacing w:after="0" w:line="26" w:lineRule="exact"/>
        <w:rPr>
          <w:sz w:val="20"/>
          <w:szCs w:val="20"/>
          <w:color w:val="auto"/>
        </w:rPr>
      </w:pPr>
    </w:p>
    <w:p>
      <w:pPr>
        <w:ind w:right="20" w:firstLine="8"/>
        <w:spacing w:after="0" w:line="211" w:lineRule="auto"/>
        <w:tabs>
          <w:tab w:leader="none" w:pos="211" w:val="left"/>
        </w:tabs>
        <w:numPr>
          <w:ilvl w:val="0"/>
          <w:numId w:val="83"/>
        </w:numPr>
        <w:rPr>
          <w:rFonts w:ascii="Arial" w:cs="Arial" w:eastAsia="Arial" w:hAnsi="Arial"/>
          <w:sz w:val="27"/>
          <w:szCs w:val="27"/>
          <w:color w:val="auto"/>
          <w:vertAlign w:val="superscript"/>
        </w:rPr>
      </w:pPr>
      <w:r>
        <w:rPr>
          <w:rFonts w:ascii="Arial" w:cs="Arial" w:eastAsia="Arial" w:hAnsi="Arial"/>
          <w:sz w:val="17"/>
          <w:szCs w:val="17"/>
          <w:color w:val="auto"/>
        </w:rPr>
        <w:t>David Tuesta holds a PhD in economics and was formerly corporate director of strategic affairs at the CAF Development Bank and chief economist at BBVA Research in the areas of pensions and financial inclusion in Madrid.</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ind w:right="10180" w:firstLine="8"/>
        <w:spacing w:after="0" w:line="530" w:lineRule="auto"/>
        <w:tabs>
          <w:tab w:leader="none" w:pos="446"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Appendix 11.1 Credicorp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 17</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Dec 17</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 18</w:t>
            </w:r>
          </w:p>
        </w:tc>
        <w:tc>
          <w:tcPr>
            <w:tcW w:w="190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3,982,709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5,039,602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4,888,902</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25,099,672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25,311,125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22,363,543</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cash and due from banks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29,082,381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30,350,727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27,252,445</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Trading securities, net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5,248,004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4,549,050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8,312,081</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82.7%</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92,414,588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100,477,774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100,570,511</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Current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89,646,784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97,458,552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97,575,294</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Internal overdue loans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2,767,804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3,019,222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2,995,217</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Less - allowance for loan losses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(4,205,005)</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(4,500,498)</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(4,805,105)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88,209,583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95,977,276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95,765,406</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available for sale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21,031,475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24,437,263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22,673,306</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Investments held to maturity</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5,036,349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4,429,599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4,077,491</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Reinsurance assets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548,500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715,695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674,320</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629,440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656,829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707,241</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1,665,222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1,642,814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1,594,786</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495,936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532,034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721,061</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35.5%</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Investments in associates </w:t>
            </w:r>
            <w:r>
              <w:rPr>
                <w:rFonts w:ascii="Arial" w:cs="Arial" w:eastAsia="Arial" w:hAnsi="Arial"/>
                <w:sz w:val="29"/>
                <w:szCs w:val="29"/>
                <w:b w:val="1"/>
                <w:bCs w:val="1"/>
                <w:color w:val="auto"/>
                <w:vertAlign w:val="superscript"/>
              </w:rPr>
              <w:t>(1)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679,744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708,873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705,050</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3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b w:val="1"/>
                <w:bCs w:val="1"/>
                <w:color w:val="auto"/>
                <w:vertAlign w:val="superscript"/>
              </w:rPr>
              <w:t>(2)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7,088,300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6,506,586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8,060,598</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23.9%</w:t>
            </w:r>
          </w:p>
        </w:tc>
        <w:tc>
          <w:tcPr>
            <w:tcW w:w="36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20"/>
              <w:spacing w:after="0"/>
              <w:rPr>
                <w:sz w:val="20"/>
                <w:szCs w:val="20"/>
                <w:color w:val="auto"/>
              </w:rPr>
            </w:pPr>
            <w:r>
              <w:rPr>
                <w:rFonts w:ascii="Arial" w:cs="Arial" w:eastAsia="Arial" w:hAnsi="Arial"/>
                <w:sz w:val="18"/>
                <w:szCs w:val="18"/>
                <w:b w:val="1"/>
                <w:bCs w:val="1"/>
                <w:color w:val="auto"/>
              </w:rPr>
              <w:t>Total assets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159,714,934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170,506,746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170,543,785</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6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 NET SHAREHOLDERS'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Deposits and obligations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Non-interest bearing</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22,836,306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24,193,949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26,464,658</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bearing</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67,044,576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72,976,462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71,728,447</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b w:val="1"/>
                <w:bCs w:val="1"/>
                <w:color w:val="auto"/>
              </w:rPr>
              <w:t>Total deposits and obligations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89,880,882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97,170,411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98,193,105</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BCRP instruments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9,979,835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9,286,032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6,494,792</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-30.1%</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7,639,760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7,996,889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7,824,148</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Bonds and subordinated debt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15,410,094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16,242,257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15,318,649</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Acceptances outstanding</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495,936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532,034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721,061</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1,021,623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1,180,852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1,202,608</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unearned premiums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5,900,319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6,262,908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6,393,957</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Reinsurance payable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383,457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397,553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436,901</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8,874,547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9,184,107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12,171,891</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20"/>
              <w:spacing w:after="0"/>
              <w:rPr>
                <w:sz w:val="20"/>
                <w:szCs w:val="20"/>
                <w:color w:val="auto"/>
              </w:rPr>
            </w:pPr>
            <w:r>
              <w:rPr>
                <w:rFonts w:ascii="Arial" w:cs="Arial" w:eastAsia="Arial" w:hAnsi="Arial"/>
                <w:sz w:val="18"/>
                <w:szCs w:val="18"/>
                <w:b w:val="1"/>
                <w:bCs w:val="1"/>
                <w:color w:val="auto"/>
              </w:rPr>
              <w:t>Total liabilities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139,586,453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148,253,043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148,757,112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Net equity</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19,699,940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21,756,568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21,312,210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1,318,993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1,318,993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1,318,993</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Treasury stock</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(210,563)</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(208,937)</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(210,310)</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229,339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271,948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199,996</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Reserves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15,889,763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14,647,709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17,578,906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1,400,609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1,455,595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1,145,570</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Retained earnings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1,071,799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4,271,260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1,279,055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-70.1%</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428,541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497,135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474,463</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20"/>
              <w:spacing w:after="0"/>
              <w:rPr>
                <w:sz w:val="20"/>
                <w:szCs w:val="20"/>
                <w:color w:val="auto"/>
              </w:rPr>
            </w:pPr>
            <w:r>
              <w:rPr>
                <w:rFonts w:ascii="Arial" w:cs="Arial" w:eastAsia="Arial" w:hAnsi="Arial"/>
                <w:sz w:val="18"/>
                <w:szCs w:val="18"/>
                <w:b w:val="1"/>
                <w:bCs w:val="1"/>
                <w:color w:val="auto"/>
              </w:rPr>
              <w:t>Total equity</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20,128,481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22,253,703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21,786,673</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60" w:type="dxa"/>
            <w:vAlign w:val="bottom"/>
          </w:tcPr>
          <w:p>
            <w:pPr>
              <w:spacing w:after="0" w:line="198" w:lineRule="exact"/>
              <w:rPr>
                <w:sz w:val="20"/>
                <w:szCs w:val="20"/>
                <w:color w:val="auto"/>
              </w:rPr>
            </w:pPr>
            <w:r>
              <w:rPr>
                <w:rFonts w:ascii="Arial" w:cs="Arial" w:eastAsia="Arial" w:hAnsi="Arial"/>
                <w:sz w:val="18"/>
                <w:szCs w:val="18"/>
                <w:b w:val="1"/>
                <w:bCs w:val="1"/>
                <w:color w:val="auto"/>
              </w:rPr>
              <w:t>TOTAL LIABILITIES AND NET</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159,714,934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170,506,746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170,543,785</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w:t>
            </w:r>
          </w:p>
        </w:tc>
        <w:tc>
          <w:tcPr>
            <w:tcW w:w="3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Contingent credits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61,554,544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65,840,952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64,544,280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performance bonds, stand-by and L/Cs.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17,569,654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19,369,559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18,442,011</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unutilized credit lines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24,573,607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23,553,406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23,211,153</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derivates (notional) and others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19,411,283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22,917,987</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22,891,115</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04" w:right="239" w:bottom="0" w:gutter="0" w:footer="0" w:header="0"/>
        </w:sectPr>
      </w:pPr>
    </w:p>
    <w:bookmarkStart w:id="52" w:name="page53"/>
    <w:bookmarkEnd w:id="52"/>
    <w:p>
      <w:pPr>
        <w:ind w:left="260" w:hanging="252"/>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Mainly includes JV between Grupo Pacifico and Banmedica.</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Mainly includes receivables, goodwill, tax credit, and others.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1Q17</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4Q17</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1Q18</w:t>
            </w:r>
          </w:p>
        </w:tc>
        <w:tc>
          <w:tcPr>
            <w:tcW w:w="190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Interest income and expense</w:t>
            </w: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Interest and dividend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2,739,779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2,832,384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2,794,942</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9"/>
                <w:szCs w:val="29"/>
                <w:color w:val="auto"/>
                <w:vertAlign w:val="superscript"/>
              </w:rPr>
              <w:t>(1)</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(726,692)</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(766,410)</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(746,240)</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b w:val="1"/>
                <w:bCs w:val="1"/>
                <w:color w:val="auto"/>
              </w:rPr>
              <w:t>Net interest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2,013,087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2,065,974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2,048,702</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Provision for loan losses, net of recoveries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(536,494)</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(441,250)</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(371,024)</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-15.9%</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Non-financial income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Fee income </w:t>
            </w:r>
            <w:r>
              <w:rPr>
                <w:rFonts w:ascii="Arial" w:cs="Arial" w:eastAsia="Arial" w:hAnsi="Arial"/>
                <w:sz w:val="29"/>
                <w:szCs w:val="29"/>
                <w:color w:val="auto"/>
                <w:vertAlign w:val="superscript"/>
              </w:rPr>
              <w:t>(1)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681,047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783,976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744,677</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Net gains on foreign exchange transactions </w:t>
            </w:r>
            <w:r>
              <w:rPr>
                <w:rFonts w:ascii="Arial" w:cs="Arial" w:eastAsia="Arial" w:hAnsi="Arial"/>
                <w:sz w:val="29"/>
                <w:szCs w:val="29"/>
                <w:color w:val="auto"/>
                <w:vertAlign w:val="superscript"/>
              </w:rPr>
              <w:t>(2)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166,486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172,709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162,295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gains on sales of securities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57,821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237,705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92,389</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Net gains from associates </w:t>
            </w:r>
            <w:r>
              <w:rPr>
                <w:rFonts w:ascii="Arial" w:cs="Arial" w:eastAsia="Arial" w:hAnsi="Arial"/>
                <w:sz w:val="29"/>
                <w:szCs w:val="29"/>
                <w:color w:val="auto"/>
                <w:vertAlign w:val="superscript"/>
              </w:rPr>
              <w:t>(3)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6,023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4,747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8,387</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76.7%</w:t>
            </w:r>
          </w:p>
        </w:tc>
        <w:tc>
          <w:tcPr>
            <w:tcW w:w="36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Net gains on derivatives </w:t>
            </w:r>
            <w:r>
              <w:rPr>
                <w:rFonts w:ascii="Arial" w:cs="Arial" w:eastAsia="Arial" w:hAnsi="Arial"/>
                <w:sz w:val="29"/>
                <w:szCs w:val="29"/>
                <w:color w:val="auto"/>
                <w:vertAlign w:val="superscript"/>
              </w:rPr>
              <w:t>(4)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54,341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8,213</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-103.8%</w:t>
            </w:r>
          </w:p>
        </w:tc>
        <w:tc>
          <w:tcPr>
            <w:tcW w:w="3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Result on exchange difference </w:t>
            </w:r>
            <w:r>
              <w:rPr>
                <w:rFonts w:ascii="Arial" w:cs="Arial" w:eastAsia="Arial" w:hAnsi="Arial"/>
                <w:sz w:val="29"/>
                <w:szCs w:val="29"/>
                <w:color w:val="auto"/>
                <w:vertAlign w:val="superscript"/>
              </w:rPr>
              <w:t>(2)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9,070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1,991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5,889</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195.8%</w:t>
            </w:r>
          </w:p>
        </w:tc>
        <w:tc>
          <w:tcPr>
            <w:tcW w:w="36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68,745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69,249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82,876</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b w:val="1"/>
                <w:bCs w:val="1"/>
                <w:color w:val="auto"/>
              </w:rPr>
              <w:t>Total non-financial income, net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1,043,533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1,278,590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1,096,201</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Insurance underwriting result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earned premiums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465,304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470,837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508,202</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Net claims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(280,964)</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(283,354)</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(294,745)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cost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(62,061)</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(66,141)</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(97,548)</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b w:val="1"/>
                <w:bCs w:val="1"/>
                <w:color w:val="auto"/>
              </w:rPr>
              <w:t>Total insurance underwriting result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122,279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121,342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115,909</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and social benefits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(753,266)</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(804,067)</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(777,345)</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Administrative, general and tax expenses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(488,466)</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(601,846)</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(496,375)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(115,887)</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(117,414)</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(116,699)</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Other expenses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(49,492)</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(42,912)</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(49,325)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14.9%</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expenses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(1,407,111)</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(1,566,239)</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(1,439,744)</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1,235,294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1,458,417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1,450,044</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(325,668)</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(371,284)</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(385,392)</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909,626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1,087,133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1,064,652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20,051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23,475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26,844</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889,575</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1,063,658</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1,037,808</w:t>
            </w:r>
          </w:p>
        </w:tc>
        <w:tc>
          <w:tcPr>
            <w:tcW w:w="2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right="600" w:firstLine="8"/>
        <w:spacing w:after="0" w:line="250" w:lineRule="auto"/>
        <w:tabs>
          <w:tab w:leader="none" w:pos="2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new account “Result on exchange difference” includes what was previously reported as: (i) the translation result and (ii) net gains on currency trading,</w:t>
      </w:r>
    </w:p>
    <w:p>
      <w:pPr>
        <w:spacing w:after="0"/>
        <w:rPr>
          <w:rFonts w:ascii="Arial" w:cs="Arial" w:eastAsia="Arial" w:hAnsi="Arial"/>
          <w:sz w:val="18"/>
          <w:szCs w:val="18"/>
          <w:color w:val="auto"/>
        </w:rPr>
      </w:pPr>
      <w:r>
        <w:rPr>
          <w:rFonts w:ascii="Arial" w:cs="Arial" w:eastAsia="Arial" w:hAnsi="Arial"/>
          <w:sz w:val="18"/>
          <w:szCs w:val="18"/>
          <w:color w:val="auto"/>
        </w:rPr>
        <w:t>which was previously included in net gains on foreign exchange transactions.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the agreement between Grupo Pacifico and Banmedica.</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Since 1Q17, “Net gains on derivatives” is reported as non-financial income rather than net interest income, as was the case in the past.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spacing w:after="0"/>
        <w:tabs>
          <w:tab w:leader="none" w:pos="4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BCP Consolidated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 17</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Dec 17</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 18</w:t>
            </w:r>
          </w:p>
        </w:tc>
        <w:tc>
          <w:tcPr>
            <w:tcW w:w="190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27,480,029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28,882,496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25,038,742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BCRP</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24,236,044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26,258,886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17,510,856</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Deposits in other banks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3,030,994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2,450,994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7,489,571</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205.6%</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Interbanks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167,845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32,300</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2,991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4,771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6,015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26.1%</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Trading securities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3,326,738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2,127,933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4,190,860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96.9%</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Total loans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84,745,416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91,598,235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91,979,338</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82,084,000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88,700,394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89,117,161</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Internal overdue loans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2,661,416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2,897,841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2,862,177</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 allowance for loan losses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(3,999,842)</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(4,273,613)</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(4,576,672)</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Loans, net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80,745,574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87,324,622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87,402,666</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Investment available for sale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9,170,661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12,051,088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12,111,102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held to maturiy</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4,730,549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4,084,680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3,754,289</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1,501,404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1,436,417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1,393,298</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from customers acceptances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495,936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532,034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721,061</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b w:val="1"/>
                <w:bCs w:val="1"/>
                <w:color w:val="auto"/>
                <w:vertAlign w:val="superscript"/>
              </w:rPr>
              <w:t>(1)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3,350,523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3,219,397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3,755,341</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16.6%</w:t>
            </w:r>
          </w:p>
        </w:tc>
        <w:tc>
          <w:tcPr>
            <w:tcW w:w="3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20"/>
              <w:spacing w:after="0"/>
              <w:rPr>
                <w:sz w:val="20"/>
                <w:szCs w:val="20"/>
                <w:color w:val="auto"/>
              </w:rPr>
            </w:pPr>
            <w:r>
              <w:rPr>
                <w:rFonts w:ascii="Arial" w:cs="Arial" w:eastAsia="Arial" w:hAnsi="Arial"/>
                <w:sz w:val="18"/>
                <w:szCs w:val="18"/>
                <w:b w:val="1"/>
                <w:bCs w:val="1"/>
                <w:color w:val="auto"/>
              </w:rPr>
              <w:t>Total assets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130,801,414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139,658,667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138,367,359</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-0.9%</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LIABILITIES AND NET EQUITY</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78,341,176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85,506,358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86,771,759</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Demand deposits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23,923,436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26,146,487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27,674,773</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Saving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24,929,341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26,793,277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27,881,626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22,800,621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25,199,406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24,336,239</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Severance indemnity deposits (CTS)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6,537,982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7,170,934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6,676,449</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payable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149,796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196,254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202,672</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BCRP instruments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9,979,835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9,286,032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6,494,792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8,111,636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8,264,139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8,069,930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Bonds and subordinated debt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14,195,725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15,451,019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14,528,362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495,936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532,034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721,061</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45.4%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6,451,236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5,068,258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7,088,476</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39.9%</w:t>
            </w:r>
          </w:p>
        </w:tc>
        <w:tc>
          <w:tcPr>
            <w:tcW w:w="3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117,575,544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124,107,840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123,674,380</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13,090,791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15,398,256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14,541,053</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Capital stock</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7,639,962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7,639,962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8,476,984</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3,666,622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3,666,632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3,965,441</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Unrealized gains and losses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63,094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70,045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58,754</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1,007,086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1,007,086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1,158,354</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Income for the year</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714,027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3,014,531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881,520</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-70.8%</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135,079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152,571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151,926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20"/>
              <w:spacing w:after="0"/>
              <w:rPr>
                <w:sz w:val="20"/>
                <w:szCs w:val="20"/>
                <w:color w:val="auto"/>
              </w:rPr>
            </w:pPr>
            <w:r>
              <w:rPr>
                <w:rFonts w:ascii="Arial" w:cs="Arial" w:eastAsia="Arial" w:hAnsi="Arial"/>
                <w:sz w:val="18"/>
                <w:szCs w:val="18"/>
                <w:b w:val="1"/>
                <w:bCs w:val="1"/>
                <w:color w:val="auto"/>
              </w:rPr>
              <w:t>Total equity</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13,225,870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15,550,827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14,692,979</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TOTAL LIABILITIES AND NET EQUITY</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130,801,414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139,658,667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138,367,359</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-0.9%</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Off-balance sheet</w:t>
            </w:r>
          </w:p>
        </w:tc>
        <w:tc>
          <w:tcPr>
            <w:tcW w:w="1240" w:type="dxa"/>
            <w:vAlign w:val="bottom"/>
          </w:tcPr>
          <w:p>
            <w:pPr>
              <w:jc w:val="right"/>
              <w:spacing w:after="0"/>
              <w:rPr>
                <w:sz w:val="20"/>
                <w:szCs w:val="20"/>
                <w:color w:val="auto"/>
              </w:rPr>
            </w:pPr>
            <w:r>
              <w:rPr>
                <w:rFonts w:ascii="Arial" w:cs="Arial" w:eastAsia="Arial" w:hAnsi="Arial"/>
                <w:sz w:val="18"/>
                <w:szCs w:val="18"/>
                <w:color w:val="auto"/>
              </w:rPr>
              <w:t>49,631,792</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53,783,183</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53,750,677</w:t>
            </w:r>
          </w:p>
        </w:tc>
        <w:tc>
          <w:tcPr>
            <w:tcW w:w="20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Mainly includes intangible assets, other receivable accounts and tax credit.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545"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1Q17</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4Q17</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1Q18</w:t>
            </w:r>
          </w:p>
        </w:tc>
        <w:tc>
          <w:tcPr>
            <w:tcW w:w="190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Interest income and expense</w:t>
            </w: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Interest and dividend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2,417,399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2,514,877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2,484,469</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(656,438)</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(673,190)</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(651,655)</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b w:val="1"/>
                <w:bCs w:val="1"/>
                <w:color w:val="auto"/>
              </w:rPr>
              <w:t>Net interest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1,760,961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1,841,687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1,832,814</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Provision for loan losses, net of recoveries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(521,728)</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(422,722)</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(355,118)</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Non financial income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 income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564,311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612,219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592,410</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Net gains on foreign exchange transactions </w:t>
            </w:r>
            <w:r>
              <w:rPr>
                <w:rFonts w:ascii="Arial" w:cs="Arial" w:eastAsia="Arial" w:hAnsi="Arial"/>
                <w:sz w:val="29"/>
                <w:szCs w:val="29"/>
                <w:color w:val="auto"/>
                <w:vertAlign w:val="superscript"/>
              </w:rPr>
              <w:t>(1)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154,886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164,307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155,019</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gains on sales of securities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11,645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38,288</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588.8%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Net gains on derivatives </w:t>
            </w:r>
            <w:r>
              <w:rPr>
                <w:rFonts w:ascii="Arial" w:cs="Arial" w:eastAsia="Arial" w:hAnsi="Arial"/>
                <w:sz w:val="29"/>
                <w:szCs w:val="29"/>
                <w:color w:val="auto"/>
                <w:vertAlign w:val="superscript"/>
              </w:rPr>
              <w:t>(2)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55,724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17,566</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(3,395)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-119.3%</w:t>
            </w:r>
          </w:p>
        </w:tc>
        <w:tc>
          <w:tcPr>
            <w:tcW w:w="36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Result on exchange difference </w:t>
            </w:r>
            <w:r>
              <w:rPr>
                <w:rFonts w:ascii="Arial" w:cs="Arial" w:eastAsia="Arial" w:hAnsi="Arial"/>
                <w:sz w:val="29"/>
                <w:szCs w:val="29"/>
                <w:color w:val="auto"/>
                <w:vertAlign w:val="superscript"/>
              </w:rPr>
              <w:t>(1)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5,728</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35,477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38,625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63,930</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65.5%</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non financial income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829,951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844,412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851,980</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Salaries and social benefits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(575,903)</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(588,871)</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(585,848)</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 general and tax expenses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(389,731)</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(502,271)</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(388,340)</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(86,978)</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(90,422)</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(91,317)</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(33,641)</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(21,545)</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(38,593)</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b w:val="1"/>
                <w:bCs w:val="1"/>
                <w:color w:val="auto"/>
              </w:rPr>
              <w:t>Total expenses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(1,086,253)</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(1,203,109)</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(1,104,098)</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-8.2%</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982,931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1,060,268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1,225,578</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15.6%</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(265,272)</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(302,582)</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(336,508)</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(3,632)</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(7,099)</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(7,550)</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continuing operations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714,027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750,587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881,520</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income discontinuing operations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714,027</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750,587</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881,520</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17.4%</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firstLine="8"/>
        <w:spacing w:after="0" w:line="258" w:lineRule="auto"/>
        <w:tabs>
          <w:tab w:leader="none" w:pos="2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new account “Result on exchange difference” includes what was previously reported as: (i) the translation result and (ii) net gains on currency trading, which was previously included in net gains on foreign exchange transactions.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Since 1Q17, “Net gain on derivatives” is reported as non-financial income rather than net interest income, as was the case in the past.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1Q17</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4Q17</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Profitability</w:t>
            </w: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tcPr>
          <w:p>
            <w:pPr>
              <w:spacing w:after="0" w:line="256"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9"/>
                <w:szCs w:val="29"/>
                <w:color w:val="auto"/>
                <w:vertAlign w:val="superscript"/>
              </w:rPr>
              <w:t>(1)</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0.081</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0.086</w:t>
            </w:r>
          </w:p>
        </w:tc>
        <w:tc>
          <w:tcPr>
            <w:tcW w:w="1240" w:type="dxa"/>
            <w:vAlign w:val="bottom"/>
          </w:tcPr>
          <w:p>
            <w:pPr>
              <w:jc w:val="right"/>
              <w:spacing w:after="0"/>
              <w:rPr>
                <w:sz w:val="20"/>
                <w:szCs w:val="20"/>
                <w:color w:val="auto"/>
              </w:rPr>
            </w:pPr>
            <w:r>
              <w:rPr>
                <w:rFonts w:ascii="Arial" w:cs="Arial" w:eastAsia="Arial" w:hAnsi="Arial"/>
                <w:sz w:val="18"/>
                <w:szCs w:val="18"/>
                <w:color w:val="auto"/>
              </w:rPr>
              <w:t>0.101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ROAA</w:t>
            </w:r>
            <w:r>
              <w:rPr>
                <w:rFonts w:ascii="Arial" w:cs="Arial" w:eastAsia="Arial" w:hAnsi="Arial"/>
                <w:sz w:val="13"/>
                <w:szCs w:val="13"/>
                <w:color w:val="auto"/>
              </w:rPr>
              <w:t xml:space="preserve"> (2)(3)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tcPr>
          <w:p>
            <w:pPr>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(2)(3)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color w:val="auto"/>
                <w:vertAlign w:val="superscript"/>
              </w:rPr>
              <w:t>(2)(3)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tcPr>
          <w:p>
            <w:pPr>
              <w:spacing w:after="0" w:line="256" w:lineRule="exact"/>
              <w:rPr>
                <w:sz w:val="20"/>
                <w:szCs w:val="20"/>
                <w:color w:val="auto"/>
              </w:rPr>
            </w:pPr>
            <w:r>
              <w:rPr>
                <w:rFonts w:ascii="Arial" w:cs="Arial" w:eastAsia="Arial" w:hAnsi="Arial"/>
                <w:sz w:val="18"/>
                <w:szCs w:val="18"/>
                <w:color w:val="auto"/>
              </w:rPr>
              <w:t xml:space="preserve">Risk adjusted NIM </w:t>
            </w:r>
            <w:r>
              <w:rPr>
                <w:rFonts w:ascii="Arial" w:cs="Arial" w:eastAsia="Arial" w:hAnsi="Arial"/>
                <w:sz w:val="29"/>
                <w:szCs w:val="29"/>
                <w:color w:val="auto"/>
                <w:vertAlign w:val="superscript"/>
              </w:rPr>
              <w:t>(2)(3)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4.52%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4.32%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Funding Cost </w:t>
            </w:r>
            <w:r>
              <w:rPr>
                <w:rFonts w:ascii="Arial" w:cs="Arial" w:eastAsia="Arial" w:hAnsi="Arial"/>
                <w:sz w:val="29"/>
                <w:szCs w:val="29"/>
                <w:color w:val="auto"/>
                <w:vertAlign w:val="superscript"/>
              </w:rPr>
              <w:t>(2)(3)(4)</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Quality of loan portfolio</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IOL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3.14%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3.16%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NPL ratio</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Coverage of IOLs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150.3%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147.5%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Coverage of NPLs</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114.0%</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tcPr>
          <w:p>
            <w:pPr>
              <w:spacing w:after="0" w:line="256"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2.46%</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1.85%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Operating efficiency</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Oper. expenses as a percent. of total income - reported </w:t>
            </w:r>
            <w:r>
              <w:rPr>
                <w:rFonts w:ascii="Arial" w:cs="Arial" w:eastAsia="Arial" w:hAnsi="Arial"/>
                <w:sz w:val="29"/>
                <w:szCs w:val="29"/>
                <w:color w:val="auto"/>
                <w:vertAlign w:val="superscript"/>
              </w:rPr>
              <w:t>(6)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Oper. expenses as a percent. of total income - including all other items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41.9%</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44.8%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Oper. expenses as a percent. of av. tot. assets </w:t>
            </w:r>
            <w:r>
              <w:rPr>
                <w:rFonts w:ascii="Arial" w:cs="Arial" w:eastAsia="Arial" w:hAnsi="Arial"/>
                <w:sz w:val="29"/>
                <w:szCs w:val="29"/>
                <w:color w:val="auto"/>
                <w:vertAlign w:val="superscript"/>
              </w:rPr>
              <w:t>(2)(3)(6)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98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Capital adequacy </w:t>
            </w:r>
            <w:r>
              <w:rPr>
                <w:rFonts w:ascii="Arial" w:cs="Arial" w:eastAsia="Arial" w:hAnsi="Arial"/>
                <w:sz w:val="29"/>
                <w:szCs w:val="29"/>
                <w:b w:val="1"/>
                <w:bCs w:val="1"/>
                <w:color w:val="auto"/>
                <w:vertAlign w:val="superscript"/>
              </w:rPr>
              <w:t>(7)</w:t>
            </w:r>
          </w:p>
        </w:tc>
        <w:tc>
          <w:tcPr>
            <w:tcW w:w="1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Total regulatory capital (S/ Million)</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16,792</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16,398</w:t>
            </w:r>
          </w:p>
        </w:tc>
        <w:tc>
          <w:tcPr>
            <w:tcW w:w="1240" w:type="dxa"/>
            <w:vAlign w:val="bottom"/>
          </w:tcPr>
          <w:p>
            <w:pPr>
              <w:jc w:val="right"/>
              <w:spacing w:after="0"/>
              <w:rPr>
                <w:sz w:val="20"/>
                <w:szCs w:val="20"/>
                <w:color w:val="auto"/>
              </w:rPr>
            </w:pPr>
            <w:r>
              <w:rPr>
                <w:rFonts w:ascii="Arial" w:cs="Arial" w:eastAsia="Arial" w:hAnsi="Arial"/>
                <w:sz w:val="18"/>
                <w:szCs w:val="18"/>
                <w:color w:val="auto"/>
              </w:rPr>
              <w:t>17,391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Tier 1 capital (S/ Million) </w:t>
            </w:r>
            <w:r>
              <w:rPr>
                <w:rFonts w:ascii="Arial" w:cs="Arial" w:eastAsia="Arial" w:hAnsi="Arial"/>
                <w:sz w:val="29"/>
                <w:szCs w:val="29"/>
                <w:color w:val="auto"/>
                <w:vertAlign w:val="superscript"/>
              </w:rPr>
              <w:t>(8)</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11,806</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11,805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tcPr>
          <w:p>
            <w:pPr>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(9)</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10.92%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11.83%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(10)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 Information</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 of outstanding shares (Million)</w:t>
            </w:r>
          </w:p>
        </w:tc>
        <w:tc>
          <w:tcPr>
            <w:tcW w:w="1240" w:type="dxa"/>
            <w:vAlign w:val="bottom"/>
          </w:tcPr>
          <w:p>
            <w:pPr>
              <w:jc w:val="right"/>
              <w:spacing w:after="0"/>
              <w:rPr>
                <w:sz w:val="20"/>
                <w:szCs w:val="20"/>
                <w:color w:val="auto"/>
              </w:rPr>
            </w:pPr>
            <w:r>
              <w:rPr>
                <w:rFonts w:ascii="Arial" w:cs="Arial" w:eastAsia="Arial" w:hAnsi="Arial"/>
                <w:sz w:val="18"/>
                <w:szCs w:val="18"/>
                <w:color w:val="auto"/>
              </w:rPr>
              <w:t>8,770.36</w:t>
            </w:r>
          </w:p>
        </w:tc>
        <w:tc>
          <w:tcPr>
            <w:tcW w:w="26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8,770.36</w:t>
            </w:r>
          </w:p>
        </w:tc>
        <w:tc>
          <w:tcPr>
            <w:tcW w:w="1240" w:type="dxa"/>
            <w:vAlign w:val="bottom"/>
          </w:tcPr>
          <w:p>
            <w:pPr>
              <w:jc w:val="right"/>
              <w:spacing w:after="0"/>
              <w:rPr>
                <w:sz w:val="20"/>
                <w:szCs w:val="20"/>
                <w:color w:val="auto"/>
              </w:rPr>
            </w:pPr>
            <w:r>
              <w:rPr>
                <w:rFonts w:ascii="Arial" w:cs="Arial" w:eastAsia="Arial" w:hAnsi="Arial"/>
                <w:sz w:val="18"/>
                <w:szCs w:val="18"/>
                <w:color w:val="auto"/>
              </w:rPr>
              <w:t>8,770.36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Shares outstanding of 8,770 million is used for all periods since shares have been issued only for capitalization of profits.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right="480" w:firstLine="8"/>
        <w:spacing w:after="0" w:line="281" w:lineRule="auto"/>
        <w:tabs>
          <w:tab w:leader="none" w:pos="255"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funding costs differs from previously reported due to a methodoloy change in the denominator, which no longer includes the following accounts: acceptances outstanding, reserves for property and casualty claims, reserve for unearned premiums, reinsurance payable and other liabilities."</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Cost of risk: Annualized provision for loan losses / Total loans.</w:t>
      </w:r>
    </w:p>
    <w:p>
      <w:pPr>
        <w:spacing w:after="0" w:line="9" w:lineRule="exact"/>
        <w:rPr>
          <w:rFonts w:ascii="Arial" w:cs="Arial" w:eastAsia="Arial" w:hAnsi="Arial"/>
          <w:sz w:val="18"/>
          <w:szCs w:val="18"/>
          <w:color w:val="auto"/>
        </w:rPr>
      </w:pPr>
    </w:p>
    <w:p>
      <w:pPr>
        <w:ind w:right="820" w:firstLine="8"/>
        <w:spacing w:after="0" w:line="281" w:lineRule="auto"/>
        <w:tabs>
          <w:tab w:leader="none" w:pos="255" w:val="left"/>
        </w:tabs>
        <w:numPr>
          <w:ilvl w:val="0"/>
          <w:numId w:val="89"/>
        </w:numPr>
        <w:rPr>
          <w:rFonts w:ascii="Arial" w:cs="Arial" w:eastAsia="Arial" w:hAnsi="Arial"/>
          <w:sz w:val="16"/>
          <w:szCs w:val="16"/>
          <w:color w:val="auto"/>
        </w:rPr>
      </w:pPr>
      <w:r>
        <w:rPr>
          <w:rFonts w:ascii="Arial" w:cs="Arial" w:eastAsia="Arial" w:hAnsi="Arial"/>
          <w:sz w:val="16"/>
          <w:szCs w:val="16"/>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capital ratios are for BCP Stand-alone and based on Peru GAAP</w:t>
      </w:r>
    </w:p>
    <w:p>
      <w:pPr>
        <w:spacing w:after="0" w:line="9" w:lineRule="exact"/>
        <w:rPr>
          <w:rFonts w:ascii="Arial" w:cs="Arial" w:eastAsia="Arial" w:hAnsi="Arial"/>
          <w:sz w:val="18"/>
          <w:szCs w:val="18"/>
          <w:color w:val="auto"/>
        </w:rPr>
      </w:pPr>
    </w:p>
    <w:p>
      <w:pPr>
        <w:ind w:right="400" w:firstLine="8"/>
        <w:spacing w:after="0" w:line="265" w:lineRule="auto"/>
        <w:tabs>
          <w:tab w:leader="none" w:pos="255" w:val="left"/>
        </w:tabs>
        <w:numPr>
          <w:ilvl w:val="0"/>
          <w:numId w:val="89"/>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right="40" w:firstLine="8"/>
        <w:spacing w:after="0" w:line="250" w:lineRule="auto"/>
        <w:tabs>
          <w:tab w:leader="none" w:pos="2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right="60" w:firstLine="8"/>
        <w:spacing w:after="0" w:line="261" w:lineRule="auto"/>
        <w:tabs>
          <w:tab w:leader="none" w:pos="345"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Regulatory capital/ risk-weighted assets. Risk weighted assets include market risk and operational risk. (9) Regulatory capital/ risk-weighted assets. Risk weighted assets include market risk and operational risk.</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11.3  Mibanco</w:t>
            </w: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8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MIBANCO</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00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(In S/ thousands, IFRS)</w:t>
            </w: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As of</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3"/>
          </w:tcPr>
          <w:p>
            <w:pPr>
              <w:ind w:left="1000"/>
              <w:spacing w:after="0"/>
              <w:rPr>
                <w:sz w:val="20"/>
                <w:szCs w:val="20"/>
                <w:color w:val="auto"/>
              </w:rPr>
            </w:pPr>
            <w:r>
              <w:rPr>
                <w:rFonts w:ascii="Arial" w:cs="Arial" w:eastAsia="Arial" w:hAnsi="Arial"/>
                <w:sz w:val="18"/>
                <w:szCs w:val="18"/>
                <w:b w:val="1"/>
                <w:bCs w:val="1"/>
                <w:color w:val="auto"/>
                <w:w w:val="99"/>
              </w:rPr>
              <w:t>% change</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50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Mar 17</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Dec 17</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Mar 18</w:t>
            </w:r>
          </w:p>
        </w:tc>
        <w:tc>
          <w:tcPr>
            <w:tcW w:w="186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1,085,615</w:t>
            </w:r>
          </w:p>
        </w:tc>
        <w:tc>
          <w:tcPr>
            <w:tcW w:w="1220" w:type="dxa"/>
            <w:vAlign w:val="bottom"/>
          </w:tcPr>
          <w:p>
            <w:pPr>
              <w:jc w:val="right"/>
              <w:spacing w:after="0"/>
              <w:rPr>
                <w:sz w:val="20"/>
                <w:szCs w:val="20"/>
                <w:color w:val="auto"/>
              </w:rPr>
            </w:pPr>
            <w:r>
              <w:rPr>
                <w:rFonts w:ascii="Arial" w:cs="Arial" w:eastAsia="Arial" w:hAnsi="Arial"/>
                <w:sz w:val="18"/>
                <w:szCs w:val="18"/>
                <w:color w:val="auto"/>
              </w:rPr>
              <w:t>913,878</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920,376</w:t>
            </w:r>
          </w:p>
        </w:tc>
        <w:tc>
          <w:tcPr>
            <w:tcW w:w="2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5"/>
              </w:rPr>
              <w:t>Investments available for sale and trading securities</w:t>
            </w:r>
          </w:p>
        </w:tc>
        <w:tc>
          <w:tcPr>
            <w:tcW w:w="1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1,916,823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2,058,284</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2,066,837</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8,820,974</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9,470,787</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9,650,729</w:t>
            </w:r>
          </w:p>
        </w:tc>
        <w:tc>
          <w:tcPr>
            <w:tcW w:w="2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w:t>
            </w:r>
          </w:p>
        </w:tc>
        <w:tc>
          <w:tcPr>
            <w:tcW w:w="1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8,313,391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8,890,434</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9,030,632</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20"/>
              <w:spacing w:after="0"/>
              <w:rPr>
                <w:sz w:val="20"/>
                <w:szCs w:val="20"/>
                <w:color w:val="auto"/>
              </w:rPr>
            </w:pPr>
            <w:r>
              <w:rPr>
                <w:rFonts w:ascii="Arial" w:cs="Arial" w:eastAsia="Arial" w:hAnsi="Arial"/>
                <w:sz w:val="18"/>
                <w:szCs w:val="18"/>
                <w:color w:val="auto"/>
              </w:rPr>
              <w:t>Past-due</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404,684</w:t>
            </w:r>
          </w:p>
        </w:tc>
        <w:tc>
          <w:tcPr>
            <w:tcW w:w="1220" w:type="dxa"/>
            <w:vAlign w:val="bottom"/>
          </w:tcPr>
          <w:p>
            <w:pPr>
              <w:jc w:val="right"/>
              <w:spacing w:after="0"/>
              <w:rPr>
                <w:sz w:val="20"/>
                <w:szCs w:val="20"/>
                <w:color w:val="auto"/>
              </w:rPr>
            </w:pPr>
            <w:r>
              <w:rPr>
                <w:rFonts w:ascii="Arial" w:cs="Arial" w:eastAsia="Arial" w:hAnsi="Arial"/>
                <w:sz w:val="18"/>
                <w:szCs w:val="18"/>
                <w:color w:val="auto"/>
              </w:rPr>
              <w:t>442,986</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486,400</w:t>
            </w:r>
          </w:p>
        </w:tc>
        <w:tc>
          <w:tcPr>
            <w:tcW w:w="2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Refinanced</w:t>
            </w:r>
          </w:p>
        </w:tc>
        <w:tc>
          <w:tcPr>
            <w:tcW w:w="1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102,899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137,367</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133,697</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20"/>
              <w:spacing w:after="0"/>
              <w:rPr>
                <w:sz w:val="20"/>
                <w:szCs w:val="20"/>
                <w:color w:val="auto"/>
              </w:rPr>
            </w:pPr>
            <w:r>
              <w:rPr>
                <w:rFonts w:ascii="Arial" w:cs="Arial" w:eastAsia="Arial" w:hAnsi="Arial"/>
                <w:sz w:val="18"/>
                <w:szCs w:val="18"/>
                <w:color w:val="auto"/>
              </w:rPr>
              <w:t>Allowance for loan losses</w:t>
            </w: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(790,911)</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(863,888)</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(873,809)</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loans</w:t>
            </w:r>
          </w:p>
        </w:tc>
        <w:tc>
          <w:tcPr>
            <w:tcW w:w="1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8,030,063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8,606,900</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8,776,919</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215,247</w:t>
            </w:r>
          </w:p>
        </w:tc>
        <w:tc>
          <w:tcPr>
            <w:tcW w:w="1220" w:type="dxa"/>
            <w:vAlign w:val="bottom"/>
          </w:tcPr>
          <w:p>
            <w:pPr>
              <w:jc w:val="right"/>
              <w:spacing w:after="0"/>
              <w:rPr>
                <w:sz w:val="20"/>
                <w:szCs w:val="20"/>
                <w:color w:val="auto"/>
              </w:rPr>
            </w:pPr>
            <w:r>
              <w:rPr>
                <w:rFonts w:ascii="Arial" w:cs="Arial" w:eastAsia="Arial" w:hAnsi="Arial"/>
                <w:sz w:val="18"/>
                <w:szCs w:val="18"/>
                <w:color w:val="auto"/>
              </w:rPr>
              <w:t>190,714</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184,516</w:t>
            </w:r>
          </w:p>
        </w:tc>
        <w:tc>
          <w:tcPr>
            <w:tcW w:w="2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457,412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593,199</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626,001</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80"/>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11,705,161</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12,362,975</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12,574,648</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6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 NET SHAREHOLDERS'</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obligations</w:t>
            </w:r>
          </w:p>
        </w:tc>
        <w:tc>
          <w:tcPr>
            <w:tcW w:w="1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6,829,817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7,485,390</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7,515,338</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1,859,034</w:t>
            </w:r>
          </w:p>
        </w:tc>
        <w:tc>
          <w:tcPr>
            <w:tcW w:w="1220" w:type="dxa"/>
            <w:vAlign w:val="bottom"/>
          </w:tcPr>
          <w:p>
            <w:pPr>
              <w:jc w:val="right"/>
              <w:spacing w:after="0"/>
              <w:rPr>
                <w:sz w:val="20"/>
                <w:szCs w:val="20"/>
                <w:color w:val="auto"/>
              </w:rPr>
            </w:pPr>
            <w:r>
              <w:rPr>
                <w:rFonts w:ascii="Arial" w:cs="Arial" w:eastAsia="Arial" w:hAnsi="Arial"/>
                <w:sz w:val="18"/>
                <w:szCs w:val="18"/>
                <w:color w:val="auto"/>
              </w:rPr>
              <w:t>1,910,329</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1,956,571</w:t>
            </w:r>
          </w:p>
        </w:tc>
        <w:tc>
          <w:tcPr>
            <w:tcW w:w="2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Bonds ans subordinated debt</w:t>
            </w:r>
          </w:p>
        </w:tc>
        <w:tc>
          <w:tcPr>
            <w:tcW w:w="1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669,858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467,556</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469,223</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liabilities</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980,548</w:t>
            </w:r>
          </w:p>
        </w:tc>
        <w:tc>
          <w:tcPr>
            <w:tcW w:w="1220" w:type="dxa"/>
            <w:vAlign w:val="bottom"/>
          </w:tcPr>
          <w:p>
            <w:pPr>
              <w:jc w:val="right"/>
              <w:spacing w:after="0"/>
              <w:rPr>
                <w:sz w:val="20"/>
                <w:szCs w:val="20"/>
                <w:color w:val="auto"/>
              </w:rPr>
            </w:pPr>
            <w:r>
              <w:rPr>
                <w:rFonts w:ascii="Arial" w:cs="Arial" w:eastAsia="Arial" w:hAnsi="Arial"/>
                <w:sz w:val="18"/>
                <w:szCs w:val="18"/>
                <w:color w:val="auto"/>
              </w:rPr>
              <w:t>803,217</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935,442</w:t>
            </w:r>
          </w:p>
        </w:tc>
        <w:tc>
          <w:tcPr>
            <w:tcW w:w="2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10,339,257</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10,666,492</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10,876,574</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shareholders' equity</w:t>
            </w:r>
          </w:p>
        </w:tc>
        <w:tc>
          <w:tcPr>
            <w:tcW w:w="1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1,365,904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1,696,483</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1,698,074</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0.1%</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LIABILITIES AND NET</w:t>
            </w: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11,705,161</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12,362,975</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12,574,648</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w:t>
            </w:r>
          </w:p>
        </w:tc>
        <w:tc>
          <w:tcPr>
            <w:tcW w:w="3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financial income</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440,138</w:t>
            </w:r>
          </w:p>
        </w:tc>
        <w:tc>
          <w:tcPr>
            <w:tcW w:w="1220" w:type="dxa"/>
            <w:vAlign w:val="bottom"/>
          </w:tcPr>
          <w:p>
            <w:pPr>
              <w:jc w:val="right"/>
              <w:spacing w:after="0"/>
              <w:rPr>
                <w:sz w:val="20"/>
                <w:szCs w:val="20"/>
                <w:color w:val="auto"/>
              </w:rPr>
            </w:pPr>
            <w:r>
              <w:rPr>
                <w:rFonts w:ascii="Arial" w:cs="Arial" w:eastAsia="Arial" w:hAnsi="Arial"/>
                <w:sz w:val="18"/>
                <w:szCs w:val="18"/>
                <w:color w:val="auto"/>
              </w:rPr>
              <w:t>486,849</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490,917</w:t>
            </w:r>
          </w:p>
        </w:tc>
        <w:tc>
          <w:tcPr>
            <w:tcW w:w="2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 net of recoveries</w:t>
            </w:r>
          </w:p>
        </w:tc>
        <w:tc>
          <w:tcPr>
            <w:tcW w:w="1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(111,204)</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(101,993)</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(78,952)</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Non financial income</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20,055</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22,350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23,832</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(255,463)</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(237,687)</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(257,473)</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93,526</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169,518</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178,324</w:t>
            </w:r>
          </w:p>
        </w:tc>
        <w:tc>
          <w:tcPr>
            <w:tcW w:w="2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Translation results</w:t>
            </w:r>
          </w:p>
        </w:tc>
        <w:tc>
          <w:tcPr>
            <w:tcW w:w="1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Income taxes</w:t>
            </w: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(25,111)</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(46,982)</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(48,689)</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68,415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122,537</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129,636</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L/D ratio</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129.2%</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126.5%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128.4%</w:t>
            </w:r>
          </w:p>
        </w:tc>
        <w:tc>
          <w:tcPr>
            <w:tcW w:w="1860" w:type="dxa"/>
            <w:vAlign w:val="bottom"/>
            <w:gridSpan w:val="3"/>
          </w:tcPr>
          <w:p>
            <w:pPr>
              <w:jc w:val="right"/>
              <w:ind w:right="640"/>
              <w:spacing w:after="0"/>
              <w:rPr>
                <w:sz w:val="20"/>
                <w:szCs w:val="20"/>
                <w:color w:val="auto"/>
              </w:rPr>
            </w:pPr>
            <w:r>
              <w:rPr>
                <w:rFonts w:ascii="Arial" w:cs="Arial" w:eastAsia="Arial" w:hAnsi="Arial"/>
                <w:sz w:val="18"/>
                <w:szCs w:val="18"/>
                <w:color w:val="auto"/>
              </w:rPr>
              <w:t>190 bps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Internal overdue ratio</w:t>
            </w: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8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30 bps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NPL ratio</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5.8%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860" w:type="dxa"/>
            <w:vAlign w:val="bottom"/>
            <w:gridSpan w:val="3"/>
          </w:tcPr>
          <w:p>
            <w:pPr>
              <w:jc w:val="right"/>
              <w:ind w:right="640"/>
              <w:spacing w:after="0"/>
              <w:rPr>
                <w:sz w:val="20"/>
                <w:szCs w:val="20"/>
                <w:color w:val="auto"/>
              </w:rPr>
            </w:pPr>
            <w:r>
              <w:rPr>
                <w:rFonts w:ascii="Arial" w:cs="Arial" w:eastAsia="Arial" w:hAnsi="Arial"/>
                <w:sz w:val="18"/>
                <w:szCs w:val="18"/>
                <w:color w:val="auto"/>
              </w:rPr>
              <w:t>30 bps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Coverage of Internal overdue loans</w:t>
            </w: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195.4%</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179.6%</w:t>
            </w:r>
          </w:p>
        </w:tc>
        <w:tc>
          <w:tcPr>
            <w:tcW w:w="18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-1540 bps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Coverage of NPLs</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155.8%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148.9%</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140.9%</w:t>
            </w:r>
          </w:p>
        </w:tc>
        <w:tc>
          <w:tcPr>
            <w:tcW w:w="1860" w:type="dxa"/>
            <w:vAlign w:val="bottom"/>
            <w:gridSpan w:val="3"/>
          </w:tcPr>
          <w:p>
            <w:pPr>
              <w:jc w:val="right"/>
              <w:ind w:right="640"/>
              <w:spacing w:after="0"/>
              <w:rPr>
                <w:sz w:val="20"/>
                <w:szCs w:val="20"/>
                <w:color w:val="auto"/>
              </w:rPr>
            </w:pPr>
            <w:r>
              <w:rPr>
                <w:rFonts w:ascii="Arial" w:cs="Arial" w:eastAsia="Arial" w:hAnsi="Arial"/>
                <w:sz w:val="18"/>
                <w:szCs w:val="18"/>
                <w:color w:val="auto"/>
              </w:rPr>
              <w:t>-800 bps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-1490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ROAE</w:t>
            </w: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w:t>
            </w:r>
          </w:p>
        </w:tc>
        <w:tc>
          <w:tcPr>
            <w:tcW w:w="18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60 bps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ROAE incl. goodwill</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16.9%</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28.1%</w:t>
            </w:r>
          </w:p>
        </w:tc>
        <w:tc>
          <w:tcPr>
            <w:tcW w:w="1860" w:type="dxa"/>
            <w:vAlign w:val="bottom"/>
            <w:gridSpan w:val="3"/>
          </w:tcPr>
          <w:p>
            <w:pPr>
              <w:jc w:val="right"/>
              <w:ind w:right="640"/>
              <w:spacing w:after="0"/>
              <w:rPr>
                <w:sz w:val="20"/>
                <w:szCs w:val="20"/>
                <w:color w:val="auto"/>
              </w:rPr>
            </w:pPr>
            <w:r>
              <w:rPr>
                <w:rFonts w:ascii="Arial" w:cs="Arial" w:eastAsia="Arial" w:hAnsi="Arial"/>
                <w:sz w:val="18"/>
                <w:szCs w:val="18"/>
                <w:color w:val="auto"/>
              </w:rPr>
              <w:t>60 bps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1120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55.5%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w:t>
            </w:r>
          </w:p>
        </w:tc>
        <w:tc>
          <w:tcPr>
            <w:tcW w:w="18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440 bps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-590 bps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60" w:type="dxa"/>
            <w:vAlign w:val="bottom"/>
          </w:tcPr>
          <w:p>
            <w:pPr>
              <w:spacing w:after="0" w:line="256" w:lineRule="exact"/>
              <w:rPr>
                <w:sz w:val="20"/>
                <w:szCs w:val="20"/>
                <w:color w:val="auto"/>
              </w:rPr>
            </w:pPr>
            <w:r>
              <w:rPr>
                <w:rFonts w:ascii="Arial" w:cs="Arial" w:eastAsia="Arial" w:hAnsi="Arial"/>
                <w:sz w:val="18"/>
                <w:szCs w:val="18"/>
                <w:color w:val="auto"/>
              </w:rPr>
              <w:t xml:space="preserve">Branches </w:t>
            </w:r>
            <w:r>
              <w:rPr>
                <w:rFonts w:ascii="Arial" w:cs="Arial" w:eastAsia="Arial" w:hAnsi="Arial"/>
                <w:sz w:val="29"/>
                <w:szCs w:val="29"/>
                <w:color w:val="auto"/>
                <w:vertAlign w:val="superscript"/>
              </w:rPr>
              <w:t>(1)</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318</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324</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325</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Employees</w:t>
            </w:r>
          </w:p>
        </w:tc>
        <w:tc>
          <w:tcPr>
            <w:tcW w:w="1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10,386</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10,061</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10,083</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Banco de la Nacion branches, which in 1Q17 were 40, in 4Q17 were 38 and in 1Q18 were 38.</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11.4  BCP Bolivia</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BCP BOLIVIA</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rPr>
              <w:t>(In S/ thousands, IFRS)</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3"/>
          </w:tcPr>
          <w:p>
            <w:pPr>
              <w:ind w:left="98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ind w:left="340"/>
              <w:spacing w:after="0"/>
              <w:rPr>
                <w:sz w:val="20"/>
                <w:szCs w:val="20"/>
                <w:color w:val="auto"/>
              </w:rPr>
            </w:pPr>
            <w:r>
              <w:rPr>
                <w:rFonts w:ascii="Arial" w:cs="Arial" w:eastAsia="Arial" w:hAnsi="Arial"/>
                <w:sz w:val="18"/>
                <w:szCs w:val="18"/>
                <w:b w:val="1"/>
                <w:bCs w:val="1"/>
                <w:color w:val="auto"/>
              </w:rPr>
              <w:t>Mar 17</w:t>
            </w:r>
          </w:p>
        </w:tc>
        <w:tc>
          <w:tcPr>
            <w:tcW w:w="14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Dec 17</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Mar 18</w:t>
            </w:r>
          </w:p>
        </w:tc>
        <w:tc>
          <w:tcPr>
            <w:tcW w:w="1860" w:type="dxa"/>
            <w:vAlign w:val="bottom"/>
            <w:gridSpan w:val="3"/>
          </w:tcPr>
          <w:p>
            <w:pPr>
              <w:ind w:left="400"/>
              <w:spacing w:after="0"/>
              <w:rPr>
                <w:sz w:val="20"/>
                <w:szCs w:val="20"/>
                <w:color w:val="auto"/>
              </w:rPr>
            </w:pPr>
            <w:r>
              <w:rPr>
                <w:rFonts w:ascii="Arial" w:cs="Arial" w:eastAsia="Arial" w:hAnsi="Arial"/>
                <w:sz w:val="18"/>
                <w:szCs w:val="18"/>
                <w:b w:val="1"/>
                <w:bCs w:val="1"/>
                <w:color w:val="auto"/>
              </w:rPr>
              <w:t>QoQ</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1,017,399</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1,400,145</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1,228,815</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Investments available for sale and trading securities</w:t>
            </w: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1,231,499</w:t>
            </w: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1,483,091</w:t>
            </w:r>
          </w:p>
        </w:tc>
        <w:tc>
          <w:tcPr>
            <w:tcW w:w="14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1,479,436</w:t>
            </w:r>
          </w:p>
        </w:tc>
        <w:tc>
          <w:tcPr>
            <w:tcW w:w="15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Total loans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5,593,309</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6,308,626</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6,411,458</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5,465,230</w:t>
            </w: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6,167,449</w:t>
            </w:r>
          </w:p>
        </w:tc>
        <w:tc>
          <w:tcPr>
            <w:tcW w:w="14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6,259,579</w:t>
            </w:r>
          </w:p>
        </w:tc>
        <w:tc>
          <w:tcPr>
            <w:tcW w:w="15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Internal overdue loans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102,200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118,327</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129,871</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Refinanced</w:t>
            </w: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25,879</w:t>
            </w: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22,850</w:t>
            </w:r>
          </w:p>
        </w:tc>
        <w:tc>
          <w:tcPr>
            <w:tcW w:w="14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22,008</w:t>
            </w:r>
          </w:p>
        </w:tc>
        <w:tc>
          <w:tcPr>
            <w:tcW w:w="15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Allowance for loan losses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-197,698</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-219,294</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-220,237</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loans</w:t>
            </w: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5,395,611</w:t>
            </w: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6,089,332</w:t>
            </w:r>
          </w:p>
        </w:tc>
        <w:tc>
          <w:tcPr>
            <w:tcW w:w="14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6,191,221</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23,042</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56,034</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54,947</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108,500</w:t>
            </w: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89,761</w:t>
            </w:r>
          </w:p>
        </w:tc>
        <w:tc>
          <w:tcPr>
            <w:tcW w:w="14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90,105</w:t>
            </w:r>
          </w:p>
        </w:tc>
        <w:tc>
          <w:tcPr>
            <w:tcW w:w="15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assets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7,776,051</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9,118,363</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9,044,524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-0.8%</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LIABILITIES AND NET SHAREHOLDERS'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EQUITY</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and obligations</w:t>
            </w: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6,775,870</w:t>
            </w: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7,979,275</w:t>
            </w:r>
          </w:p>
        </w:tc>
        <w:tc>
          <w:tcPr>
            <w:tcW w:w="14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8,045,861</w:t>
            </w:r>
          </w:p>
        </w:tc>
        <w:tc>
          <w:tcPr>
            <w:tcW w:w="15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98,194</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104,448</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50,874</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-51.3%</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ans subordinated debt</w:t>
            </w: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100,764</w:t>
            </w: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101,312</w:t>
            </w:r>
          </w:p>
        </w:tc>
        <w:tc>
          <w:tcPr>
            <w:tcW w:w="14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100,562</w:t>
            </w:r>
          </w:p>
        </w:tc>
        <w:tc>
          <w:tcPr>
            <w:tcW w:w="15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217,825</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296,652</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236,150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-20.4%</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w:t>
            </w: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7,192,653</w:t>
            </w: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8,481,687</w:t>
            </w:r>
          </w:p>
        </w:tc>
        <w:tc>
          <w:tcPr>
            <w:tcW w:w="14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8,433,447</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-0.6%</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583,398</w:t>
            </w: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636,676</w:t>
            </w:r>
          </w:p>
        </w:tc>
        <w:tc>
          <w:tcPr>
            <w:tcW w:w="14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611,077</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LIABILITIES AND NET</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7,776,051</w:t>
            </w:r>
          </w:p>
        </w:tc>
        <w:tc>
          <w:tcPr>
            <w:tcW w:w="220" w:type="dxa"/>
            <w:vAlign w:val="bottom"/>
            <w:tcBorders>
              <w:right w:val="single" w:sz="8" w:color="CCEEFF"/>
            </w:tcBorders>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9,118,363</w:t>
            </w:r>
          </w:p>
        </w:tc>
        <w:tc>
          <w:tcPr>
            <w:tcW w:w="220" w:type="dxa"/>
            <w:vAlign w:val="bottom"/>
            <w:tcBorders>
              <w:right w:val="single" w:sz="8" w:color="CCEEFF"/>
            </w:tcBorders>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9,044,524</w:t>
            </w: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-0.8%</w:t>
            </w:r>
          </w:p>
        </w:tc>
        <w:tc>
          <w:tcPr>
            <w:tcW w:w="3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Quarter</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3"/>
          </w:tcPr>
          <w:p>
            <w:pPr>
              <w:ind w:left="1000"/>
              <w:spacing w:after="0"/>
              <w:rPr>
                <w:sz w:val="20"/>
                <w:szCs w:val="20"/>
                <w:color w:val="auto"/>
              </w:rPr>
            </w:pPr>
            <w:r>
              <w:rPr>
                <w:rFonts w:ascii="Arial" w:cs="Arial" w:eastAsia="Arial" w:hAnsi="Arial"/>
                <w:sz w:val="18"/>
                <w:szCs w:val="18"/>
                <w:b w:val="1"/>
                <w:bCs w:val="1"/>
                <w:color w:val="auto"/>
                <w:w w:val="99"/>
              </w:rPr>
              <w:t>% change</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1Q17</w:t>
            </w:r>
          </w:p>
        </w:tc>
        <w:tc>
          <w:tcPr>
            <w:tcW w:w="340" w:type="dxa"/>
            <w:vAlign w:val="bottom"/>
            <w:tcBorders>
              <w:bottom w:val="single" w:sz="8" w:color="CCEEFF"/>
            </w:tcBorders>
            <w:gridSpan w:val="2"/>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4Q17</w:t>
            </w:r>
          </w:p>
        </w:tc>
        <w:tc>
          <w:tcPr>
            <w:tcW w:w="300" w:type="dxa"/>
            <w:vAlign w:val="bottom"/>
            <w:tcBorders>
              <w:bottom w:val="single" w:sz="8" w:color="CCEEFF"/>
            </w:tcBorders>
            <w:gridSpan w:val="2"/>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1Q18</w:t>
            </w:r>
          </w:p>
        </w:tc>
        <w:tc>
          <w:tcPr>
            <w:tcW w:w="2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77,255</w:t>
            </w: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79,937</w:t>
            </w: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70,787</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Provision for loan losses, net of recoveries</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-13,480</w:t>
            </w:r>
          </w:p>
        </w:tc>
        <w:tc>
          <w:tcPr>
            <w:tcW w:w="2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-16,833</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-14,872</w:t>
            </w:r>
          </w:p>
        </w:tc>
        <w:tc>
          <w:tcPr>
            <w:tcW w:w="2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income after provisions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63,776</w:t>
            </w:r>
          </w:p>
        </w:tc>
        <w:tc>
          <w:tcPr>
            <w:tcW w:w="22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63,104</w:t>
            </w:r>
          </w:p>
        </w:tc>
        <w:tc>
          <w:tcPr>
            <w:tcW w:w="220" w:type="dxa"/>
            <w:vAlign w:val="bottom"/>
            <w:tcBorders>
              <w:right w:val="single" w:sz="8" w:color="CCEEFF"/>
            </w:tcBorders>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55,915</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Non financial income</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25,784</w:t>
            </w:r>
          </w:p>
        </w:tc>
        <w:tc>
          <w:tcPr>
            <w:tcW w:w="2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29,141</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35,238</w:t>
            </w:r>
          </w:p>
        </w:tc>
        <w:tc>
          <w:tcPr>
            <w:tcW w:w="2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20.9%</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-59,213</w:t>
            </w:r>
          </w:p>
        </w:tc>
        <w:tc>
          <w:tcPr>
            <w:tcW w:w="22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-64,028</w:t>
            </w:r>
          </w:p>
        </w:tc>
        <w:tc>
          <w:tcPr>
            <w:tcW w:w="220" w:type="dxa"/>
            <w:vAlign w:val="bottom"/>
            <w:tcBorders>
              <w:right w:val="single" w:sz="8" w:color="CCEEFF"/>
            </w:tcBorders>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-62,843</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136.5%</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-10,748</w:t>
            </w:r>
          </w:p>
        </w:tc>
        <w:tc>
          <w:tcPr>
            <w:tcW w:w="22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-9,419</w:t>
            </w:r>
          </w:p>
        </w:tc>
        <w:tc>
          <w:tcPr>
            <w:tcW w:w="220" w:type="dxa"/>
            <w:vAlign w:val="bottom"/>
            <w:tcBorders>
              <w:right w:val="single" w:sz="8" w:color="CCEEFF"/>
            </w:tcBorders>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-9,727</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19,594</w:t>
            </w: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18,755</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18,480</w:t>
            </w:r>
          </w:p>
        </w:tc>
        <w:tc>
          <w:tcPr>
            <w:tcW w:w="28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w:t>
            </w:r>
          </w:p>
        </w:tc>
        <w:tc>
          <w:tcPr>
            <w:tcW w:w="3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L/D ratio</w:t>
            </w: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82.5%</w:t>
            </w:r>
          </w:p>
        </w:tc>
        <w:tc>
          <w:tcPr>
            <w:tcW w:w="14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79.1%</w:t>
            </w: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bps</w:t>
            </w:r>
          </w:p>
        </w:tc>
        <w:tc>
          <w:tcPr>
            <w:tcW w:w="300" w:type="dxa"/>
            <w:vAlign w:val="bottom"/>
            <w:tcBorders>
              <w:right w:val="single" w:sz="8" w:color="CCEEFF"/>
            </w:tcBorders>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 bps</w:t>
            </w:r>
          </w:p>
        </w:tc>
        <w:tc>
          <w:tcPr>
            <w:tcW w:w="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Internal overdue ratio</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1.83%</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1.88%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2.03%</w:t>
            </w:r>
          </w:p>
        </w:tc>
        <w:tc>
          <w:tcPr>
            <w:tcW w:w="1860" w:type="dxa"/>
            <w:vAlign w:val="bottom"/>
            <w:gridSpan w:val="3"/>
          </w:tcPr>
          <w:p>
            <w:pPr>
              <w:jc w:val="right"/>
              <w:ind w:right="640"/>
              <w:spacing w:after="0"/>
              <w:rPr>
                <w:sz w:val="20"/>
                <w:szCs w:val="20"/>
                <w:color w:val="auto"/>
              </w:rPr>
            </w:pPr>
            <w:r>
              <w:rPr>
                <w:rFonts w:ascii="Arial" w:cs="Arial" w:eastAsia="Arial" w:hAnsi="Arial"/>
                <w:sz w:val="18"/>
                <w:szCs w:val="18"/>
                <w:color w:val="auto"/>
              </w:rPr>
              <w:t>15 bps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NPL ratio</w:t>
            </w:r>
          </w:p>
        </w:tc>
        <w:tc>
          <w:tcPr>
            <w:tcW w:w="14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2.29%</w:t>
            </w:r>
          </w:p>
        </w:tc>
        <w:tc>
          <w:tcPr>
            <w:tcW w:w="14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18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13 bps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Coverage of internal overdue ratio</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193.4%</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185.3%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169.6%</w:t>
            </w:r>
          </w:p>
        </w:tc>
        <w:tc>
          <w:tcPr>
            <w:tcW w:w="1860" w:type="dxa"/>
            <w:vAlign w:val="bottom"/>
            <w:gridSpan w:val="3"/>
          </w:tcPr>
          <w:p>
            <w:pPr>
              <w:jc w:val="right"/>
              <w:ind w:right="640"/>
              <w:spacing w:after="0"/>
              <w:rPr>
                <w:sz w:val="20"/>
                <w:szCs w:val="20"/>
                <w:color w:val="auto"/>
              </w:rPr>
            </w:pPr>
            <w:r>
              <w:rPr>
                <w:rFonts w:ascii="Arial" w:cs="Arial" w:eastAsia="Arial" w:hAnsi="Arial"/>
                <w:sz w:val="18"/>
                <w:szCs w:val="18"/>
                <w:color w:val="auto"/>
              </w:rPr>
              <w:t>-1575 bps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-2386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of NPLs</w:t>
            </w:r>
          </w:p>
        </w:tc>
        <w:tc>
          <w:tcPr>
            <w:tcW w:w="14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154.4%</w:t>
            </w:r>
          </w:p>
        </w:tc>
        <w:tc>
          <w:tcPr>
            <w:tcW w:w="14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155.3%</w:t>
            </w: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145.0%</w:t>
            </w:r>
          </w:p>
        </w:tc>
        <w:tc>
          <w:tcPr>
            <w:tcW w:w="18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-1032 bps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-935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Efficiency ratio</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57.4%</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64.1%</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63.8%</w:t>
            </w:r>
          </w:p>
        </w:tc>
        <w:tc>
          <w:tcPr>
            <w:tcW w:w="1860" w:type="dxa"/>
            <w:vAlign w:val="bottom"/>
            <w:gridSpan w:val="3"/>
          </w:tcPr>
          <w:p>
            <w:pPr>
              <w:jc w:val="right"/>
              <w:ind w:right="640"/>
              <w:spacing w:after="0"/>
              <w:rPr>
                <w:sz w:val="20"/>
                <w:szCs w:val="20"/>
                <w:color w:val="auto"/>
              </w:rPr>
            </w:pPr>
            <w:r>
              <w:rPr>
                <w:rFonts w:ascii="Arial" w:cs="Arial" w:eastAsia="Arial" w:hAnsi="Arial"/>
                <w:sz w:val="18"/>
                <w:szCs w:val="18"/>
                <w:color w:val="auto"/>
              </w:rPr>
              <w:t>-35 bps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634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ROAE</w:t>
            </w:r>
          </w:p>
        </w:tc>
        <w:tc>
          <w:tcPr>
            <w:tcW w:w="14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13.0%</w:t>
            </w:r>
          </w:p>
        </w:tc>
        <w:tc>
          <w:tcPr>
            <w:tcW w:w="14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18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 bps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Branches</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Agentes </w:t>
            </w:r>
            <w:r>
              <w:rPr>
                <w:rFonts w:ascii="Arial" w:cs="Arial" w:eastAsia="Arial" w:hAnsi="Arial"/>
                <w:sz w:val="29"/>
                <w:szCs w:val="29"/>
                <w:color w:val="auto"/>
                <w:vertAlign w:val="superscript"/>
              </w:rPr>
              <w:t>(1)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220" w:type="dxa"/>
            <w:vAlign w:val="bottom"/>
            <w:tcBorders>
              <w:right w:val="single" w:sz="8" w:color="CCEEFF"/>
            </w:tcBorders>
            <w:shd w:val="clear" w:color="auto" w:fill="CCEEFF"/>
          </w:tcPr>
          <w:p>
            <w:pPr>
              <w:spacing w:after="0"/>
              <w:rPr>
                <w:sz w:val="22"/>
                <w:szCs w:val="22"/>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w:t>
            </w:r>
          </w:p>
        </w:tc>
        <w:tc>
          <w:tcPr>
            <w:tcW w:w="220" w:type="dxa"/>
            <w:vAlign w:val="bottom"/>
            <w:tcBorders>
              <w:right w:val="single" w:sz="8" w:color="CCEEFF"/>
            </w:tcBorders>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Borders>
              <w:left w:val="single" w:sz="8" w:color="CCEEFF"/>
              <w:right w:val="single" w:sz="8" w:color="CCEEFF"/>
            </w:tcBorders>
            <w:shd w:val="clear" w:color="auto" w:fill="CCEEFF"/>
          </w:tcPr>
          <w:p>
            <w:pPr>
              <w:spacing w:after="0"/>
              <w:rPr>
                <w:sz w:val="22"/>
                <w:szCs w:val="22"/>
                <w:color w:val="auto"/>
              </w:rPr>
            </w:pPr>
          </w:p>
        </w:tc>
        <w:tc>
          <w:tcPr>
            <w:tcW w:w="15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ATMs</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6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Employees </w:t>
            </w:r>
            <w:r>
              <w:rPr>
                <w:rFonts w:ascii="Arial" w:cs="Arial" w:eastAsia="Arial" w:hAnsi="Arial"/>
                <w:sz w:val="30"/>
                <w:szCs w:val="30"/>
                <w:color w:val="auto"/>
                <w:vertAlign w:val="superscript"/>
              </w:rPr>
              <w:t>(1)</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1,732</w:t>
            </w:r>
          </w:p>
        </w:tc>
        <w:tc>
          <w:tcPr>
            <w:tcW w:w="220" w:type="dxa"/>
            <w:vAlign w:val="bottom"/>
            <w:tcBorders>
              <w:right w:val="single" w:sz="8" w:color="CCEEFF"/>
            </w:tcBorders>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80" w:type="dxa"/>
            <w:vAlign w:val="bottom"/>
            <w:shd w:val="clear" w:color="auto" w:fill="CCEEFF"/>
          </w:tcPr>
          <w:p>
            <w:pPr>
              <w:spacing w:after="0"/>
              <w:rPr>
                <w:sz w:val="23"/>
                <w:szCs w:val="23"/>
                <w:color w:val="auto"/>
              </w:rPr>
            </w:pPr>
          </w:p>
        </w:tc>
        <w:tc>
          <w:tcPr>
            <w:tcW w:w="220" w:type="dxa"/>
            <w:vAlign w:val="bottom"/>
            <w:tcBorders>
              <w:right w:val="single" w:sz="8" w:color="CCEEFF"/>
            </w:tcBorders>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280" w:type="dxa"/>
            <w:vAlign w:val="bottom"/>
            <w:tcBorders>
              <w:left w:val="single" w:sz="8" w:color="CCEEFF"/>
              <w:right w:val="single" w:sz="8" w:color="CCEEFF"/>
            </w:tcBorders>
            <w:shd w:val="clear" w:color="auto" w:fill="CCEEFF"/>
          </w:tcPr>
          <w:p>
            <w:pPr>
              <w:spacing w:after="0"/>
              <w:rPr>
                <w:sz w:val="23"/>
                <w:szCs w:val="23"/>
                <w:color w:val="auto"/>
              </w:rPr>
            </w:pPr>
          </w:p>
        </w:tc>
        <w:tc>
          <w:tcPr>
            <w:tcW w:w="15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Figures differ from previously reported, please consider the figures presented on this report.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11.5  Credicorp Capital</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Credicorp Capital</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gridSpan w:val="3"/>
          </w:tcPr>
          <w:p>
            <w:pPr>
              <w:ind w:left="18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1Q17</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4Q17</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1Q18</w:t>
            </w:r>
          </w:p>
        </w:tc>
        <w:tc>
          <w:tcPr>
            <w:tcW w:w="2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7"/>
              </w:rPr>
              <w:t>QoQ</w:t>
            </w: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Non-financial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131,919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167,535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149,542</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-10.7%</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Fee income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82,168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131,440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101,959</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4"/>
              </w:rPr>
              <w:t>-22.4%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Net gain on foreign exchange transactions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8,778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5,791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5,778</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-34.2%</w:t>
            </w: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gain on sales of securities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30,796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37,684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33,898</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4"/>
              </w:rPr>
              <w:t>-10.0%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Derivative Result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803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-8,979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2,537</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w w:val="88"/>
              </w:rPr>
              <w:t>128.3%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215.9%</w:t>
            </w: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Result from exposure to the exchange rate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4"/>
              </w:rPr>
              <w:t>-73.4%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Other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10,102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2,449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5,596</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w w:val="88"/>
              </w:rPr>
              <w:t>128.5%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-44.6%</w:t>
            </w:r>
          </w:p>
        </w:tc>
      </w:tr>
      <w:tr>
        <w:trPr>
          <w:trHeight w:val="270"/>
        </w:trPr>
        <w:tc>
          <w:tcPr>
            <w:tcW w:w="408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30"/>
                <w:szCs w:val="30"/>
                <w:color w:val="auto"/>
                <w:vertAlign w:val="superscript"/>
              </w:rPr>
              <w:t>(1)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-107,971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-129,152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-112,782</w:t>
            </w:r>
          </w:p>
        </w:tc>
        <w:tc>
          <w:tcPr>
            <w:tcW w:w="8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4"/>
              </w:rPr>
              <w:t>-12.7%</w:t>
            </w:r>
          </w:p>
        </w:tc>
        <w:tc>
          <w:tcPr>
            <w:tcW w:w="3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0"/>
        </w:trPr>
        <w:tc>
          <w:tcPr>
            <w:tcW w:w="4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24,370</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28,411</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26,779</w:t>
            </w:r>
          </w:p>
        </w:tc>
        <w:tc>
          <w:tcPr>
            <w:tcW w:w="2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4"/>
              </w:rPr>
              <w:t>-56.8%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408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30"/>
                <w:szCs w:val="30"/>
                <w:color w:val="auto"/>
                <w:vertAlign w:val="superscript"/>
              </w:rPr>
              <w:t>(2)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840" w:type="dxa"/>
            <w:vAlign w:val="bottom"/>
          </w:tcPr>
          <w:p>
            <w:pPr>
              <w:spacing w:after="0"/>
              <w:rPr>
                <w:sz w:val="23"/>
                <w:szCs w:val="23"/>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31.9%</w:t>
            </w:r>
          </w:p>
        </w:tc>
        <w:tc>
          <w:tcPr>
            <w:tcW w:w="3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55.8%</w:t>
            </w:r>
          </w:p>
        </w:tc>
      </w:tr>
      <w:tr>
        <w:trPr>
          <w:trHeight w:val="210"/>
        </w:trPr>
        <w:tc>
          <w:tcPr>
            <w:tcW w:w="4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18,142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15,582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21,074</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Unaudited results.</w:t>
      </w:r>
    </w:p>
    <w:p>
      <w:pPr>
        <w:spacing w:after="0" w:line="23" w:lineRule="exact"/>
        <w:rPr>
          <w:sz w:val="20"/>
          <w:szCs w:val="20"/>
          <w:color w:val="auto"/>
        </w:rPr>
      </w:pPr>
    </w:p>
    <w:p>
      <w:pPr>
        <w:ind w:right="340" w:firstLine="8"/>
        <w:spacing w:after="0" w:line="250" w:lineRule="auto"/>
        <w:tabs>
          <w:tab w:leader="none" w:pos="2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Salaries and employees benefits + Administrative expenses + Assigned expenses + Depreciation and amortization + Tax and contributions + Other expenses.</w:t>
      </w:r>
    </w:p>
    <w:p>
      <w:pPr>
        <w:ind w:left="260" w:hanging="252"/>
        <w:spacing w:after="0"/>
        <w:tabs>
          <w:tab w:leader="none" w:pos="2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Since 4Q17 Credicorp Capital Holding Colombia and Credicorp Capital Holding Chile have 100% percentage of Correval and IM Trust, respectively.}}</w:t>
      </w:r>
    </w:p>
    <w:p>
      <w:pPr>
        <w:spacing w:after="0" w:line="200" w:lineRule="exact"/>
        <w:rPr>
          <w:sz w:val="20"/>
          <w:szCs w:val="20"/>
          <w:color w:val="auto"/>
        </w:rPr>
      </w:pPr>
    </w:p>
    <w:p>
      <w:pPr>
        <w:spacing w:after="0" w:line="25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11.6   Atlantic Security Bank</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ASB</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Quarter</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Millions</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1Q17</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4Q17</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1Q18</w:t>
            </w:r>
          </w:p>
        </w:tc>
        <w:tc>
          <w:tcPr>
            <w:tcW w:w="2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855.5</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890.9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1,000.5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987.3</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2,016.7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2,052.4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2,005.8</w:t>
            </w:r>
          </w:p>
        </w:tc>
        <w:tc>
          <w:tcPr>
            <w:tcW w:w="1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Total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1,676.7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1,610.1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1,402.1</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-12.9%</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222.1</w:t>
            </w:r>
          </w:p>
        </w:tc>
        <w:tc>
          <w:tcPr>
            <w:tcW w:w="1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-17.7%</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2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w:t>
            </w:r>
          </w:p>
        </w:tc>
        <w:tc>
          <w:tcPr>
            <w:tcW w:w="180" w:type="dxa"/>
            <w:vAlign w:val="bottom"/>
          </w:tcPr>
          <w:p>
            <w:pPr>
              <w:spacing w:after="0"/>
              <w:rPr>
                <w:sz w:val="20"/>
                <w:szCs w:val="20"/>
                <w:color w:val="auto"/>
              </w:rPr>
            </w:pPr>
            <w:r>
              <w:rPr>
                <w:rFonts w:ascii="Arial" w:cs="Arial" w:eastAsia="Arial" w:hAnsi="Arial"/>
                <w:sz w:val="18"/>
                <w:szCs w:val="18"/>
                <w:b w:val="1"/>
                <w:bCs w:val="1"/>
                <w:color w:val="auto"/>
                <w:w w:val="99"/>
              </w:rPr>
              <w:t>%</w:t>
            </w:r>
          </w:p>
        </w:tc>
      </w:tr>
      <w:tr>
        <w:trPr>
          <w:trHeight w:val="42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7"/>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 *</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Quarter</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1Q17</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4Q17</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1Q18</w:t>
            </w:r>
          </w:p>
        </w:tc>
        <w:tc>
          <w:tcPr>
            <w:tcW w:w="2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Due from banks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856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814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792</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955</w:t>
            </w:r>
          </w:p>
        </w:tc>
        <w:tc>
          <w:tcPr>
            <w:tcW w:w="1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1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1,931</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1,965</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1,913</w:t>
            </w:r>
          </w:p>
        </w:tc>
        <w:tc>
          <w:tcPr>
            <w:tcW w:w="2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w:t>
            </w:r>
          </w:p>
        </w:tc>
        <w:tc>
          <w:tcPr>
            <w:tcW w:w="180" w:type="dxa"/>
            <w:vAlign w:val="bottom"/>
          </w:tcPr>
          <w:p>
            <w:pPr>
              <w:spacing w:after="0"/>
              <w:rPr>
                <w:sz w:val="20"/>
                <w:szCs w:val="20"/>
                <w:color w:val="auto"/>
              </w:rPr>
            </w:pPr>
            <w:r>
              <w:rPr>
                <w:rFonts w:ascii="Arial" w:cs="Arial" w:eastAsia="Arial" w:hAnsi="Arial"/>
                <w:sz w:val="18"/>
                <w:szCs w:val="18"/>
                <w:b w:val="1"/>
                <w:bCs w:val="1"/>
                <w:color w:val="auto"/>
                <w:w w:val="99"/>
              </w:rPr>
              <w:t>%</w:t>
            </w:r>
          </w:p>
        </w:tc>
      </w:tr>
      <w:tr>
        <w:trPr>
          <w:trHeight w:val="426"/>
        </w:trPr>
        <w:tc>
          <w:tcPr>
            <w:tcW w:w="4080" w:type="dxa"/>
            <w:vAlign w:val="bottom"/>
            <w:gridSpan w:val="2"/>
          </w:tcPr>
          <w:p>
            <w:pPr>
              <w:spacing w:after="0"/>
              <w:rPr>
                <w:sz w:val="20"/>
                <w:szCs w:val="20"/>
                <w:color w:val="auto"/>
              </w:rPr>
            </w:pPr>
            <w:r>
              <w:rPr>
                <w:rFonts w:ascii="Arial" w:cs="Arial" w:eastAsia="Arial" w:hAnsi="Arial"/>
                <w:sz w:val="18"/>
                <w:szCs w:val="18"/>
                <w:color w:val="auto"/>
                <w:w w:val="96"/>
              </w:rPr>
              <w:t>* Excludes investments in equities and mutual funds.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7"/>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Quarter</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1Q17</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4Q17</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1Q18</w:t>
            </w:r>
          </w:p>
        </w:tc>
        <w:tc>
          <w:tcPr>
            <w:tcW w:w="2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Borrowed Funds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290</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97.6%</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1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254.1%</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1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1,787</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1,783</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1,784</w:t>
            </w:r>
          </w:p>
        </w:tc>
        <w:tc>
          <w:tcPr>
            <w:tcW w:w="2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180" w:type="dxa"/>
            <w:vAlign w:val="bottom"/>
          </w:tcPr>
          <w:p>
            <w:pPr>
              <w:spacing w:after="0"/>
              <w:rPr>
                <w:sz w:val="20"/>
                <w:szCs w:val="20"/>
                <w:color w:val="auto"/>
              </w:rPr>
            </w:pPr>
            <w:r>
              <w:rPr>
                <w:rFonts w:ascii="Arial" w:cs="Arial" w:eastAsia="Arial" w:hAnsi="Arial"/>
                <w:sz w:val="18"/>
                <w:szCs w:val="18"/>
                <w:b w:val="1"/>
                <w:bCs w:val="1"/>
                <w:color w:val="auto"/>
                <w:w w:val="99"/>
              </w:rPr>
              <w:t>%</w:t>
            </w:r>
          </w:p>
        </w:tc>
      </w:tr>
      <w:tr>
        <w:trPr>
          <w:trHeight w:val="642"/>
        </w:trPr>
        <w:tc>
          <w:tcPr>
            <w:tcW w:w="3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color w:val="auto"/>
                <w:w w:val="79"/>
              </w:rPr>
              <w:t>56</w:t>
            </w:r>
          </w:p>
        </w:tc>
      </w:tr>
    </w:tbl>
    <w:p>
      <w:pPr>
        <w:sectPr>
          <w:pgSz w:w="11900" w:h="16838" w:orient="portrait"/>
          <w:cols w:equalWidth="0" w:num="1">
            <w:col w:w="11420"/>
          </w:cols>
          <w:pgMar w:left="240" w:top="904" w:right="239" w:bottom="1440" w:gutter="0" w:footer="0" w:header="0"/>
        </w:sectPr>
      </w:pPr>
    </w:p>
    <w:bookmarkStart w:id="61" w:name="page62"/>
    <w:bookmarkEnd w:id="61"/>
    <w:p>
      <w:pPr>
        <w:ind w:left="2420"/>
        <w:spacing w:after="0"/>
        <w:rPr>
          <w:sz w:val="20"/>
          <w:szCs w:val="20"/>
          <w:color w:val="auto"/>
        </w:rPr>
      </w:pPr>
      <w:r>
        <w:rPr>
          <w:rFonts w:ascii="Arial" w:cs="Arial" w:eastAsia="Arial" w:hAnsi="Arial"/>
          <w:sz w:val="18"/>
          <w:szCs w:val="18"/>
          <w:b w:val="1"/>
          <w:bCs w:val="1"/>
          <w:color w:val="auto"/>
        </w:rPr>
        <w:t xml:space="preserve">Assets under management and Deposits </w:t>
      </w:r>
      <w:r>
        <w:rPr>
          <w:rFonts w:ascii="Arial" w:cs="Arial" w:eastAsia="Arial" w:hAnsi="Arial"/>
          <w:sz w:val="18"/>
          <w:szCs w:val="18"/>
          <w:color w:val="auto"/>
        </w:rPr>
        <w:t>(US$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154940</wp:posOffset>
            </wp:positionV>
            <wp:extent cx="3858895" cy="24612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58895"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0" w:hanging="261"/>
        <w:spacing w:after="0"/>
        <w:tabs>
          <w:tab w:leader="none" w:pos="6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figures presented on this report</w:t>
      </w:r>
    </w:p>
    <w:p>
      <w:pPr>
        <w:spacing w:after="0" w:line="221" w:lineRule="exact"/>
        <w:rPr>
          <w:rFonts w:ascii="Arial" w:cs="Arial" w:eastAsia="Arial" w:hAnsi="Arial"/>
          <w:sz w:val="18"/>
          <w:szCs w:val="18"/>
          <w:color w:val="auto"/>
        </w:rPr>
      </w:pPr>
    </w:p>
    <w:p>
      <w:pPr>
        <w:ind w:left="3020"/>
        <w:spacing w:after="0"/>
        <w:rPr>
          <w:rFonts w:ascii="Arial" w:cs="Arial" w:eastAsia="Arial" w:hAnsi="Arial"/>
          <w:sz w:val="18"/>
          <w:szCs w:val="18"/>
          <w:color w:val="auto"/>
        </w:rPr>
      </w:pPr>
      <w:r>
        <w:rPr>
          <w:rFonts w:ascii="Arial" w:cs="Arial" w:eastAsia="Arial" w:hAnsi="Arial"/>
          <w:sz w:val="18"/>
          <w:szCs w:val="18"/>
          <w:b w:val="1"/>
          <w:bCs w:val="1"/>
          <w:color w:val="auto"/>
        </w:rPr>
        <w:t>Portfolio distribution as of March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1207135</wp:posOffset>
            </wp:positionH>
            <wp:positionV relativeFrom="paragraph">
              <wp:posOffset>154940</wp:posOffset>
            </wp:positionV>
            <wp:extent cx="3319145" cy="17754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1914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Arial" w:cs="Arial" w:eastAsia="Arial" w:hAnsi="Arial"/>
                <w:sz w:val="18"/>
                <w:szCs w:val="18"/>
                <w:b w:val="1"/>
                <w:bCs w:val="1"/>
                <w:color w:val="auto"/>
              </w:rPr>
              <w:t>11.7  Grupo Pacifico</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4"/>
        </w:trPr>
        <w:tc>
          <w:tcPr>
            <w:tcW w:w="3920" w:type="dxa"/>
            <w:vAlign w:val="bottom"/>
          </w:tcPr>
          <w:p>
            <w:pPr>
              <w:spacing w:after="0"/>
              <w:rPr>
                <w:sz w:val="24"/>
                <w:szCs w:val="24"/>
                <w:color w:val="auto"/>
              </w:rPr>
            </w:pPr>
          </w:p>
        </w:tc>
        <w:tc>
          <w:tcPr>
            <w:tcW w:w="306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rPr>
              <w:t>GRUPO PACIFICO *</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920" w:type="dxa"/>
            <w:vAlign w:val="bottom"/>
          </w:tcPr>
          <w:p>
            <w:pPr>
              <w:spacing w:after="0"/>
              <w:rPr>
                <w:sz w:val="20"/>
                <w:szCs w:val="20"/>
                <w:color w:val="auto"/>
              </w:rPr>
            </w:pPr>
          </w:p>
        </w:tc>
        <w:tc>
          <w:tcPr>
            <w:tcW w:w="306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88"/>
              </w:rPr>
              <w:t>(S/ in thousands)</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Quarter</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980"/>
              <w:spacing w:after="0"/>
              <w:rPr>
                <w:sz w:val="20"/>
                <w:szCs w:val="20"/>
                <w:color w:val="auto"/>
              </w:rPr>
            </w:pPr>
            <w:r>
              <w:rPr>
                <w:rFonts w:ascii="Arial" w:cs="Arial" w:eastAsia="Arial" w:hAnsi="Arial"/>
                <w:sz w:val="18"/>
                <w:szCs w:val="18"/>
                <w:b w:val="1"/>
                <w:bCs w:val="1"/>
                <w:color w:val="auto"/>
              </w:rPr>
              <w:t>% change</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920" w:type="dxa"/>
            <w:vAlign w:val="bottom"/>
          </w:tcPr>
          <w:p>
            <w:pPr>
              <w:spacing w:after="0"/>
              <w:rPr>
                <w:sz w:val="20"/>
                <w:szCs w:val="20"/>
                <w:color w:val="auto"/>
              </w:rPr>
            </w:pPr>
          </w:p>
        </w:tc>
        <w:tc>
          <w:tcPr>
            <w:tcW w:w="1540" w:type="dxa"/>
            <w:vAlign w:val="bottom"/>
            <w:gridSpan w:val="2"/>
          </w:tcPr>
          <w:p>
            <w:pPr>
              <w:ind w:left="420"/>
              <w:spacing w:after="0"/>
              <w:rPr>
                <w:sz w:val="20"/>
                <w:szCs w:val="20"/>
                <w:color w:val="auto"/>
              </w:rPr>
            </w:pPr>
            <w:r>
              <w:rPr>
                <w:rFonts w:ascii="Arial" w:cs="Arial" w:eastAsia="Arial" w:hAnsi="Arial"/>
                <w:sz w:val="18"/>
                <w:szCs w:val="18"/>
                <w:b w:val="1"/>
                <w:bCs w:val="1"/>
                <w:color w:val="auto"/>
              </w:rPr>
              <w:t>1Q17</w:t>
            </w: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4Q17</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1Q18</w:t>
            </w:r>
          </w:p>
        </w:tc>
        <w:tc>
          <w:tcPr>
            <w:tcW w:w="1860" w:type="dxa"/>
            <w:vAlign w:val="bottom"/>
            <w:gridSpan w:val="3"/>
          </w:tcPr>
          <w:p>
            <w:pPr>
              <w:ind w:left="420"/>
              <w:spacing w:after="0"/>
              <w:rPr>
                <w:sz w:val="20"/>
                <w:szCs w:val="20"/>
                <w:color w:val="auto"/>
              </w:rPr>
            </w:pPr>
            <w:r>
              <w:rPr>
                <w:rFonts w:ascii="Arial" w:cs="Arial" w:eastAsia="Arial" w:hAnsi="Arial"/>
                <w:sz w:val="18"/>
                <w:szCs w:val="18"/>
                <w:b w:val="1"/>
                <w:bCs w:val="1"/>
                <w:color w:val="auto"/>
              </w:rPr>
              <w:t>QoQ</w:t>
            </w:r>
          </w:p>
        </w:tc>
        <w:tc>
          <w:tcPr>
            <w:tcW w:w="10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YoY</w:t>
            </w: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w:t>
            </w: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Total assets</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10,522,957</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11,405,528</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11,585,825</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r>
      <w:tr>
        <w:trPr>
          <w:trHeight w:val="257"/>
        </w:trPr>
        <w:tc>
          <w:tcPr>
            <w:tcW w:w="39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Invesment on securities </w:t>
            </w:r>
            <w:r>
              <w:rPr>
                <w:rFonts w:ascii="Arial" w:cs="Arial" w:eastAsia="Arial" w:hAnsi="Arial"/>
                <w:sz w:val="29"/>
                <w:szCs w:val="29"/>
                <w:color w:val="auto"/>
                <w:vertAlign w:val="superscript"/>
              </w:rPr>
              <w:t>(1)</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7,729,726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8,425,042</w:t>
            </w:r>
          </w:p>
        </w:tc>
        <w:tc>
          <w:tcPr>
            <w:tcW w:w="3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8,292,506</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Technical reserves</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6,938,146</w:t>
            </w:r>
          </w:p>
        </w:tc>
        <w:tc>
          <w:tcPr>
            <w:tcW w:w="1220" w:type="dxa"/>
            <w:vAlign w:val="bottom"/>
          </w:tcPr>
          <w:p>
            <w:pPr>
              <w:jc w:val="right"/>
              <w:spacing w:after="0"/>
              <w:rPr>
                <w:sz w:val="20"/>
                <w:szCs w:val="20"/>
                <w:color w:val="auto"/>
              </w:rPr>
            </w:pPr>
            <w:r>
              <w:rPr>
                <w:rFonts w:ascii="Arial" w:cs="Arial" w:eastAsia="Arial" w:hAnsi="Arial"/>
                <w:sz w:val="18"/>
                <w:szCs w:val="18"/>
                <w:color w:val="auto"/>
              </w:rPr>
              <w:t>7,488,839</w:t>
            </w:r>
          </w:p>
        </w:tc>
        <w:tc>
          <w:tcPr>
            <w:tcW w:w="3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7,608,970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equity</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2,163,338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2,849,527</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2,665,814</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r>
      <w:tr>
        <w:trPr>
          <w:trHeight w:val="216"/>
        </w:trPr>
        <w:tc>
          <w:tcPr>
            <w:tcW w:w="3920" w:type="dxa"/>
            <w:vAlign w:val="bottom"/>
          </w:tcPr>
          <w:p>
            <w:pPr>
              <w:spacing w:after="0"/>
              <w:rPr>
                <w:sz w:val="20"/>
                <w:szCs w:val="20"/>
                <w:color w:val="auto"/>
              </w:rPr>
            </w:pPr>
            <w:r>
              <w:rPr>
                <w:rFonts w:ascii="Arial" w:cs="Arial" w:eastAsia="Arial" w:hAnsi="Arial"/>
                <w:sz w:val="18"/>
                <w:szCs w:val="18"/>
                <w:b w:val="1"/>
                <w:bCs w:val="1"/>
                <w:color w:val="auto"/>
              </w:rPr>
              <w:t>Quarterly income statement</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earned premiums</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469,005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483,483</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511,859</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Net claims</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280,964</w:t>
            </w:r>
          </w:p>
        </w:tc>
        <w:tc>
          <w:tcPr>
            <w:tcW w:w="1220" w:type="dxa"/>
            <w:vAlign w:val="bottom"/>
          </w:tcPr>
          <w:p>
            <w:pPr>
              <w:jc w:val="right"/>
              <w:spacing w:after="0"/>
              <w:rPr>
                <w:sz w:val="20"/>
                <w:szCs w:val="20"/>
                <w:color w:val="auto"/>
              </w:rPr>
            </w:pPr>
            <w:r>
              <w:rPr>
                <w:rFonts w:ascii="Arial" w:cs="Arial" w:eastAsia="Arial" w:hAnsi="Arial"/>
                <w:sz w:val="18"/>
                <w:szCs w:val="18"/>
                <w:color w:val="auto"/>
              </w:rPr>
              <w:t>283,353</w:t>
            </w:r>
          </w:p>
        </w:tc>
        <w:tc>
          <w:tcPr>
            <w:tcW w:w="3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294,744</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fees</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126,863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133,138</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140,181</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Net underwriting expenses</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12,158</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20,580</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33,274</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61.7%</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173.7%</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Underwriting result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49,020</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46,412</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43,660</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Net financial income</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121,184</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114,608</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120,026</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98,238</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118,347</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104,117</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Other income</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11,007</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38,558</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11,471</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-70.2%</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Traslations results</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-1,854</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552</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477.0%</w:t>
            </w: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rPr>
              <w:t>Gain (loss) from Grupo Pacífico and Banmédica</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agreement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6,022</w:t>
            </w:r>
          </w:p>
        </w:tc>
        <w:tc>
          <w:tcPr>
            <w:tcW w:w="1220" w:type="dxa"/>
            <w:vAlign w:val="bottom"/>
          </w:tcPr>
          <w:p>
            <w:pPr>
              <w:jc w:val="right"/>
              <w:spacing w:after="0"/>
              <w:rPr>
                <w:sz w:val="20"/>
                <w:szCs w:val="20"/>
                <w:color w:val="auto"/>
              </w:rPr>
            </w:pPr>
            <w:r>
              <w:rPr>
                <w:rFonts w:ascii="Arial" w:cs="Arial" w:eastAsia="Arial" w:hAnsi="Arial"/>
                <w:sz w:val="18"/>
                <w:szCs w:val="18"/>
                <w:color w:val="auto"/>
              </w:rPr>
              <w:t>4,747</w:t>
            </w:r>
          </w:p>
        </w:tc>
        <w:tc>
          <w:tcPr>
            <w:tcW w:w="30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8,388</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76.7%</w:t>
            </w:r>
          </w:p>
        </w:tc>
        <w:tc>
          <w:tcPr>
            <w:tcW w:w="3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39.3%</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7,705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1,762</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w:t>
            </w:r>
          </w:p>
        </w:tc>
      </w:tr>
      <w:tr>
        <w:trPr>
          <w:trHeight w:val="216"/>
        </w:trPr>
        <w:tc>
          <w:tcPr>
            <w:tcW w:w="3920" w:type="dxa"/>
            <w:vAlign w:val="bottom"/>
          </w:tcPr>
          <w:p>
            <w:pPr>
              <w:spacing w:after="0"/>
              <w:rPr>
                <w:sz w:val="20"/>
                <w:szCs w:val="20"/>
                <w:color w:val="auto"/>
              </w:rPr>
            </w:pPr>
            <w:r>
              <w:rPr>
                <w:rFonts w:ascii="Arial" w:cs="Arial" w:eastAsia="Arial" w:hAnsi="Arial"/>
                <w:sz w:val="18"/>
                <w:szCs w:val="18"/>
                <w:b w:val="1"/>
                <w:bCs w:val="1"/>
                <w:color w:val="auto"/>
              </w:rPr>
              <w:t>Income before minority interest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81,144</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81,551</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78,217</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-3.6%</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9,217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2,026</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-78.0%</w:t>
            </w:r>
          </w:p>
        </w:tc>
      </w:tr>
      <w:tr>
        <w:trPr>
          <w:trHeight w:val="216"/>
        </w:trPr>
        <w:tc>
          <w:tcPr>
            <w:tcW w:w="39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71,927</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80,003</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76,192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5.9%</w:t>
            </w:r>
          </w:p>
        </w:tc>
      </w:tr>
      <w:tr>
        <w:trPr>
          <w:trHeight w:val="216"/>
        </w:trPr>
        <w:tc>
          <w:tcPr>
            <w:tcW w:w="3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20"/>
                <w:szCs w:val="20"/>
                <w:color w:val="auto"/>
              </w:rPr>
            </w:pPr>
            <w:r>
              <w:rPr>
                <w:rFonts w:ascii="Arial" w:cs="Arial" w:eastAsia="Arial" w:hAnsi="Arial"/>
                <w:sz w:val="18"/>
                <w:szCs w:val="18"/>
                <w:b w:val="1"/>
                <w:bCs w:val="1"/>
                <w:color w:val="auto"/>
              </w:rPr>
              <w:t>Ratios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Ceded</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-370 bps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 bps</w:t>
            </w:r>
          </w:p>
        </w:tc>
      </w:tr>
      <w:tr>
        <w:trPr>
          <w:trHeight w:val="257"/>
        </w:trPr>
        <w:tc>
          <w:tcPr>
            <w:tcW w:w="3920" w:type="dxa"/>
            <w:vAlign w:val="bottom"/>
          </w:tcPr>
          <w:p>
            <w:pPr>
              <w:spacing w:after="0" w:line="256" w:lineRule="exact"/>
              <w:rPr>
                <w:sz w:val="20"/>
                <w:szCs w:val="20"/>
                <w:color w:val="auto"/>
              </w:rPr>
            </w:pPr>
            <w:r>
              <w:rPr>
                <w:rFonts w:ascii="Arial" w:cs="Arial" w:eastAsia="Arial" w:hAnsi="Arial"/>
                <w:sz w:val="18"/>
                <w:szCs w:val="18"/>
                <w:color w:val="auto"/>
              </w:rPr>
              <w:t xml:space="preserve">Loss ratio </w:t>
            </w:r>
            <w:r>
              <w:rPr>
                <w:rFonts w:ascii="Arial" w:cs="Arial" w:eastAsia="Arial" w:hAnsi="Arial"/>
                <w:sz w:val="29"/>
                <w:szCs w:val="29"/>
                <w:color w:val="auto"/>
                <w:vertAlign w:val="superscript"/>
              </w:rPr>
              <w:t>(2)</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59.9%</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58.6%</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57.6%</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-100 bps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-230 bps</w:t>
            </w:r>
          </w:p>
        </w:tc>
      </w:tr>
      <w:tr>
        <w:trPr>
          <w:trHeight w:val="202"/>
        </w:trPr>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Fees + underwriting expenses, net / net earned</w:t>
            </w: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premiums</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 bps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430 bps</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Underwriting results / net earned premiums</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-110 bps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-200 bps</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 net earned premiums</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-420 bps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 bps</w:t>
            </w:r>
          </w:p>
        </w:tc>
      </w:tr>
      <w:tr>
        <w:trPr>
          <w:trHeight w:val="257"/>
        </w:trPr>
        <w:tc>
          <w:tcPr>
            <w:tcW w:w="3920" w:type="dxa"/>
            <w:vAlign w:val="bottom"/>
          </w:tcPr>
          <w:p>
            <w:pPr>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(3)(4)</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-40 bps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-200 bps</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Return on written premiums</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 bps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 bps</w:t>
            </w:r>
          </w:p>
        </w:tc>
      </w:tr>
      <w:tr>
        <w:trPr>
          <w:trHeight w:val="270"/>
        </w:trPr>
        <w:tc>
          <w:tcPr>
            <w:tcW w:w="3920" w:type="dxa"/>
            <w:vAlign w:val="bottom"/>
          </w:tcPr>
          <w:p>
            <w:pPr>
              <w:spacing w:after="0" w:line="269" w:lineRule="exact"/>
              <w:rPr>
                <w:sz w:val="20"/>
                <w:szCs w:val="20"/>
                <w:color w:val="auto"/>
              </w:rPr>
            </w:pPr>
            <w:r>
              <w:rPr>
                <w:rFonts w:ascii="Arial" w:cs="Arial" w:eastAsia="Arial" w:hAnsi="Arial"/>
                <w:sz w:val="18"/>
                <w:szCs w:val="18"/>
                <w:color w:val="auto"/>
              </w:rPr>
              <w:t xml:space="preserve">Combined ratio of P&amp;C </w:t>
            </w:r>
            <w:r>
              <w:rPr>
                <w:rFonts w:ascii="Arial" w:cs="Arial" w:eastAsia="Arial" w:hAnsi="Arial"/>
                <w:sz w:val="30"/>
                <w:szCs w:val="30"/>
                <w:color w:val="auto"/>
                <w:vertAlign w:val="superscript"/>
              </w:rPr>
              <w:t>(5)</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96.5%</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98.9%</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105.1%</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620 bps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860 bps</w:t>
            </w:r>
          </w:p>
        </w:tc>
      </w:tr>
      <w:tr>
        <w:trPr>
          <w:trHeight w:val="20"/>
        </w:trPr>
        <w:tc>
          <w:tcPr>
            <w:tcW w:w="39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without consolidation adjustments.</w:t>
      </w:r>
    </w:p>
    <w:p>
      <w:pPr>
        <w:spacing w:after="0" w:line="23" w:lineRule="exact"/>
        <w:rPr>
          <w:sz w:val="20"/>
          <w:szCs w:val="20"/>
          <w:color w:val="auto"/>
        </w:rPr>
      </w:pPr>
    </w:p>
    <w:p>
      <w:pPr>
        <w:ind w:left="260" w:hanging="252"/>
        <w:spacing w:after="0"/>
        <w:tabs>
          <w:tab w:leader="none" w:pos="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Excluding investments in real estate.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Net claims / Net earned premiums.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unrealized gains.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Annualized and average are determined as the average of period beginning and period ending.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(Net claims / Net earned premiums) + [(Acquisition cost + Operating expenses) / Net earned premiums].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From 1Q15 and on, Grupo Pacifico’s financial statements reflect the association with Banmedica. This partnership includes:</w:t>
      </w:r>
    </w:p>
    <w:p>
      <w:pPr>
        <w:spacing w:after="0" w:line="225" w:lineRule="exact"/>
        <w:rPr>
          <w:sz w:val="20"/>
          <w:szCs w:val="20"/>
          <w:color w:val="auto"/>
        </w:rPr>
      </w:pPr>
    </w:p>
    <w:p>
      <w:pPr>
        <w:ind w:left="880" w:hanging="494"/>
        <w:spacing w:after="0"/>
        <w:tabs>
          <w:tab w:leader="none" w:pos="8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private health insurance business, which is managed by Grupo Pacifico and incorporated in each line of Grupo Pacifico’s financial statements;</w:t>
      </w:r>
    </w:p>
    <w:p>
      <w:pPr>
        <w:spacing w:after="0" w:line="248" w:lineRule="exact"/>
        <w:rPr>
          <w:rFonts w:ascii="Arial" w:cs="Arial" w:eastAsia="Arial" w:hAnsi="Arial"/>
          <w:sz w:val="16"/>
          <w:szCs w:val="16"/>
          <w:color w:val="auto"/>
        </w:rPr>
      </w:pPr>
    </w:p>
    <w:p>
      <w:pPr>
        <w:ind w:left="880" w:hanging="494"/>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corporate health insurance for payroll employees; and</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medical services.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spacing w:after="0" w:line="308" w:lineRule="auto"/>
        <w:rPr>
          <w:sz w:val="20"/>
          <w:szCs w:val="20"/>
          <w:color w:val="auto"/>
        </w:rPr>
      </w:pPr>
      <w:r>
        <w:rPr>
          <w:rFonts w:ascii="Arial" w:cs="Arial" w:eastAsia="Arial" w:hAnsi="Arial"/>
          <w:sz w:val="17"/>
          <w:szCs w:val="17"/>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4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As explained before, </w:t>
      </w:r>
      <w:r>
        <w:rPr>
          <w:rFonts w:ascii="Arial" w:cs="Arial" w:eastAsia="Arial" w:hAnsi="Arial"/>
          <w:sz w:val="18"/>
          <w:szCs w:val="18"/>
          <w:b w:val="1"/>
          <w:bCs w:val="1"/>
          <w:color w:val="auto"/>
        </w:rPr>
        <w:t>corporate health insurance</w:t>
      </w:r>
      <w:r>
        <w:rPr>
          <w:rFonts w:ascii="Arial" w:cs="Arial" w:eastAsia="Arial" w:hAnsi="Arial"/>
          <w:sz w:val="18"/>
          <w:szCs w:val="18"/>
          <w:color w:val="auto"/>
        </w:rPr>
        <w:t xml:space="preserve"> and </w:t>
      </w:r>
      <w:r>
        <w:rPr>
          <w:rFonts w:ascii="Arial" w:cs="Arial" w:eastAsia="Arial" w:hAnsi="Arial"/>
          <w:sz w:val="18"/>
          <w:szCs w:val="18"/>
          <w:b w:val="1"/>
          <w:bCs w:val="1"/>
          <w:color w:val="auto"/>
        </w:rPr>
        <w:t>medical services</w:t>
      </w:r>
      <w:r>
        <w:rPr>
          <w:rFonts w:ascii="Arial" w:cs="Arial" w:eastAsia="Arial" w:hAnsi="Arial"/>
          <w:sz w:val="18"/>
          <w:szCs w:val="18"/>
          <w:color w:val="auto"/>
        </w:rPr>
        <w:t xml:space="preserve"> businesses are consolidated by Banmedica. The following table reflects the consolidated results from which Grupo Pacifico receives the 50% net income.</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Health Insurance and Medical Services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in thousands)</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Quarter</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3"/>
          </w:tcPr>
          <w:p>
            <w:pPr>
              <w:ind w:left="820"/>
              <w:spacing w:after="0"/>
              <w:rPr>
                <w:sz w:val="20"/>
                <w:szCs w:val="20"/>
                <w:color w:val="auto"/>
              </w:rPr>
            </w:pPr>
            <w:r>
              <w:rPr>
                <w:rFonts w:ascii="Arial" w:cs="Arial" w:eastAsia="Arial" w:hAnsi="Arial"/>
                <w:sz w:val="18"/>
                <w:szCs w:val="18"/>
                <w:b w:val="1"/>
                <w:bCs w:val="1"/>
                <w:color w:val="auto"/>
                <w:w w:val="95"/>
              </w:rPr>
              <w:t>% change</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1Q17</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4Q17</w:t>
            </w: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1Q18</w:t>
            </w:r>
          </w:p>
        </w:tc>
        <w:tc>
          <w:tcPr>
            <w:tcW w:w="1640" w:type="dxa"/>
            <w:vAlign w:val="bottom"/>
            <w:gridSpan w:val="3"/>
          </w:tcPr>
          <w:p>
            <w:pPr>
              <w:ind w:left="340"/>
              <w:spacing w:after="0"/>
              <w:rPr>
                <w:sz w:val="20"/>
                <w:szCs w:val="20"/>
                <w:color w:val="auto"/>
              </w:rPr>
            </w:pPr>
            <w:r>
              <w:rPr>
                <w:rFonts w:ascii="Arial" w:cs="Arial" w:eastAsia="Arial" w:hAnsi="Arial"/>
                <w:sz w:val="18"/>
                <w:szCs w:val="18"/>
                <w:b w:val="1"/>
                <w:bCs w:val="1"/>
                <w:color w:val="auto"/>
              </w:rPr>
              <w:t>QoQ</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YoY</w:t>
            </w:r>
          </w:p>
        </w:tc>
      </w:tr>
      <w:tr>
        <w:trPr>
          <w:trHeight w:val="210"/>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Results</w:t>
            </w: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Net earned premiums</w:t>
            </w:r>
          </w:p>
        </w:tc>
        <w:tc>
          <w:tcPr>
            <w:tcW w:w="1060" w:type="dxa"/>
            <w:vAlign w:val="bottom"/>
          </w:tcPr>
          <w:p>
            <w:pPr>
              <w:jc w:val="right"/>
              <w:spacing w:after="0"/>
              <w:rPr>
                <w:sz w:val="20"/>
                <w:szCs w:val="20"/>
                <w:color w:val="auto"/>
              </w:rPr>
            </w:pPr>
            <w:r>
              <w:rPr>
                <w:rFonts w:ascii="Arial" w:cs="Arial" w:eastAsia="Arial" w:hAnsi="Arial"/>
                <w:sz w:val="18"/>
                <w:szCs w:val="18"/>
                <w:color w:val="auto"/>
              </w:rPr>
              <w:t>231,010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236,333</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240,425</w:t>
            </w: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claims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-187,917</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-199,477</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-194,364</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Net fees</w:t>
            </w:r>
          </w:p>
        </w:tc>
        <w:tc>
          <w:tcPr>
            <w:tcW w:w="1060" w:type="dxa"/>
            <w:vAlign w:val="bottom"/>
          </w:tcPr>
          <w:p>
            <w:pPr>
              <w:jc w:val="right"/>
              <w:spacing w:after="0"/>
              <w:rPr>
                <w:sz w:val="20"/>
                <w:szCs w:val="20"/>
                <w:color w:val="auto"/>
              </w:rPr>
            </w:pPr>
            <w:r>
              <w:rPr>
                <w:rFonts w:ascii="Arial" w:cs="Arial" w:eastAsia="Arial" w:hAnsi="Arial"/>
                <w:sz w:val="18"/>
                <w:szCs w:val="18"/>
                <w:color w:val="auto"/>
              </w:rPr>
              <w:t>-10,604</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-11,062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-10,825</w:t>
            </w: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Underwriting result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29,335</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22,562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31,917</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41.5%</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8.8%</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financial income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tcPr>
          <w:p>
            <w:pPr>
              <w:jc w:val="right"/>
              <w:spacing w:after="0"/>
              <w:rPr>
                <w:sz w:val="20"/>
                <w:szCs w:val="20"/>
                <w:color w:val="auto"/>
              </w:rPr>
            </w:pPr>
            <w:r>
              <w:rPr>
                <w:rFonts w:ascii="Arial" w:cs="Arial" w:eastAsia="Arial" w:hAnsi="Arial"/>
                <w:sz w:val="18"/>
                <w:szCs w:val="18"/>
                <w:color w:val="auto"/>
              </w:rPr>
              <w:t>-17,307</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-20,356</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-19,134</w:t>
            </w: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Traslations results</w:t>
            </w: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1640" w:type="dxa"/>
            <w:vAlign w:val="bottom"/>
            <w:gridSpan w:val="3"/>
          </w:tcPr>
          <w:p>
            <w:pPr>
              <w:ind w:left="74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-50.8%</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Net income before Medical services</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9,616</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2,374</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9,386</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295.3%</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-2.4%</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of Medical services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13,953</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16,338</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17,018</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r>
      <w:tr>
        <w:trPr>
          <w:trHeight w:val="230"/>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23,569</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18,712</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26,404</w:t>
            </w: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41.1%</w:t>
            </w: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12.0%</w:t>
            </w: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11.8  Prima AFP</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Main financial indicators</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Quarter</w:t>
            </w: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ind w:left="960"/>
              <w:spacing w:after="0"/>
              <w:rPr>
                <w:sz w:val="20"/>
                <w:szCs w:val="20"/>
                <w:color w:val="auto"/>
              </w:rPr>
            </w:pPr>
            <w:r>
              <w:rPr>
                <w:rFonts w:ascii="Arial" w:cs="Arial" w:eastAsia="Arial" w:hAnsi="Arial"/>
                <w:sz w:val="18"/>
                <w:szCs w:val="18"/>
                <w:b w:val="1"/>
                <w:bCs w:val="1"/>
                <w:color w:val="auto"/>
              </w:rPr>
              <w:t>% Change</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1Q17</w:t>
            </w:r>
          </w:p>
        </w:tc>
        <w:tc>
          <w:tcPr>
            <w:tcW w:w="3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4Q17</w:t>
            </w:r>
          </w:p>
        </w:tc>
        <w:tc>
          <w:tcPr>
            <w:tcW w:w="3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1Q18</w:t>
            </w:r>
          </w:p>
        </w:tc>
        <w:tc>
          <w:tcPr>
            <w:tcW w:w="3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950,516</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882,917</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925,388</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466,091</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263,716</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381,755</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44.8%</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484,425</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619,200</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543,633</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Income from commissions</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103,208</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92,660</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92,404</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and sale expenses</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(39,645)</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(43,386)</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(41,439)</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(6,022)</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(4,637)</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(4,744)</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57,542</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44,637</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46,221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Other income and expenses, net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1,160</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3,004</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4,812</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60.2%</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(17,059)</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(17,238)</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(15,768)</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Net income before translation results</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41,643</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30,403</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35,265</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16.0%</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-15.3%</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Translations results</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41,711</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30,424</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35,257</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15.9%</w:t>
            </w: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-15.5%</w:t>
            </w:r>
          </w:p>
        </w:tc>
        <w:tc>
          <w:tcPr>
            <w:tcW w:w="0" w:type="dxa"/>
            <w:vAlign w:val="bottom"/>
          </w:tcPr>
          <w:p>
            <w:pPr>
              <w:spacing w:after="0"/>
              <w:rPr>
                <w:sz w:val="1"/>
                <w:szCs w:val="1"/>
                <w:color w:val="auto"/>
              </w:rPr>
            </w:pPr>
          </w:p>
        </w:tc>
      </w:tr>
      <w:tr>
        <w:trPr>
          <w:trHeight w:val="20"/>
        </w:trPr>
        <w:tc>
          <w:tcPr>
            <w:tcW w:w="3960" w:type="dxa"/>
            <w:vAlign w:val="bottom"/>
            <w:gridSpan w:val="2"/>
            <w:vMerge w:val="restart"/>
            <w:shd w:val="clear" w:color="auto" w:fill="CCEEFF"/>
          </w:tcPr>
          <w:p>
            <w:pPr>
              <w:spacing w:after="0" w:line="269" w:lineRule="exact"/>
              <w:rPr>
                <w:sz w:val="20"/>
                <w:szCs w:val="20"/>
                <w:color w:val="auto"/>
              </w:rPr>
            </w:pPr>
            <w:r>
              <w:rPr>
                <w:rFonts w:ascii="Arial" w:cs="Arial" w:eastAsia="Arial" w:hAnsi="Arial"/>
                <w:sz w:val="18"/>
                <w:szCs w:val="18"/>
                <w:b w:val="1"/>
                <w:bCs w:val="1"/>
                <w:color w:val="auto"/>
              </w:rPr>
              <w:t xml:space="preserve">ROAE </w:t>
            </w:r>
            <w:r>
              <w:rPr>
                <w:rFonts w:ascii="Arial" w:cs="Arial" w:eastAsia="Arial" w:hAnsi="Arial"/>
                <w:sz w:val="30"/>
                <w:szCs w:val="30"/>
                <w:b w:val="1"/>
                <w:bCs w:val="1"/>
                <w:color w:val="auto"/>
                <w:vertAlign w:val="superscript"/>
              </w:rPr>
              <w:t>(1)</w:t>
            </w: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gridSpan w:val="2"/>
            <w:vMerge w:val="continue"/>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30.6%</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24.3%</w:t>
            </w:r>
          </w:p>
        </w:tc>
        <w:tc>
          <w:tcPr>
            <w:tcW w:w="1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Net shareholders' equity includes unrealized gains from Prima's investment portfolio.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r>
              <w:rPr>
                <w:rFonts w:ascii="Arial" w:cs="Arial" w:eastAsia="Arial" w:hAnsi="Arial"/>
                <w:sz w:val="18"/>
                <w:szCs w:val="18"/>
                <w:b w:val="1"/>
                <w:bCs w:val="1"/>
                <w:color w:val="auto"/>
              </w:rPr>
              <w:t>Funds under management</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w:t>
            </w: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Dec 17</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 share</w:t>
            </w:r>
          </w:p>
        </w:tc>
        <w:tc>
          <w:tcPr>
            <w:tcW w:w="240" w:type="dxa"/>
            <w:vAlign w:val="bottom"/>
            <w:tcBorders>
              <w:bottom w:val="single" w:sz="8" w:color="CCEEFF"/>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Mar 18</w:t>
            </w: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gridSpan w:val="2"/>
          </w:tcPr>
          <w:p>
            <w:pPr>
              <w:spacing w:after="0"/>
              <w:rPr>
                <w:sz w:val="24"/>
                <w:szCs w:val="24"/>
                <w:color w:val="auto"/>
              </w:rPr>
            </w:pPr>
          </w:p>
        </w:tc>
        <w:tc>
          <w:tcPr>
            <w:tcW w:w="9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 share</w:t>
            </w:r>
          </w:p>
        </w:tc>
        <w:tc>
          <w:tcPr>
            <w:tcW w:w="160" w:type="dxa"/>
            <w:vAlign w:val="bottom"/>
            <w:tcBorders>
              <w:bottom w:val="single" w:sz="8" w:color="CCEEFF"/>
            </w:tcBorders>
          </w:tcPr>
          <w:p>
            <w:pPr>
              <w:spacing w:after="0"/>
              <w:rPr>
                <w:sz w:val="24"/>
                <w:szCs w:val="24"/>
                <w:color w:val="auto"/>
              </w:rPr>
            </w:pPr>
          </w:p>
        </w:tc>
        <w:tc>
          <w:tcPr>
            <w:tcW w:w="420" w:type="dxa"/>
            <w:vAlign w:val="bottom"/>
            <w:gridSpan w:val="2"/>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Fund 0</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4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Fund 1</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5,407</w:t>
            </w:r>
          </w:p>
        </w:tc>
        <w:tc>
          <w:tcPr>
            <w:tcW w:w="140" w:type="dxa"/>
            <w:vAlign w:val="bottom"/>
          </w:tcPr>
          <w:p>
            <w:pPr>
              <w:spacing w:after="0"/>
              <w:rPr>
                <w:sz w:val="18"/>
                <w:szCs w:val="18"/>
                <w:color w:val="auto"/>
              </w:rPr>
            </w:pP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8"/>
                <w:szCs w:val="18"/>
                <w:color w:val="auto"/>
              </w:rPr>
              <w:t>5,500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35,429</w:t>
            </w:r>
          </w:p>
        </w:tc>
        <w:tc>
          <w:tcPr>
            <w:tcW w:w="14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36,010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Fund 3</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7,948</w:t>
            </w:r>
          </w:p>
        </w:tc>
        <w:tc>
          <w:tcPr>
            <w:tcW w:w="140" w:type="dxa"/>
            <w:vAlign w:val="bottom"/>
          </w:tcPr>
          <w:p>
            <w:pPr>
              <w:spacing w:after="0"/>
              <w:rPr>
                <w:sz w:val="19"/>
                <w:szCs w:val="19"/>
                <w:color w:val="auto"/>
              </w:rPr>
            </w:pP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8"/>
                <w:szCs w:val="18"/>
                <w:color w:val="auto"/>
              </w:rPr>
              <w:t>7,837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 Millions</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49,253</w:t>
            </w: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49,877</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280" w:type="dxa"/>
            <w:vAlign w:val="bottom"/>
          </w:tcPr>
          <w:p>
            <w:pPr>
              <w:spacing w:after="0"/>
              <w:rPr>
                <w:sz w:val="20"/>
                <w:szCs w:val="20"/>
                <w:color w:val="auto"/>
              </w:rPr>
            </w:pPr>
            <w:r>
              <w:rPr>
                <w:rFonts w:ascii="Arial" w:cs="Arial" w:eastAsia="Arial" w:hAnsi="Arial"/>
                <w:sz w:val="18"/>
                <w:szCs w:val="18"/>
                <w:i w:val="1"/>
                <w:iCs w:val="1"/>
                <w:color w:val="auto"/>
              </w:rPr>
              <w:t>Source: SBS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00" w:type="dxa"/>
            <w:vAlign w:val="bottom"/>
            <w:gridSpan w:val="7"/>
          </w:tcPr>
          <w:p>
            <w:pPr>
              <w:spacing w:after="0"/>
              <w:rPr>
                <w:sz w:val="20"/>
                <w:szCs w:val="20"/>
                <w:color w:val="auto"/>
              </w:rPr>
            </w:pPr>
            <w:r>
              <w:rPr>
                <w:rFonts w:ascii="Arial" w:cs="Arial" w:eastAsia="Arial" w:hAnsi="Arial"/>
                <w:sz w:val="18"/>
                <w:szCs w:val="18"/>
                <w:b w:val="1"/>
                <w:bCs w:val="1"/>
                <w:color w:val="auto"/>
              </w:rPr>
              <w:t>Nominal profitability over the last 12 months</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60" w:type="dxa"/>
            <w:vAlign w:val="bottom"/>
            <w:gridSpan w:val="15"/>
          </w:tcPr>
          <w:p>
            <w:pPr>
              <w:spacing w:after="0"/>
              <w:rPr>
                <w:sz w:val="20"/>
                <w:szCs w:val="20"/>
                <w:color w:val="auto"/>
              </w:rPr>
            </w:pPr>
            <w:r>
              <w:rPr>
                <w:rFonts w:ascii="Arial" w:cs="Arial" w:eastAsia="Arial" w:hAnsi="Arial"/>
                <w:sz w:val="18"/>
                <w:szCs w:val="18"/>
                <w:b w:val="1"/>
                <w:bCs w:val="1"/>
                <w:color w:val="auto"/>
              </w:rPr>
              <w:t>Dec 17 / Dec 16   Mar 18 / Mar 17</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Fund 0</w:t>
            </w: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Fund 1</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Fund 3</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12.1%</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280" w:type="dxa"/>
            <w:vAlign w:val="bottom"/>
          </w:tcPr>
          <w:p>
            <w:pPr>
              <w:spacing w:after="0"/>
              <w:rPr>
                <w:sz w:val="20"/>
                <w:szCs w:val="20"/>
                <w:color w:val="auto"/>
              </w:rPr>
            </w:pPr>
            <w:r>
              <w:rPr>
                <w:rFonts w:ascii="Arial" w:cs="Arial" w:eastAsia="Arial" w:hAnsi="Arial"/>
                <w:sz w:val="18"/>
                <w:szCs w:val="18"/>
                <w:b w:val="1"/>
                <w:bCs w:val="1"/>
                <w:color w:val="auto"/>
              </w:rPr>
              <w:t>AFP fees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280" w:type="dxa"/>
            <w:vAlign w:val="bottom"/>
          </w:tcPr>
          <w:p>
            <w:pPr>
              <w:spacing w:after="0"/>
              <w:rPr>
                <w:sz w:val="20"/>
                <w:szCs w:val="20"/>
                <w:color w:val="auto"/>
              </w:rPr>
            </w:pPr>
            <w:r>
              <w:rPr>
                <w:rFonts w:ascii="Arial" w:cs="Arial" w:eastAsia="Arial" w:hAnsi="Arial"/>
                <w:sz w:val="18"/>
                <w:szCs w:val="18"/>
                <w:b w:val="1"/>
                <w:bCs w:val="1"/>
                <w:color w:val="auto"/>
              </w:rPr>
              <w:t>Fee based on flow</w:t>
            </w:r>
          </w:p>
        </w:tc>
        <w:tc>
          <w:tcPr>
            <w:tcW w:w="760" w:type="dxa"/>
            <w:vAlign w:val="bottom"/>
          </w:tcPr>
          <w:p>
            <w:pPr>
              <w:jc w:val="right"/>
              <w:spacing w:after="0"/>
              <w:rPr>
                <w:sz w:val="20"/>
                <w:szCs w:val="20"/>
                <w:color w:val="auto"/>
              </w:rPr>
            </w:pPr>
            <w:r>
              <w:rPr>
                <w:rFonts w:ascii="Arial" w:cs="Arial" w:eastAsia="Arial" w:hAnsi="Arial"/>
                <w:sz w:val="18"/>
                <w:szCs w:val="18"/>
                <w:color w:val="auto"/>
              </w:rPr>
              <w:t>1.60%</w:t>
            </w:r>
          </w:p>
        </w:tc>
        <w:tc>
          <w:tcPr>
            <w:tcW w:w="4380" w:type="dxa"/>
            <w:vAlign w:val="bottom"/>
            <w:gridSpan w:val="15"/>
          </w:tcPr>
          <w:p>
            <w:pPr>
              <w:ind w:left="60"/>
              <w:spacing w:after="0"/>
              <w:rPr>
                <w:sz w:val="20"/>
                <w:szCs w:val="20"/>
                <w:color w:val="auto"/>
              </w:rPr>
            </w:pPr>
            <w:r>
              <w:rPr>
                <w:rFonts w:ascii="Arial" w:cs="Arial" w:eastAsia="Arial" w:hAnsi="Arial"/>
                <w:sz w:val="18"/>
                <w:szCs w:val="18"/>
                <w:color w:val="auto"/>
              </w:rPr>
              <w:t>Applied to the affiliates' monthly remuneration.</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280" w:type="dxa"/>
            <w:vAlign w:val="bottom"/>
          </w:tcPr>
          <w:p>
            <w:pPr>
              <w:spacing w:after="0"/>
              <w:rPr>
                <w:sz w:val="20"/>
                <w:szCs w:val="20"/>
                <w:color w:val="auto"/>
              </w:rPr>
            </w:pPr>
            <w:r>
              <w:rPr>
                <w:rFonts w:ascii="Arial" w:cs="Arial" w:eastAsia="Arial" w:hAnsi="Arial"/>
                <w:sz w:val="18"/>
                <w:szCs w:val="18"/>
                <w:b w:val="1"/>
                <w:bCs w:val="1"/>
                <w:color w:val="auto"/>
              </w:rPr>
              <w:t>Mixed fee</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Flow</w:t>
            </w:r>
          </w:p>
        </w:tc>
        <w:tc>
          <w:tcPr>
            <w:tcW w:w="760" w:type="dxa"/>
            <w:vAlign w:val="bottom"/>
          </w:tcPr>
          <w:p>
            <w:pPr>
              <w:jc w:val="right"/>
              <w:spacing w:after="0"/>
              <w:rPr>
                <w:sz w:val="20"/>
                <w:szCs w:val="20"/>
                <w:color w:val="auto"/>
              </w:rPr>
            </w:pPr>
            <w:r>
              <w:rPr>
                <w:rFonts w:ascii="Arial" w:cs="Arial" w:eastAsia="Arial" w:hAnsi="Arial"/>
                <w:sz w:val="18"/>
                <w:szCs w:val="18"/>
                <w:color w:val="auto"/>
              </w:rPr>
              <w:t>0.18%</w:t>
            </w:r>
          </w:p>
        </w:tc>
        <w:tc>
          <w:tcPr>
            <w:tcW w:w="7080" w:type="dxa"/>
            <w:vAlign w:val="bottom"/>
            <w:gridSpan w:val="26"/>
          </w:tcPr>
          <w:p>
            <w:pPr>
              <w:ind w:left="60"/>
              <w:spacing w:after="0"/>
              <w:rPr>
                <w:sz w:val="20"/>
                <w:szCs w:val="20"/>
                <w:color w:val="auto"/>
              </w:rPr>
            </w:pPr>
            <w:r>
              <w:rPr>
                <w:rFonts w:ascii="Arial" w:cs="Arial" w:eastAsia="Arial" w:hAnsi="Arial"/>
                <w:sz w:val="18"/>
                <w:szCs w:val="18"/>
                <w:color w:val="auto"/>
                <w:w w:val="98"/>
              </w:rPr>
              <w:t>Applied to the affiliates' monthly remuneration since June 2017. Feb 17- may 17 =0.87%.</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380" w:type="dxa"/>
            <w:vAlign w:val="bottom"/>
            <w:gridSpan w:val="28"/>
          </w:tcPr>
          <w:p>
            <w:pPr>
              <w:ind w:left="60"/>
              <w:spacing w:after="0"/>
              <w:rPr>
                <w:sz w:val="20"/>
                <w:szCs w:val="20"/>
                <w:color w:val="auto"/>
              </w:rPr>
            </w:pPr>
            <w:r>
              <w:rPr>
                <w:rFonts w:ascii="Arial" w:cs="Arial" w:eastAsia="Arial" w:hAnsi="Arial"/>
                <w:sz w:val="18"/>
                <w:szCs w:val="18"/>
                <w:color w:val="auto"/>
                <w:w w:val="93"/>
              </w:rPr>
              <w:t>Applies annualy to the new balance since February 2013 for new affiliates to the system and beginning on June</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Balance</w:t>
            </w:r>
          </w:p>
        </w:tc>
        <w:tc>
          <w:tcPr>
            <w:tcW w:w="760" w:type="dxa"/>
            <w:vAlign w:val="bottom"/>
          </w:tcPr>
          <w:p>
            <w:pPr>
              <w:jc w:val="right"/>
              <w:spacing w:after="0"/>
              <w:rPr>
                <w:sz w:val="20"/>
                <w:szCs w:val="20"/>
                <w:color w:val="auto"/>
              </w:rPr>
            </w:pPr>
            <w:r>
              <w:rPr>
                <w:rFonts w:ascii="Arial" w:cs="Arial" w:eastAsia="Arial" w:hAnsi="Arial"/>
                <w:sz w:val="18"/>
                <w:szCs w:val="18"/>
                <w:color w:val="auto"/>
              </w:rPr>
              <w:t>1.25%</w:t>
            </w:r>
          </w:p>
        </w:tc>
        <w:tc>
          <w:tcPr>
            <w:tcW w:w="5580" w:type="dxa"/>
            <w:vAlign w:val="bottom"/>
            <w:gridSpan w:val="21"/>
          </w:tcPr>
          <w:p>
            <w:pPr>
              <w:ind w:left="60"/>
              <w:spacing w:after="0"/>
              <w:rPr>
                <w:sz w:val="20"/>
                <w:szCs w:val="20"/>
                <w:color w:val="auto"/>
              </w:rPr>
            </w:pPr>
            <w:r>
              <w:rPr>
                <w:rFonts w:ascii="Arial" w:cs="Arial" w:eastAsia="Arial" w:hAnsi="Arial"/>
                <w:sz w:val="18"/>
                <w:szCs w:val="18"/>
                <w:color w:val="auto"/>
              </w:rPr>
              <w:t>2013 for old affiliates who have chosen this commission scheme.</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0"/>
                <w:szCs w:val="20"/>
                <w:color w:val="auto"/>
              </w:rPr>
            </w:pPr>
            <w:r>
              <w:rPr>
                <w:rFonts w:ascii="Arial" w:cs="Arial" w:eastAsia="Arial" w:hAnsi="Arial"/>
                <w:sz w:val="18"/>
                <w:szCs w:val="18"/>
                <w:b w:val="1"/>
                <w:bCs w:val="1"/>
                <w:color w:val="auto"/>
              </w:rPr>
              <w:t>Main indicators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ind w:left="320"/>
              <w:spacing w:after="0"/>
              <w:rPr>
                <w:sz w:val="20"/>
                <w:szCs w:val="20"/>
                <w:color w:val="auto"/>
              </w:rPr>
            </w:pPr>
            <w:r>
              <w:rPr>
                <w:rFonts w:ascii="Arial" w:cs="Arial" w:eastAsia="Arial" w:hAnsi="Arial"/>
                <w:sz w:val="18"/>
                <w:szCs w:val="18"/>
                <w:b w:val="1"/>
                <w:bCs w:val="1"/>
                <w:color w:val="auto"/>
              </w:rPr>
              <w:t>Prima</w:t>
            </w: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4"/>
              </w:rPr>
              <w:t>System</w:t>
            </w:r>
          </w:p>
        </w:tc>
        <w:tc>
          <w:tcPr>
            <w:tcW w:w="80" w:type="dxa"/>
            <w:vAlign w:val="bottom"/>
          </w:tcPr>
          <w:p>
            <w:pPr>
              <w:spacing w:after="0"/>
              <w:rPr>
                <w:sz w:val="24"/>
                <w:szCs w:val="24"/>
                <w:color w:val="auto"/>
              </w:rPr>
            </w:pPr>
          </w:p>
        </w:tc>
        <w:tc>
          <w:tcPr>
            <w:tcW w:w="140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 share</w:t>
            </w:r>
          </w:p>
        </w:tc>
        <w:tc>
          <w:tcPr>
            <w:tcW w:w="1200" w:type="dxa"/>
            <w:vAlign w:val="bottom"/>
            <w:gridSpan w:val="6"/>
          </w:tcPr>
          <w:p>
            <w:pPr>
              <w:ind w:left="320"/>
              <w:spacing w:after="0"/>
              <w:rPr>
                <w:sz w:val="20"/>
                <w:szCs w:val="20"/>
                <w:color w:val="auto"/>
              </w:rPr>
            </w:pPr>
            <w:r>
              <w:rPr>
                <w:rFonts w:ascii="Arial" w:cs="Arial" w:eastAsia="Arial" w:hAnsi="Arial"/>
                <w:sz w:val="18"/>
                <w:szCs w:val="18"/>
                <w:b w:val="1"/>
                <w:bCs w:val="1"/>
                <w:color w:val="auto"/>
              </w:rPr>
              <w:t>Prima</w:t>
            </w:r>
          </w:p>
        </w:tc>
        <w:tc>
          <w:tcPr>
            <w:tcW w:w="160" w:type="dxa"/>
            <w:vAlign w:val="bottom"/>
          </w:tcPr>
          <w:p>
            <w:pPr>
              <w:spacing w:after="0"/>
              <w:rPr>
                <w:sz w:val="24"/>
                <w:szCs w:val="24"/>
                <w:color w:val="auto"/>
              </w:rPr>
            </w:pPr>
          </w:p>
        </w:tc>
        <w:tc>
          <w:tcPr>
            <w:tcW w:w="134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System</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 share</w:t>
            </w:r>
          </w:p>
        </w:tc>
        <w:tc>
          <w:tcPr>
            <w:tcW w:w="0" w:type="dxa"/>
            <w:vAlign w:val="bottom"/>
          </w:tcPr>
          <w:p>
            <w:pPr>
              <w:spacing w:after="0"/>
              <w:rPr>
                <w:sz w:val="1"/>
                <w:szCs w:val="1"/>
                <w:color w:val="auto"/>
              </w:rPr>
            </w:pPr>
          </w:p>
        </w:tc>
      </w:tr>
      <w:tr>
        <w:trPr>
          <w:trHeight w:val="234"/>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Main indicators and market share</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4Q17</w:t>
            </w:r>
          </w:p>
        </w:tc>
        <w:tc>
          <w:tcPr>
            <w:tcW w:w="240" w:type="dxa"/>
            <w:vAlign w:val="bottom"/>
            <w:tcBorders>
              <w:bottom w:val="single" w:sz="8" w:color="CCEEFF"/>
            </w:tcBorders>
            <w:gridSpan w:val="2"/>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4Q17</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4Q17</w:t>
            </w:r>
          </w:p>
        </w:tc>
        <w:tc>
          <w:tcPr>
            <w:tcW w:w="260" w:type="dxa"/>
            <w:vAlign w:val="bottom"/>
            <w:tcBorders>
              <w:bottom w:val="single" w:sz="8" w:color="CCEEFF"/>
            </w:tcBorders>
            <w:gridSpan w:val="2"/>
          </w:tcPr>
          <w:p>
            <w:pPr>
              <w:spacing w:after="0"/>
              <w:rPr>
                <w:sz w:val="20"/>
                <w:szCs w:val="20"/>
                <w:color w:val="auto"/>
              </w:rPr>
            </w:pPr>
          </w:p>
        </w:tc>
        <w:tc>
          <w:tcPr>
            <w:tcW w:w="11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8"/>
                <w:szCs w:val="18"/>
                <w:b w:val="1"/>
                <w:bCs w:val="1"/>
                <w:color w:val="auto"/>
              </w:rPr>
              <w:t>1Q18</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rPr>
              <w:t>1Q18</w:t>
            </w:r>
          </w:p>
        </w:tc>
        <w:tc>
          <w:tcPr>
            <w:tcW w:w="2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1Q18</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1,683,123</w:t>
            </w: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6,604,841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1,802,184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6,716,325</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57"/>
        </w:trPr>
        <w:tc>
          <w:tcPr>
            <w:tcW w:w="2280" w:type="dxa"/>
            <w:vAlign w:val="bottom"/>
          </w:tcPr>
          <w:p>
            <w:pPr>
              <w:spacing w:after="0" w:line="256" w:lineRule="exact"/>
              <w:rPr>
                <w:sz w:val="20"/>
                <w:szCs w:val="20"/>
                <w:color w:val="auto"/>
              </w:rPr>
            </w:pPr>
            <w:r>
              <w:rPr>
                <w:rFonts w:ascii="Arial" w:cs="Arial" w:eastAsia="Arial" w:hAnsi="Arial"/>
                <w:sz w:val="18"/>
                <w:szCs w:val="18"/>
                <w:color w:val="auto"/>
              </w:rPr>
              <w:t xml:space="preserve">New affiliations </w:t>
            </w:r>
            <w:r>
              <w:rPr>
                <w:rFonts w:ascii="Arial" w:cs="Arial" w:eastAsia="Arial" w:hAnsi="Arial"/>
                <w:sz w:val="29"/>
                <w:szCs w:val="29"/>
                <w:color w:val="auto"/>
                <w:vertAlign w:val="superscript"/>
              </w:rPr>
              <w:t>(1)</w:t>
            </w:r>
          </w:p>
        </w:tc>
        <w:tc>
          <w:tcPr>
            <w:tcW w:w="760" w:type="dxa"/>
            <w:vAlign w:val="bottom"/>
          </w:tcPr>
          <w:p>
            <w:pPr>
              <w:spacing w:after="0"/>
              <w:rPr>
                <w:sz w:val="22"/>
                <w:szCs w:val="22"/>
                <w:color w:val="auto"/>
              </w:rPr>
            </w:pPr>
          </w:p>
        </w:tc>
        <w:tc>
          <w:tcPr>
            <w:tcW w:w="1560" w:type="dxa"/>
            <w:vAlign w:val="bottom"/>
            <w:gridSpan w:val="4"/>
          </w:tcPr>
          <w:p>
            <w:pPr>
              <w:jc w:val="right"/>
              <w:ind w:right="140"/>
              <w:spacing w:after="0"/>
              <w:rPr>
                <w:sz w:val="20"/>
                <w:szCs w:val="20"/>
                <w:color w:val="auto"/>
              </w:rPr>
            </w:pPr>
            <w:r>
              <w:rPr>
                <w:rFonts w:ascii="Arial" w:cs="Arial" w:eastAsia="Arial" w:hAnsi="Arial"/>
                <w:sz w:val="18"/>
                <w:szCs w:val="18"/>
                <w:color w:val="auto"/>
              </w:rPr>
              <w:t>97,004</w:t>
            </w:r>
          </w:p>
        </w:tc>
        <w:tc>
          <w:tcPr>
            <w:tcW w:w="100" w:type="dxa"/>
            <w:vAlign w:val="bottom"/>
          </w:tcPr>
          <w:p>
            <w:pPr>
              <w:spacing w:after="0"/>
              <w:rPr>
                <w:sz w:val="22"/>
                <w:szCs w:val="22"/>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97,004</w:t>
            </w:r>
          </w:p>
        </w:tc>
        <w:tc>
          <w:tcPr>
            <w:tcW w:w="1480" w:type="dxa"/>
            <w:vAlign w:val="bottom"/>
            <w:gridSpan w:val="7"/>
          </w:tcPr>
          <w:p>
            <w:pPr>
              <w:jc w:val="right"/>
              <w:ind w:right="120"/>
              <w:spacing w:after="0"/>
              <w:rPr>
                <w:sz w:val="20"/>
                <w:szCs w:val="20"/>
                <w:color w:val="auto"/>
              </w:rPr>
            </w:pPr>
            <w:r>
              <w:rPr>
                <w:rFonts w:ascii="Arial" w:cs="Arial" w:eastAsia="Arial" w:hAnsi="Arial"/>
                <w:sz w:val="18"/>
                <w:szCs w:val="18"/>
                <w:color w:val="auto"/>
              </w:rPr>
              <w:t>100.0%</w:t>
            </w:r>
          </w:p>
        </w:tc>
        <w:tc>
          <w:tcPr>
            <w:tcW w:w="1200" w:type="dxa"/>
            <w:vAlign w:val="bottom"/>
            <w:gridSpan w:val="6"/>
          </w:tcPr>
          <w:p>
            <w:pPr>
              <w:jc w:val="right"/>
              <w:ind w:right="60"/>
              <w:spacing w:after="0"/>
              <w:rPr>
                <w:sz w:val="20"/>
                <w:szCs w:val="20"/>
                <w:color w:val="auto"/>
              </w:rPr>
            </w:pPr>
            <w:r>
              <w:rPr>
                <w:rFonts w:ascii="Arial" w:cs="Arial" w:eastAsia="Arial" w:hAnsi="Arial"/>
                <w:sz w:val="18"/>
                <w:szCs w:val="18"/>
                <w:color w:val="auto"/>
              </w:rPr>
              <w:t>115,427</w:t>
            </w:r>
          </w:p>
        </w:tc>
        <w:tc>
          <w:tcPr>
            <w:tcW w:w="1500" w:type="dxa"/>
            <w:vAlign w:val="bottom"/>
            <w:gridSpan w:val="5"/>
          </w:tcPr>
          <w:p>
            <w:pPr>
              <w:jc w:val="right"/>
              <w:ind w:right="220"/>
              <w:spacing w:after="0"/>
              <w:rPr>
                <w:sz w:val="20"/>
                <w:szCs w:val="20"/>
                <w:color w:val="auto"/>
              </w:rPr>
            </w:pPr>
            <w:r>
              <w:rPr>
                <w:rFonts w:ascii="Arial" w:cs="Arial" w:eastAsia="Arial" w:hAnsi="Arial"/>
                <w:sz w:val="18"/>
                <w:szCs w:val="18"/>
                <w:color w:val="auto"/>
              </w:rPr>
              <w:t>115,427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Funds under management (S/ Millions)</w:t>
            </w:r>
          </w:p>
        </w:tc>
        <w:tc>
          <w:tcPr>
            <w:tcW w:w="15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49,253</w:t>
            </w:r>
          </w:p>
        </w:tc>
        <w:tc>
          <w:tcPr>
            <w:tcW w:w="1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156,247</w:t>
            </w:r>
          </w:p>
        </w:tc>
        <w:tc>
          <w:tcPr>
            <w:tcW w:w="1480" w:type="dxa"/>
            <w:vAlign w:val="bottom"/>
            <w:gridSpan w:val="7"/>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12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49,877</w:t>
            </w:r>
          </w:p>
        </w:tc>
        <w:tc>
          <w:tcPr>
            <w:tcW w:w="15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158,763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Collections (S/ Millions)</w:t>
            </w:r>
          </w:p>
        </w:tc>
        <w:tc>
          <w:tcPr>
            <w:tcW w:w="760" w:type="dxa"/>
            <w:vAlign w:val="bottom"/>
          </w:tcPr>
          <w:p>
            <w:pPr>
              <w:spacing w:after="0"/>
              <w:rPr>
                <w:sz w:val="18"/>
                <w:szCs w:val="18"/>
                <w:color w:val="auto"/>
              </w:rPr>
            </w:pPr>
          </w:p>
        </w:tc>
        <w:tc>
          <w:tcPr>
            <w:tcW w:w="1560" w:type="dxa"/>
            <w:vAlign w:val="bottom"/>
            <w:gridSpan w:val="4"/>
          </w:tcPr>
          <w:p>
            <w:pPr>
              <w:jc w:val="right"/>
              <w:ind w:right="140"/>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2,675</w:t>
            </w:r>
          </w:p>
        </w:tc>
        <w:tc>
          <w:tcPr>
            <w:tcW w:w="1480" w:type="dxa"/>
            <w:vAlign w:val="bottom"/>
            <w:gridSpan w:val="7"/>
          </w:tcPr>
          <w:p>
            <w:pPr>
              <w:jc w:val="right"/>
              <w:ind w:right="120"/>
              <w:spacing w:after="0"/>
              <w:rPr>
                <w:sz w:val="20"/>
                <w:szCs w:val="20"/>
                <w:color w:val="auto"/>
              </w:rPr>
            </w:pPr>
            <w:r>
              <w:rPr>
                <w:rFonts w:ascii="Arial" w:cs="Arial" w:eastAsia="Arial" w:hAnsi="Arial"/>
                <w:sz w:val="18"/>
                <w:szCs w:val="18"/>
                <w:color w:val="auto"/>
              </w:rPr>
              <w:t>31.3%</w:t>
            </w:r>
          </w:p>
        </w:tc>
        <w:tc>
          <w:tcPr>
            <w:tcW w:w="1200" w:type="dxa"/>
            <w:vAlign w:val="bottom"/>
            <w:gridSpan w:val="6"/>
          </w:tcPr>
          <w:p>
            <w:pPr>
              <w:jc w:val="right"/>
              <w:ind w:right="60"/>
              <w:spacing w:after="0"/>
              <w:rPr>
                <w:sz w:val="20"/>
                <w:szCs w:val="20"/>
                <w:color w:val="auto"/>
              </w:rPr>
            </w:pPr>
            <w:r>
              <w:rPr>
                <w:rFonts w:ascii="Arial" w:cs="Arial" w:eastAsia="Arial" w:hAnsi="Arial"/>
                <w:sz w:val="18"/>
                <w:szCs w:val="18"/>
                <w:color w:val="auto"/>
              </w:rPr>
              <w:t>932</w:t>
            </w:r>
          </w:p>
        </w:tc>
        <w:tc>
          <w:tcPr>
            <w:tcW w:w="1500" w:type="dxa"/>
            <w:vAlign w:val="bottom"/>
            <w:gridSpan w:val="5"/>
          </w:tcPr>
          <w:p>
            <w:pPr>
              <w:jc w:val="right"/>
              <w:ind w:right="220"/>
              <w:spacing w:after="0"/>
              <w:rPr>
                <w:sz w:val="20"/>
                <w:szCs w:val="20"/>
                <w:color w:val="auto"/>
              </w:rPr>
            </w:pPr>
            <w:r>
              <w:rPr>
                <w:rFonts w:ascii="Arial" w:cs="Arial" w:eastAsia="Arial" w:hAnsi="Arial"/>
                <w:sz w:val="18"/>
                <w:szCs w:val="18"/>
                <w:color w:val="auto"/>
              </w:rPr>
              <w:t>2,876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Voluntary contributions (S/ Millions)</w:t>
            </w:r>
          </w:p>
        </w:tc>
        <w:tc>
          <w:tcPr>
            <w:tcW w:w="15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837</w:t>
            </w:r>
          </w:p>
        </w:tc>
        <w:tc>
          <w:tcPr>
            <w:tcW w:w="1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1,757</w:t>
            </w:r>
          </w:p>
        </w:tc>
        <w:tc>
          <w:tcPr>
            <w:tcW w:w="1480" w:type="dxa"/>
            <w:vAlign w:val="bottom"/>
            <w:gridSpan w:val="7"/>
            <w:shd w:val="clear" w:color="auto" w:fill="CCEEFF"/>
          </w:tcPr>
          <w:p>
            <w:pPr>
              <w:jc w:val="right"/>
              <w:ind w:right="120"/>
              <w:spacing w:after="0"/>
              <w:rPr>
                <w:sz w:val="20"/>
                <w:szCs w:val="20"/>
                <w:color w:val="auto"/>
              </w:rPr>
            </w:pPr>
            <w:r>
              <w:rPr>
                <w:rFonts w:ascii="Arial" w:cs="Arial" w:eastAsia="Arial" w:hAnsi="Arial"/>
                <w:sz w:val="18"/>
                <w:szCs w:val="18"/>
                <w:color w:val="auto"/>
              </w:rPr>
              <w:t>47.6%</w:t>
            </w:r>
          </w:p>
        </w:tc>
        <w:tc>
          <w:tcPr>
            <w:tcW w:w="12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969</w:t>
            </w:r>
          </w:p>
        </w:tc>
        <w:tc>
          <w:tcPr>
            <w:tcW w:w="15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2,142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0"/>
        </w:trPr>
        <w:tc>
          <w:tcPr>
            <w:tcW w:w="2280" w:type="dxa"/>
            <w:vAlign w:val="bottom"/>
          </w:tcPr>
          <w:p>
            <w:pPr>
              <w:spacing w:after="0" w:line="269" w:lineRule="exact"/>
              <w:rPr>
                <w:sz w:val="20"/>
                <w:szCs w:val="20"/>
                <w:color w:val="auto"/>
              </w:rPr>
            </w:pPr>
            <w:r>
              <w:rPr>
                <w:rFonts w:ascii="Arial" w:cs="Arial" w:eastAsia="Arial" w:hAnsi="Arial"/>
                <w:sz w:val="18"/>
                <w:szCs w:val="18"/>
                <w:color w:val="auto"/>
              </w:rPr>
              <w:t xml:space="preserve">RAM (S/ Millions) </w:t>
            </w:r>
            <w:r>
              <w:rPr>
                <w:rFonts w:ascii="Arial" w:cs="Arial" w:eastAsia="Arial" w:hAnsi="Arial"/>
                <w:sz w:val="30"/>
                <w:szCs w:val="30"/>
                <w:color w:val="auto"/>
                <w:vertAlign w:val="superscript"/>
              </w:rPr>
              <w:t>(2)</w:t>
            </w:r>
          </w:p>
        </w:tc>
        <w:tc>
          <w:tcPr>
            <w:tcW w:w="760" w:type="dxa"/>
            <w:vAlign w:val="bottom"/>
          </w:tcPr>
          <w:p>
            <w:pPr>
              <w:spacing w:after="0"/>
              <w:rPr>
                <w:sz w:val="23"/>
                <w:szCs w:val="23"/>
                <w:color w:val="auto"/>
              </w:rPr>
            </w:pPr>
          </w:p>
        </w:tc>
        <w:tc>
          <w:tcPr>
            <w:tcW w:w="280" w:type="dxa"/>
            <w:vAlign w:val="bottom"/>
            <w:gridSpan w:val="2"/>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7,215</w:t>
            </w:r>
          </w:p>
        </w:tc>
        <w:tc>
          <w:tcPr>
            <w:tcW w:w="1480" w:type="dxa"/>
            <w:vAlign w:val="bottom"/>
            <w:gridSpan w:val="7"/>
          </w:tcPr>
          <w:p>
            <w:pPr>
              <w:jc w:val="right"/>
              <w:ind w:right="120"/>
              <w:spacing w:after="0"/>
              <w:rPr>
                <w:sz w:val="20"/>
                <w:szCs w:val="20"/>
                <w:color w:val="auto"/>
              </w:rPr>
            </w:pPr>
            <w:r>
              <w:rPr>
                <w:rFonts w:ascii="Arial" w:cs="Arial" w:eastAsia="Arial" w:hAnsi="Arial"/>
                <w:sz w:val="18"/>
                <w:szCs w:val="18"/>
                <w:color w:val="auto"/>
              </w:rPr>
              <w:t>32.2%</w:t>
            </w:r>
          </w:p>
        </w:tc>
        <w:tc>
          <w:tcPr>
            <w:tcW w:w="1200" w:type="dxa"/>
            <w:vAlign w:val="bottom"/>
            <w:gridSpan w:val="6"/>
          </w:tcPr>
          <w:p>
            <w:pPr>
              <w:jc w:val="right"/>
              <w:ind w:right="60"/>
              <w:spacing w:after="0"/>
              <w:rPr>
                <w:sz w:val="20"/>
                <w:szCs w:val="20"/>
                <w:color w:val="auto"/>
              </w:rPr>
            </w:pPr>
            <w:r>
              <w:rPr>
                <w:rFonts w:ascii="Arial" w:cs="Arial" w:eastAsia="Arial" w:hAnsi="Arial"/>
                <w:sz w:val="18"/>
                <w:szCs w:val="18"/>
                <w:color w:val="auto"/>
              </w:rPr>
              <w:t>2,398</w:t>
            </w:r>
          </w:p>
        </w:tc>
        <w:tc>
          <w:tcPr>
            <w:tcW w:w="1500" w:type="dxa"/>
            <w:vAlign w:val="bottom"/>
            <w:gridSpan w:val="5"/>
          </w:tcPr>
          <w:p>
            <w:pPr>
              <w:jc w:val="right"/>
              <w:ind w:right="220"/>
              <w:spacing w:after="0"/>
              <w:rPr>
                <w:sz w:val="20"/>
                <w:szCs w:val="20"/>
                <w:color w:val="auto"/>
              </w:rPr>
            </w:pPr>
            <w:r>
              <w:rPr>
                <w:rFonts w:ascii="Arial" w:cs="Arial" w:eastAsia="Arial" w:hAnsi="Arial"/>
                <w:sz w:val="18"/>
                <w:szCs w:val="18"/>
                <w:color w:val="auto"/>
              </w:rPr>
              <w:t>7,437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SBS</w:t>
      </w:r>
    </w:p>
    <w:p>
      <w:pPr>
        <w:spacing w:after="0" w:line="23" w:lineRule="exact"/>
        <w:rPr>
          <w:sz w:val="20"/>
          <w:szCs w:val="20"/>
          <w:color w:val="auto"/>
        </w:rPr>
      </w:pPr>
    </w:p>
    <w:p>
      <w:pPr>
        <w:ind w:left="260" w:hanging="252"/>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April and May AFP Habitat had exclusivity of affiliation. From June Prima AFP it has exclusivity for being a winner of bidding.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Prima AFP estimate: Average of aggregated income during the last 4 months, excluding special collections and voluntary contribution fees.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964" w:gutter="0" w:footer="0" w:header="0"/>
        </w:sectPr>
      </w:pPr>
    </w:p>
    <w:bookmarkStart w:id="65" w:name="page66"/>
    <w:bookmarkEnd w:id="65"/>
    <w:p>
      <w:pPr>
        <w:spacing w:after="0"/>
        <w:tabs>
          <w:tab w:leader="none" w:pos="44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5"/>
          <w:szCs w:val="15"/>
          <w:b w:val="1"/>
          <w:bCs w:val="1"/>
          <w:color w:val="auto"/>
        </w:rPr>
        <w:t>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746115" cy="6894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46115" cy="689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60" w:hanging="252"/>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Includes total deposits, due to banks and correspondents, BCRP instruments and bonds and subordinated debt.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Includes investment in subsidiaries, goodwill, intangibles and deferred tax that rely on future profitability.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11.10  Disclosure about the impact of IFRS 9</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July 2014, the IASB issued the complete version of IFRS 9, which combines the phases of classification and measurement, impairment and hedging accounting of the IASB project to replaces IAS 39 “Financial instruments: Measurement and Recognition”. The new requirements were applied adjusting Credicorp’s consolidated financial statements as of January 1st, 2018, the date of IFRS9 application, without re-stating the information for the year 2017.</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regards to the classification and measurement defined by IFRS 9, the requirements defined three categories of classification: Amortized cost, fair value through other comprehensive income and fair value through profit or loss. An instrument is classified depending on the objective of its business model, and if the contractual cash flows of the instrument only represent the payment of the principal and interest of the debt.</w:t>
      </w:r>
    </w:p>
    <w:p>
      <w:pPr>
        <w:spacing w:after="0" w:line="185"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The combined application of the tests of the characteristics of the contractual cash flows and business models as of January 1</w:t>
      </w:r>
      <w:r>
        <w:rPr>
          <w:rFonts w:ascii="Arial" w:cs="Arial" w:eastAsia="Arial" w:hAnsi="Arial"/>
          <w:sz w:val="30"/>
          <w:szCs w:val="30"/>
          <w:color w:val="auto"/>
          <w:vertAlign w:val="superscript"/>
        </w:rPr>
        <w:t>st</w:t>
      </w:r>
      <w:r>
        <w:rPr>
          <w:rFonts w:ascii="Arial" w:cs="Arial" w:eastAsia="Arial" w:hAnsi="Arial"/>
          <w:sz w:val="18"/>
          <w:szCs w:val="18"/>
          <w:color w:val="auto"/>
        </w:rPr>
        <w:t>, 2018 resulted in certain differences when comparing the financial assets classified under IAS 39 with the same financial assets classified under IFRS 9.</w:t>
      </w:r>
    </w:p>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Approximately S/ 1,593.4 million of financial assets previously classified as available for sale under IAS 39 have been classified as fair value through profit or loss under IFRS 9. These assets had unrealized gains, which have been reclassified as retained earnings in the statement of changes in net equity.</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IFRS 9 introduces a new model of impairment based on expected losses of the credit portfolio and other instruments which differ significantly from the current model under IAS 39 of credit losses incurred. In order to comply with the new model, it is necessary to classify each asset in one of the following phases of expected credit losses:</w:t>
      </w:r>
    </w:p>
    <w:p>
      <w:pPr>
        <w:spacing w:after="0" w:line="181" w:lineRule="exact"/>
        <w:rPr>
          <w:sz w:val="20"/>
          <w:szCs w:val="20"/>
          <w:color w:val="auto"/>
        </w:rPr>
      </w:pPr>
    </w:p>
    <w:p>
      <w:pPr>
        <w:ind w:left="760" w:hanging="252"/>
        <w:spacing w:after="0" w:line="277" w:lineRule="auto"/>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Phase 1: For financial assets of which the credit risk has not deteriorated significantly since its initial recognition, a reserve for losses will be recognized, equivalent to the credit losses which are expected to occur from defaults in the next 12 months.</w:t>
      </w:r>
    </w:p>
    <w:p>
      <w:pPr>
        <w:spacing w:after="0" w:line="170" w:lineRule="exact"/>
        <w:rPr>
          <w:rFonts w:ascii="Arial" w:cs="Arial" w:eastAsia="Arial" w:hAnsi="Arial"/>
          <w:sz w:val="18"/>
          <w:szCs w:val="18"/>
          <w:color w:val="auto"/>
        </w:rPr>
      </w:pPr>
    </w:p>
    <w:p>
      <w:pPr>
        <w:ind w:left="760" w:hanging="252"/>
        <w:spacing w:after="0" w:line="277" w:lineRule="auto"/>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Phase 2: For financial assets which have presented a significant increase in their credit risk, a reserve for losses will be recognized, equivalent to the credit losses which are expected to occur during the remaining life of the asset.</w:t>
      </w:r>
    </w:p>
    <w:p>
      <w:pPr>
        <w:spacing w:after="0" w:line="170" w:lineRule="exact"/>
        <w:rPr>
          <w:rFonts w:ascii="Arial" w:cs="Arial" w:eastAsia="Arial" w:hAnsi="Arial"/>
          <w:sz w:val="18"/>
          <w:szCs w:val="18"/>
          <w:color w:val="auto"/>
        </w:rPr>
      </w:pPr>
    </w:p>
    <w:p>
      <w:pPr>
        <w:ind w:left="760" w:hanging="252"/>
        <w:spacing w:after="0" w:line="342" w:lineRule="auto"/>
        <w:tabs>
          <w:tab w:leader="none" w:pos="7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Phase 3: For financial assets with evidence of impairment at the reporting date a reserve for losses will be recognized, equivalent to the expected credit losses during the entire life of the asset. Interest income will be recognized based on the asset’s carrying amount, net of the loss reserve.</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measurement of expected credit loss is mainly based on the product of the probability of default (PD), the loss given default (LGD) and the exposure at the time of default (EAD), discounted at the reporting date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for the estimation of the parameters, the current macroeconomic condition is taken into account, as well as the expected macroeconomic conditions, based on three scenarios (base, optimistic and pessimistic), which are weighted to estimate the expected loss.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application of the new model of impairment produced an increase in the reserve for credit losses. The most significant impacts that were recognized 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January 1</w:t>
      </w:r>
      <w:r>
        <w:rPr>
          <w:rFonts w:ascii="Arial" w:cs="Arial" w:eastAsia="Arial" w:hAnsi="Arial"/>
          <w:sz w:val="30"/>
          <w:szCs w:val="30"/>
          <w:color w:val="auto"/>
          <w:vertAlign w:val="superscript"/>
        </w:rPr>
        <w:t>st</w:t>
      </w:r>
      <w:r>
        <w:rPr>
          <w:rFonts w:ascii="Arial" w:cs="Arial" w:eastAsia="Arial" w:hAnsi="Arial"/>
          <w:sz w:val="18"/>
          <w:szCs w:val="18"/>
          <w:color w:val="auto"/>
        </w:rPr>
        <w:t>, 2018 are the following:</w:t>
      </w:r>
    </w:p>
    <w:p>
      <w:pPr>
        <w:spacing w:after="0" w:line="140" w:lineRule="exact"/>
        <w:rPr>
          <w:sz w:val="20"/>
          <w:szCs w:val="20"/>
          <w:color w:val="auto"/>
        </w:rPr>
      </w:pPr>
    </w:p>
    <w:p>
      <w:pPr>
        <w:ind w:left="760" w:hanging="252"/>
        <w:spacing w:after="0" w:line="277" w:lineRule="auto"/>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increase of S/320.7 millions in the provision for credit losses and the correspondent deferred income tax of S/ 94.6 million; resulting in a reduction in retained earnings of S/226.1 millions.</w:t>
      </w:r>
    </w:p>
    <w:p>
      <w:pPr>
        <w:spacing w:after="0" w:line="170" w:lineRule="exact"/>
        <w:rPr>
          <w:rFonts w:ascii="Arial" w:cs="Arial" w:eastAsia="Arial" w:hAnsi="Arial"/>
          <w:sz w:val="18"/>
          <w:szCs w:val="18"/>
          <w:color w:val="auto"/>
        </w:rPr>
      </w:pPr>
    </w:p>
    <w:p>
      <w:pPr>
        <w:ind w:left="760" w:hanging="252"/>
        <w:spacing w:after="0" w:line="277" w:lineRule="auto"/>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increase of S/68.0 millions in the provisions for investments and the correspondent deferred income tax, which is considered non-material, resulting in a reduction in retained earnings.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new model of hedging accounting according to IFRS 9 seeks to simplify hedging accounting, aligning the accounting of the hedging relationships more closely with the risk management activities of an entity.</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u w:val="single" w:color="auto"/>
          <w:color w:val="auto"/>
        </w:rPr>
        <w:t>For more detail about IFRS 9 implementation in Credicorp, please refer to the note 3(ad)(i) of the consolidated financial statements below:</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 International Financial Reporting Standards issued but not yet effective -</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Group decided not to early adopt the following standards and interpretations that were issued but are not effective as of December 31, 2017:</w:t>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 IFRS 9 “Financial Instruments” -</w:t>
      </w:r>
    </w:p>
    <w:p>
      <w:pPr>
        <w:spacing w:after="0" w:line="225" w:lineRule="exact"/>
        <w:rPr>
          <w:sz w:val="20"/>
          <w:szCs w:val="20"/>
          <w:color w:val="auto"/>
        </w:rPr>
      </w:pPr>
    </w:p>
    <w:p>
      <w:pPr>
        <w:jc w:val="both"/>
        <w:ind w:left="520" w:right="20"/>
        <w:spacing w:after="0" w:line="277" w:lineRule="auto"/>
        <w:rPr>
          <w:sz w:val="20"/>
          <w:szCs w:val="20"/>
          <w:color w:val="auto"/>
        </w:rPr>
      </w:pPr>
      <w:r>
        <w:rPr>
          <w:rFonts w:ascii="Arial" w:cs="Arial" w:eastAsia="Arial" w:hAnsi="Arial"/>
          <w:sz w:val="18"/>
          <w:szCs w:val="18"/>
          <w:color w:val="auto"/>
        </w:rPr>
        <w:t>In July 2014, the IASB issued the complete version of IFRS 9, which combines the phases of classification and measurement, impairment and hedging accounting of the IASB project to replaces IAS 39 “Financial instruments: Measurement and Recognition”.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Classification and measurement:</w:t>
      </w:r>
    </w:p>
    <w:p>
      <w:pPr>
        <w:spacing w:after="0" w:line="23" w:lineRule="exact"/>
        <w:rPr>
          <w:sz w:val="20"/>
          <w:szCs w:val="20"/>
          <w:color w:val="auto"/>
        </w:rPr>
      </w:pPr>
    </w:p>
    <w:p>
      <w:pPr>
        <w:jc w:val="both"/>
        <w:ind w:left="520"/>
        <w:spacing w:after="0" w:line="261" w:lineRule="auto"/>
        <w:rPr>
          <w:sz w:val="20"/>
          <w:szCs w:val="20"/>
          <w:color w:val="auto"/>
        </w:rPr>
      </w:pPr>
      <w:r>
        <w:rPr>
          <w:rFonts w:ascii="Arial" w:cs="Arial" w:eastAsia="Arial" w:hAnsi="Arial"/>
          <w:sz w:val="18"/>
          <w:szCs w:val="18"/>
          <w:color w:val="auto"/>
        </w:rPr>
        <w:t>IFRS 9 establishes three categories of classification: Amortized cost, fair value through other comprehensive income and fair value through profit or loss.</w:t>
      </w:r>
    </w:p>
    <w:p>
      <w:pPr>
        <w:spacing w:after="0" w:line="184" w:lineRule="exact"/>
        <w:rPr>
          <w:sz w:val="20"/>
          <w:szCs w:val="20"/>
          <w:color w:val="auto"/>
        </w:rPr>
      </w:pPr>
    </w:p>
    <w:p>
      <w:pPr>
        <w:jc w:val="both"/>
        <w:ind w:left="520" w:right="20"/>
        <w:spacing w:after="0" w:line="342" w:lineRule="auto"/>
        <w:rPr>
          <w:sz w:val="20"/>
          <w:szCs w:val="20"/>
          <w:color w:val="auto"/>
        </w:rPr>
      </w:pPr>
      <w:r>
        <w:rPr>
          <w:rFonts w:ascii="Arial" w:cs="Arial" w:eastAsia="Arial" w:hAnsi="Arial"/>
          <w:sz w:val="16"/>
          <w:szCs w:val="16"/>
          <w:color w:val="auto"/>
        </w:rPr>
        <w:t>A debt instrument is classified and measured at amortized cost if: a) the objective of the business model is to maintain the financial asset, to collect the contractual cash flows, and b) the contractual cash flows of the instrument only represent the payment of the principal and interest of the debt.</w:t>
      </w:r>
    </w:p>
    <w:p>
      <w:pPr>
        <w:spacing w:after="0" w:line="124" w:lineRule="exact"/>
        <w:rPr>
          <w:sz w:val="20"/>
          <w:szCs w:val="20"/>
          <w:color w:val="auto"/>
        </w:rPr>
      </w:pPr>
    </w:p>
    <w:p>
      <w:pPr>
        <w:jc w:val="both"/>
        <w:ind w:left="520"/>
        <w:spacing w:after="0" w:line="264" w:lineRule="auto"/>
        <w:rPr>
          <w:sz w:val="20"/>
          <w:szCs w:val="20"/>
          <w:color w:val="auto"/>
        </w:rPr>
      </w:pPr>
      <w:r>
        <w:rPr>
          <w:rFonts w:ascii="Arial" w:cs="Arial" w:eastAsia="Arial" w:hAnsi="Arial"/>
          <w:sz w:val="18"/>
          <w:szCs w:val="18"/>
          <w:color w:val="auto"/>
        </w:rPr>
        <w:t>Likewise, a debt instrument is classified and measured at fair value through other comprehensive income if: a) the objective of the business model is to maintain the financial asset, both to collect the contractual cash flows, as well as to sell them, and b) the contractual cash flows of the instrument only represent the payment of the principal and interest of the debt.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All other debt instruments that do not satisfy the above-mentioned conditions must be classified and measured at fair value through profit or loss.</w:t>
      </w:r>
    </w:p>
    <w:p>
      <w:pPr>
        <w:spacing w:after="0" w:line="237" w:lineRule="exact"/>
        <w:rPr>
          <w:sz w:val="20"/>
          <w:szCs w:val="20"/>
          <w:color w:val="auto"/>
        </w:rPr>
      </w:pPr>
    </w:p>
    <w:p>
      <w:pPr>
        <w:jc w:val="both"/>
        <w:ind w:left="520"/>
        <w:spacing w:after="0" w:line="264" w:lineRule="auto"/>
        <w:rPr>
          <w:sz w:val="20"/>
          <w:szCs w:val="20"/>
          <w:color w:val="auto"/>
        </w:rPr>
      </w:pPr>
      <w:r>
        <w:rPr>
          <w:rFonts w:ascii="Arial" w:cs="Arial" w:eastAsia="Arial" w:hAnsi="Arial"/>
          <w:sz w:val="18"/>
          <w:szCs w:val="18"/>
          <w:color w:val="auto"/>
        </w:rPr>
        <w:t>An equity instrument is classified at fair value through profit or loss, unless it is not maintained for trading purposes, in which case, an entity may make an irrevocable choice at its initial recognition, to classify it at fair value through other comprehensive income, without subsequently having to reclassify it to profit or loss.</w:t>
      </w:r>
    </w:p>
    <w:p>
      <w:pPr>
        <w:spacing w:after="0" w:line="181" w:lineRule="exact"/>
        <w:rPr>
          <w:sz w:val="20"/>
          <w:szCs w:val="20"/>
          <w:color w:val="auto"/>
        </w:rPr>
      </w:pPr>
    </w:p>
    <w:p>
      <w:pPr>
        <w:jc w:val="both"/>
        <w:ind w:left="520"/>
        <w:spacing w:after="0" w:line="277" w:lineRule="auto"/>
        <w:rPr>
          <w:sz w:val="20"/>
          <w:szCs w:val="20"/>
          <w:color w:val="auto"/>
        </w:rPr>
      </w:pPr>
      <w:r>
        <w:rPr>
          <w:rFonts w:ascii="Arial" w:cs="Arial" w:eastAsia="Arial" w:hAnsi="Arial"/>
          <w:sz w:val="18"/>
          <w:szCs w:val="18"/>
          <w:color w:val="auto"/>
        </w:rPr>
        <w:t>The combined application of the tests on the characteristics of contractual cash flows and business models as of January 1, 2018, resulted in certain differences when comparing financial assets classified under IAS 39 with financial assets classified under IFRS 9.</w:t>
      </w:r>
    </w:p>
    <w:p>
      <w:pPr>
        <w:spacing w:after="0" w:line="170" w:lineRule="exact"/>
        <w:rPr>
          <w:sz w:val="20"/>
          <w:szCs w:val="20"/>
          <w:color w:val="auto"/>
        </w:rPr>
      </w:pPr>
    </w:p>
    <w:p>
      <w:pPr>
        <w:jc w:val="both"/>
        <w:ind w:left="520"/>
        <w:spacing w:after="0" w:line="264" w:lineRule="auto"/>
        <w:rPr>
          <w:sz w:val="20"/>
          <w:szCs w:val="20"/>
          <w:color w:val="auto"/>
        </w:rPr>
      </w:pPr>
      <w:r>
        <w:rPr>
          <w:rFonts w:ascii="Arial" w:cs="Arial" w:eastAsia="Arial" w:hAnsi="Arial"/>
          <w:sz w:val="18"/>
          <w:szCs w:val="18"/>
          <w:color w:val="auto"/>
        </w:rPr>
        <w:t>Approximately S/1,593.4 million of financial assets previously classified as available for sale under IAS 39, have been classified as investments at fair value through profit or loss under IFRS 9. These financial assets held unrealized gains, which have been reclassified to the item retained earnings of the consolidated statement of changes in equity.</w:t>
      </w:r>
    </w:p>
    <w:p>
      <w:pPr>
        <w:spacing w:after="0" w:line="181" w:lineRule="exact"/>
        <w:rPr>
          <w:sz w:val="20"/>
          <w:szCs w:val="20"/>
          <w:color w:val="auto"/>
        </w:rPr>
      </w:pPr>
    </w:p>
    <w:p>
      <w:pPr>
        <w:jc w:val="both"/>
        <w:ind w:left="520"/>
        <w:spacing w:after="0" w:line="277" w:lineRule="auto"/>
        <w:rPr>
          <w:sz w:val="20"/>
          <w:szCs w:val="20"/>
          <w:color w:val="auto"/>
        </w:rPr>
      </w:pPr>
      <w:r>
        <w:rPr>
          <w:rFonts w:ascii="Arial" w:cs="Arial" w:eastAsia="Arial" w:hAnsi="Arial"/>
          <w:sz w:val="18"/>
          <w:szCs w:val="18"/>
          <w:color w:val="auto"/>
        </w:rPr>
        <w:t>With regard to liabilities, most pre-existing requirements for classification and measurement previously included in IAS 39, have not changed in IFRS 9.</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Impairment:</w:t>
      </w:r>
    </w:p>
    <w:p>
      <w:pPr>
        <w:spacing w:after="0" w:line="225" w:lineRule="exact"/>
        <w:rPr>
          <w:sz w:val="20"/>
          <w:szCs w:val="20"/>
          <w:color w:val="auto"/>
        </w:rPr>
      </w:pPr>
    </w:p>
    <w:p>
      <w:pPr>
        <w:jc w:val="both"/>
        <w:ind w:left="520"/>
        <w:spacing w:after="0" w:line="308" w:lineRule="auto"/>
        <w:rPr>
          <w:sz w:val="20"/>
          <w:szCs w:val="20"/>
          <w:color w:val="auto"/>
        </w:rPr>
      </w:pPr>
      <w:r>
        <w:rPr>
          <w:rFonts w:ascii="Arial" w:cs="Arial" w:eastAsia="Arial" w:hAnsi="Arial"/>
          <w:sz w:val="17"/>
          <w:szCs w:val="17"/>
          <w:color w:val="auto"/>
        </w:rPr>
        <w:t>IFRS 9 introduces a new model of impairment based on expected losses of the credit portfolio and other instruments which differ significantly from the current model “under IAS 39 of credit losses incurred”, and it is expected to result in the early recognition of credit losses.</w:t>
      </w:r>
    </w:p>
    <w:p>
      <w:pPr>
        <w:spacing w:after="0" w:line="147" w:lineRule="exact"/>
        <w:rPr>
          <w:sz w:val="20"/>
          <w:szCs w:val="20"/>
          <w:color w:val="auto"/>
        </w:rPr>
      </w:pPr>
    </w:p>
    <w:p>
      <w:pPr>
        <w:jc w:val="both"/>
        <w:ind w:left="520"/>
        <w:spacing w:after="0" w:line="277" w:lineRule="auto"/>
        <w:rPr>
          <w:sz w:val="20"/>
          <w:szCs w:val="20"/>
          <w:color w:val="auto"/>
        </w:rPr>
      </w:pPr>
      <w:r>
        <w:rPr>
          <w:rFonts w:ascii="Arial" w:cs="Arial" w:eastAsia="Arial" w:hAnsi="Arial"/>
          <w:sz w:val="18"/>
          <w:szCs w:val="18"/>
          <w:color w:val="auto"/>
        </w:rPr>
        <w:t>The financial assets classified or designated at fair value through profit or loss and the capital instruments designated at fair value through other comprehensive income, are not subject to impairment assessment.</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Model of impairment of expected credit losses -</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Under IFRS 9, provisions for credit losses will be measured at each reporting date, following a three phase model of expected credit losses:</w:t>
      </w:r>
    </w:p>
    <w:p>
      <w:pPr>
        <w:spacing w:after="0" w:line="237" w:lineRule="exact"/>
        <w:rPr>
          <w:sz w:val="20"/>
          <w:szCs w:val="20"/>
          <w:color w:val="auto"/>
        </w:rPr>
      </w:pPr>
    </w:p>
    <w:p>
      <w:pPr>
        <w:ind w:left="480" w:hanging="236"/>
        <w:spacing w:after="0" w:line="277" w:lineRule="auto"/>
        <w:tabs>
          <w:tab w:leader="none" w:pos="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Phase 1: For financial assets of which the credit risk has not deteriorated significantly since its initial recognition, a reserve for losses will be recognized, equivalent to the credit losses which are expected to occur from defaults in the next 12 months.</w:t>
      </w:r>
    </w:p>
    <w:p>
      <w:pPr>
        <w:spacing w:after="0" w:line="170" w:lineRule="exact"/>
        <w:rPr>
          <w:rFonts w:ascii="Arial" w:cs="Arial" w:eastAsia="Arial" w:hAnsi="Arial"/>
          <w:sz w:val="18"/>
          <w:szCs w:val="18"/>
          <w:color w:val="auto"/>
        </w:rPr>
      </w:pPr>
    </w:p>
    <w:p>
      <w:pPr>
        <w:ind w:left="480" w:right="20" w:hanging="236"/>
        <w:spacing w:after="0" w:line="277" w:lineRule="auto"/>
        <w:tabs>
          <w:tab w:leader="none" w:pos="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Phase 2: For financial assets which have presented a significant increase in their credit risk, a reserve for losses will be recognized, equivalent to the credit losses which are expected to occur during the remaining life of the asset.</w:t>
      </w:r>
    </w:p>
    <w:p>
      <w:pPr>
        <w:spacing w:after="0" w:line="170" w:lineRule="exact"/>
        <w:rPr>
          <w:rFonts w:ascii="Arial" w:cs="Arial" w:eastAsia="Arial" w:hAnsi="Arial"/>
          <w:sz w:val="18"/>
          <w:szCs w:val="18"/>
          <w:color w:val="auto"/>
        </w:rPr>
      </w:pPr>
    </w:p>
    <w:p>
      <w:pPr>
        <w:jc w:val="both"/>
        <w:ind w:left="480" w:hanging="236"/>
        <w:spacing w:after="0" w:line="264" w:lineRule="auto"/>
        <w:tabs>
          <w:tab w:leader="none" w:pos="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Phase 3: For financial assets with evidence of impairment at the reporting date a reserve for losses will be recognized, equivalent to the expected credit losses during the entire life of the asset. Interest income will be recognized based on the asset’s carrying amount, net of the loss reserve.</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reserves for credit losses of Phase 1 and Phase 2 effectively replace the general reserve determined for loans not yet identified as impaired under IAS 39, although the reserves for credit losses of Phase 3 effectively replace the general reserves determined for impaired loans.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Measurement -</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measurement of expected credit loss is mainly based on the product of the probability of default (PD), the loss given default (LGD) and the exposure at the time of default (EAD), discounted at the reporting date and considering the expected macroeconomic effects, all according to the new regulation.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fundamental difference between the credit loss considered as Phase 1 and Phase 2 is the horizon of PD. The estimates of Phase 1 use a 12-month horizon, while those in Phase 2 use an expected loss calculated with the remaining term of the asset and it considers the effect of the significant increase in the risk. Finally, in Phase 3, the expected loss will be estimated based on the best estimate (“ELBE” from its initials in English), given the situation of the collection process of each asset.</w:t>
      </w:r>
    </w:p>
    <w:p>
      <w:pPr>
        <w:spacing w:after="0" w:line="18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above method applies to all the portfolios, with the exception of some portfolios of reduced materiality and of which there is insufficient historical depth and/or loss experience.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 these cases, simplified approaches will be applied, based on the reality of each portfolio and with reasonable supported and documented criteria.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Changes from one phase to another -</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classification of an instrument as phase 1 or phase 2 depends on the concept of “significant impairment” on the reporting date in comparison with the origination date. In this sense, the definition used considers the following criteria:</w:t>
      </w:r>
    </w:p>
    <w:p>
      <w:pPr>
        <w:spacing w:after="0" w:line="170" w:lineRule="exact"/>
        <w:rPr>
          <w:sz w:val="20"/>
          <w:szCs w:val="20"/>
          <w:color w:val="auto"/>
        </w:rPr>
      </w:pPr>
    </w:p>
    <w:p>
      <w:pPr>
        <w:ind w:left="320" w:hanging="319"/>
        <w:spacing w:after="0"/>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account is classified in phase 2 if it has been more than N days in arrears.</w:t>
      </w:r>
    </w:p>
    <w:p>
      <w:pPr>
        <w:spacing w:after="0" w:line="225" w:lineRule="exact"/>
        <w:rPr>
          <w:rFonts w:ascii="Arial" w:cs="Arial" w:eastAsia="Arial" w:hAnsi="Arial"/>
          <w:sz w:val="18"/>
          <w:szCs w:val="18"/>
          <w:color w:val="auto"/>
        </w:rPr>
      </w:pPr>
    </w:p>
    <w:p>
      <w:pPr>
        <w:ind w:left="320" w:hanging="319"/>
        <w:spacing w:after="0" w:line="277" w:lineRule="auto"/>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Risk thresholds have been established based on the internal models and on relative thresholds of differences (by portfolio and risk level) in which the instrument originated.</w:t>
      </w:r>
    </w:p>
    <w:p>
      <w:pPr>
        <w:spacing w:after="0" w:line="170" w:lineRule="exact"/>
        <w:rPr>
          <w:rFonts w:ascii="Arial" w:cs="Arial" w:eastAsia="Arial" w:hAnsi="Arial"/>
          <w:sz w:val="18"/>
          <w:szCs w:val="18"/>
          <w:color w:val="auto"/>
        </w:rPr>
      </w:pPr>
    </w:p>
    <w:p>
      <w:pPr>
        <w:ind w:left="320" w:hanging="319"/>
        <w:spacing w:after="0" w:line="277" w:lineRule="auto"/>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follow up, warning and monitoring systems of the risk portfolios which depend on the current risk policy in Wholesale and Retail Banking, are integrated.</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Additionally, all those accounts which are classified as in default at the reporting date are considered as phase 3. The evaluations of significant risk increase, and credit impairment are carried out independently at each reporting date. Assets can move in both directions from one phase to another.</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760" w:top="909"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Prospective information -</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measurement of expected credit losses for each phase and the evaluation of significant increases in credit risk must consider information regarding previous events and current conditions, as well as forecasts of future economic events and conditions. For the estimation of the risk parameters (PD, LGD, EAD), used in the calculation of the provision in phases 1 and 2, macroeconomic variables were included which vary between portfolios. These forecasts are for a three-year period and, additionally, there is a long-term forecast.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estimation of the expected loss for phases 1, 2 and 3 will be a weighted estimate which considers three future macroeconomic scenarios. The basic, optimistic and pessimistic scenarios are based on macroeconomic forecasts provided by the in-house economic studies team and approved by Senior Management. This same team also provides the probability of occurrence of each scenario. It should be pointed out that the scenario design is adjusted at least once a year and this can be done more frequently if the conditions of the environment require 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Expected life -</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instruments in Phase 2 or 3, the reserves for losses will cover the expected credit losses during the lifetime of the instrument. For most of the instruments, the expected lifetime is limited to the remaining life of the product, adjusted for expected future payments. In the case of revolving products, an analysis was made in order to determine what would be the expected period of life.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application of the new impairment model generated increases in the reserve for credit losses under the new requirements. Below we present the most significant impacts that were recognized on January 1, 2018:</w:t>
      </w:r>
    </w:p>
    <w:p>
      <w:pPr>
        <w:spacing w:after="0" w:line="170" w:lineRule="exact"/>
        <w:rPr>
          <w:sz w:val="20"/>
          <w:szCs w:val="20"/>
          <w:color w:val="auto"/>
        </w:rPr>
      </w:pPr>
    </w:p>
    <w:p>
      <w:pPr>
        <w:ind w:left="320" w:hanging="319"/>
        <w:spacing w:after="0" w:line="277" w:lineRule="auto"/>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Increase in the allowance for loan losses for S/320.7 million and its corresponding deferred income tax for S/94.6 million; resulting in a reduction in the retained earnings of S/226.1 million.</w:t>
      </w:r>
    </w:p>
    <w:p>
      <w:pPr>
        <w:spacing w:after="0" w:line="170" w:lineRule="exact"/>
        <w:rPr>
          <w:rFonts w:ascii="Arial" w:cs="Arial" w:eastAsia="Arial" w:hAnsi="Arial"/>
          <w:sz w:val="18"/>
          <w:szCs w:val="18"/>
          <w:color w:val="auto"/>
        </w:rPr>
      </w:pPr>
    </w:p>
    <w:p>
      <w:pPr>
        <w:ind w:left="320" w:hanging="319"/>
        <w:spacing w:after="0" w:line="277" w:lineRule="auto"/>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Increase in the provision for investments for S/68.1 million and its corresponding deferred income tax, which was immaterial, resulting in a reduction in the retained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Hedging accounting: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new model of hedging accounting according to IFRS 9 seeks to simplify hedging accounting, align the accounting of the hedging relationships more closely with the risk management activities of an entity and permit hedging accounting to be applied more widely to a greater variety of hedging instruments and risks suitable for hedging accounting.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IFRS 9 is effective for accounting periods beginning on or after 1 January 2018. Early adoption is permitted.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new classification, measurement and impairment requirements will be applied adjusting our consolidated statement of financial position at January 1, 2018, date of initial application, without restating the financial information of the comparative period.</w:t>
      </w:r>
    </w:p>
    <w:p>
      <w:pPr>
        <w:spacing w:after="0" w:line="387" w:lineRule="exact"/>
        <w:rPr>
          <w:sz w:val="20"/>
          <w:szCs w:val="20"/>
          <w:color w:val="auto"/>
        </w:rPr>
      </w:pPr>
    </w:p>
    <w:p>
      <w:pPr>
        <w:ind w:left="1072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29210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900"/>
      </w:cols>
      <w:pgMar w:left="76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1)"/>
      <w:numFmt w:val="decimal"/>
      <w:start w:val="11"/>
    </w:lvl>
  </w:abstractNum>
  <w:abstractNum w:abstractNumId="3">
    <w:nsid w:val="75C6C33A"/>
    <w:multiLevelType w:val="hybridMultilevel"/>
    <w:lvl w:ilvl="0">
      <w:lvlJc w:val="left"/>
      <w:lvlText w:val="(%1)"/>
      <w:numFmt w:val="decimal"/>
      <w:start w:val="1"/>
    </w:lvl>
  </w:abstractNum>
  <w:abstractNum w:abstractNumId="4">
    <w:nsid w:val="12E685FB"/>
    <w:multiLevelType w:val="hybridMultilevel"/>
    <w:lvl w:ilvl="0">
      <w:lvlJc w:val="left"/>
      <w:lvlText w:val="(%1)"/>
      <w:numFmt w:val="decimal"/>
      <w:start w:val="1"/>
    </w:lvl>
  </w:abstractNum>
  <w:abstractNum w:abstractNumId="5">
    <w:nsid w:val="70C6A529"/>
    <w:multiLevelType w:val="hybridMultilevel"/>
    <w:lvl w:ilvl="0">
      <w:lvlJc w:val="left"/>
      <w:lvlText w:val="%1."/>
      <w:numFmt w:val="decimal"/>
      <w:start w:val="1"/>
    </w:lvl>
  </w:abstractNum>
  <w:abstractNum w:abstractNumId="6">
    <w:nsid w:val="520EEDD1"/>
    <w:multiLevelType w:val="hybridMultilevel"/>
    <w:lvl w:ilvl="0">
      <w:lvlJc w:val="left"/>
      <w:lvlText w:val="(%1)"/>
      <w:numFmt w:val="lowerRoman"/>
      <w:start w:val="1"/>
    </w:lvl>
  </w:abstractNum>
  <w:abstractNum w:abstractNumId="7">
    <w:nsid w:val="374A3FE6"/>
    <w:multiLevelType w:val="hybridMultilevel"/>
    <w:lvl w:ilvl="0">
      <w:lvlJc w:val="left"/>
      <w:lvlText w:val="1"/>
      <w:numFmt w:val="bullet"/>
      <w:start w:val="1"/>
    </w:lvl>
  </w:abstractNum>
  <w:abstractNum w:abstractNumId="8">
    <w:nsid w:val="4F4EF005"/>
    <w:multiLevelType w:val="hybridMultilevel"/>
    <w:lvl w:ilvl="0">
      <w:lvlJc w:val="left"/>
      <w:lvlText w:val="2"/>
      <w:numFmt w:val="bullet"/>
      <w:start w:val="1"/>
    </w:lvl>
  </w:abstractNum>
  <w:abstractNum w:abstractNumId="9">
    <w:nsid w:val="23F9C13C"/>
    <w:multiLevelType w:val="hybridMultilevel"/>
    <w:lvl w:ilvl="0">
      <w:lvlJc w:val="left"/>
      <w:lvlText w:val="(%1)"/>
      <w:numFmt w:val="lowerRoman"/>
      <w:start w:val="1"/>
    </w:lvl>
  </w:abstractNum>
  <w:abstractNum w:abstractNumId="10">
    <w:nsid w:val="649BB77C"/>
    <w:multiLevelType w:val="hybridMultilevel"/>
    <w:lvl w:ilvl="0">
      <w:lvlJc w:val="left"/>
      <w:lvlText w:val="(%1)"/>
      <w:numFmt w:val="decimal"/>
      <w:start w:val="1"/>
    </w:lvl>
  </w:abstractNum>
  <w:abstractNum w:abstractNumId="11">
    <w:nsid w:val="275AC794"/>
    <w:multiLevelType w:val="hybridMultilevel"/>
    <w:lvl w:ilvl="0">
      <w:lvlJc w:val="left"/>
      <w:lvlText w:val="(%1)"/>
      <w:numFmt w:val="lowerRoman"/>
      <w:start w:val="1"/>
    </w:lvl>
  </w:abstractNum>
  <w:abstractNum w:abstractNumId="12">
    <w:nsid w:val="39386575"/>
    <w:multiLevelType w:val="hybridMultilevel"/>
    <w:lvl w:ilvl="0">
      <w:lvlJc w:val="left"/>
      <w:lvlText w:val="(%1)"/>
      <w:numFmt w:val="decimal"/>
      <w:start w:val="1"/>
    </w:lvl>
  </w:abstractNum>
  <w:abstractNum w:abstractNumId="13">
    <w:nsid w:val="1CF10FD8"/>
    <w:multiLevelType w:val="hybridMultilevel"/>
    <w:lvl w:ilvl="0">
      <w:lvlJc w:val="left"/>
      <w:lvlText w:val="%1."/>
      <w:numFmt w:val="decimal"/>
      <w:start w:val="2"/>
    </w:lvl>
  </w:abstractNum>
  <w:abstractNum w:abstractNumId="14">
    <w:nsid w:val="180115BE"/>
    <w:multiLevelType w:val="hybridMultilevel"/>
    <w:lvl w:ilvl="0">
      <w:lvlJc w:val="left"/>
      <w:lvlText w:val="(%1)"/>
      <w:numFmt w:val="decimal"/>
      <w:start w:val="1"/>
    </w:lvl>
  </w:abstractNum>
  <w:abstractNum w:abstractNumId="15">
    <w:nsid w:val="235BA861"/>
    <w:multiLevelType w:val="hybridMultilevel"/>
    <w:lvl w:ilvl="0">
      <w:lvlJc w:val="left"/>
      <w:lvlText w:val="(%1)"/>
      <w:numFmt w:val="decimal"/>
      <w:start w:val="1"/>
    </w:lvl>
  </w:abstractNum>
  <w:abstractNum w:abstractNumId="16">
    <w:nsid w:val="47398C89"/>
    <w:multiLevelType w:val="hybridMultilevel"/>
    <w:lvl w:ilvl="0">
      <w:lvlJc w:val="left"/>
      <w:lvlText w:val="(%1)"/>
      <w:numFmt w:val="lowerRoman"/>
      <w:start w:val="1"/>
    </w:lvl>
  </w:abstractNum>
  <w:abstractNum w:abstractNumId="17">
    <w:nsid w:val="354FE9F9"/>
    <w:multiLevelType w:val="hybridMultilevel"/>
    <w:lvl w:ilvl="0">
      <w:lvlJc w:val="left"/>
      <w:lvlText w:val="(%1)"/>
      <w:numFmt w:val="lowerRoman"/>
      <w:start w:val="1"/>
    </w:lvl>
  </w:abstractNum>
  <w:abstractNum w:abstractNumId="18">
    <w:nsid w:val="15B5AF5C"/>
    <w:multiLevelType w:val="hybridMultilevel"/>
    <w:lvl w:ilvl="0">
      <w:lvlJc w:val="left"/>
      <w:lvlText w:val="(%1)"/>
      <w:numFmt w:val="lowerRoman"/>
      <w:start w:val="1"/>
    </w:lvl>
  </w:abstractNum>
  <w:abstractNum w:abstractNumId="19">
    <w:nsid w:val="741226BB"/>
    <w:multiLevelType w:val="hybridMultilevel"/>
    <w:lvl w:ilvl="0">
      <w:lvlJc w:val="left"/>
      <w:lvlText w:val="3"/>
      <w:numFmt w:val="bullet"/>
      <w:start w:val="1"/>
    </w:lvl>
  </w:abstractNum>
  <w:abstractNum w:abstractNumId="20">
    <w:nsid w:val="D34B6A8"/>
    <w:multiLevelType w:val="hybridMultilevel"/>
    <w:lvl w:ilvl="0">
      <w:lvlJc w:val="left"/>
      <w:lvlText w:val="(%1)"/>
      <w:numFmt w:val="decimal"/>
      <w:start w:val="1"/>
    </w:lvl>
  </w:abstractNum>
  <w:abstractNum w:abstractNumId="21">
    <w:nsid w:val="10233C99"/>
    <w:multiLevelType w:val="hybridMultilevel"/>
    <w:lvl w:ilvl="0">
      <w:lvlJc w:val="left"/>
      <w:lvlText w:val="(%1)"/>
      <w:numFmt w:val="lowerRoman"/>
      <w:start w:val="1"/>
    </w:lvl>
  </w:abstractNum>
  <w:abstractNum w:abstractNumId="22">
    <w:nsid w:val="3F6AB60F"/>
    <w:multiLevelType w:val="hybridMultilevel"/>
    <w:lvl w:ilvl="0">
      <w:lvlJc w:val="left"/>
      <w:lvlText w:val="4"/>
      <w:numFmt w:val="bullet"/>
      <w:start w:val="1"/>
    </w:lvl>
  </w:abstractNum>
  <w:abstractNum w:abstractNumId="23">
    <w:nsid w:val="61574095"/>
    <w:multiLevelType w:val="hybridMultilevel"/>
    <w:lvl w:ilvl="0">
      <w:lvlJc w:val="left"/>
      <w:lvlText w:val="(%1)"/>
      <w:numFmt w:val="lowerRoman"/>
      <w:start w:val="1"/>
    </w:lvl>
  </w:abstractNum>
  <w:abstractNum w:abstractNumId="24">
    <w:nsid w:val="7E0C57B1"/>
    <w:multiLevelType w:val="hybridMultilevel"/>
    <w:lvl w:ilvl="0">
      <w:lvlJc w:val="left"/>
      <w:lvlText w:val="%1."/>
      <w:numFmt w:val="decimal"/>
      <w:start w:val="3"/>
    </w:lvl>
  </w:abstractNum>
  <w:abstractNum w:abstractNumId="25">
    <w:nsid w:val="77AE35EB"/>
    <w:multiLevelType w:val="hybridMultilevel"/>
    <w:lvl w:ilvl="0">
      <w:lvlJc w:val="left"/>
      <w:lvlText w:val="(%1)"/>
      <w:numFmt w:val="decimal"/>
      <w:start w:val="1"/>
    </w:lvl>
  </w:abstractNum>
  <w:abstractNum w:abstractNumId="26">
    <w:nsid w:val="579BE4F1"/>
    <w:multiLevelType w:val="hybridMultilevel"/>
    <w:lvl w:ilvl="0">
      <w:lvlJc w:val="left"/>
      <w:lvlText w:val="(%1)"/>
      <w:numFmt w:val="lowerRoman"/>
      <w:start w:val="1"/>
    </w:lvl>
  </w:abstractNum>
  <w:abstractNum w:abstractNumId="27">
    <w:nsid w:val="310C50B3"/>
    <w:multiLevelType w:val="hybridMultilevel"/>
    <w:lvl w:ilvl="0">
      <w:lvlJc w:val="left"/>
      <w:lvlText w:val="(%1)"/>
      <w:numFmt w:val="lowerRoman"/>
      <w:start w:val="1"/>
    </w:lvl>
  </w:abstractNum>
  <w:abstractNum w:abstractNumId="28">
    <w:nsid w:val="5FF87E05"/>
    <w:multiLevelType w:val="hybridMultilevel"/>
    <w:lvl w:ilvl="0">
      <w:lvlJc w:val="left"/>
      <w:lvlText w:val="(%1)"/>
      <w:numFmt w:val="lowerRoman"/>
      <w:start w:val="2"/>
    </w:lvl>
  </w:abstractNum>
  <w:abstractNum w:abstractNumId="29">
    <w:nsid w:val="2F305DEF"/>
    <w:multiLevelType w:val="hybridMultilevel"/>
    <w:lvl w:ilvl="0">
      <w:lvlJc w:val="left"/>
      <w:lvlText w:val="(%1)"/>
      <w:numFmt w:val="decimal"/>
      <w:start w:val="1"/>
    </w:lvl>
  </w:abstractNum>
  <w:abstractNum w:abstractNumId="30">
    <w:nsid w:val="25A70BF7"/>
    <w:multiLevelType w:val="hybridMultilevel"/>
    <w:lvl w:ilvl="0">
      <w:lvlJc w:val="left"/>
      <w:lvlText w:val="(%1)"/>
      <w:numFmt w:val="lowerRoman"/>
      <w:start w:val="1"/>
    </w:lvl>
  </w:abstractNum>
  <w:abstractNum w:abstractNumId="31">
    <w:nsid w:val="1DBABF00"/>
    <w:multiLevelType w:val="hybridMultilevel"/>
    <w:lvl w:ilvl="0">
      <w:lvlJc w:val="left"/>
      <w:lvlText w:val="(%1)"/>
      <w:numFmt w:val="lowerRoman"/>
      <w:start w:val="1"/>
    </w:lvl>
  </w:abstractNum>
  <w:abstractNum w:abstractNumId="32">
    <w:nsid w:val="4AD084E9"/>
    <w:multiLevelType w:val="hybridMultilevel"/>
    <w:lvl w:ilvl="0">
      <w:lvlJc w:val="left"/>
      <w:lvlText w:val="(%1)"/>
      <w:numFmt w:val="lowerRoman"/>
      <w:start w:val="1"/>
    </w:lvl>
  </w:abstractNum>
  <w:abstractNum w:abstractNumId="33">
    <w:nsid w:val="1F48EAA1"/>
    <w:multiLevelType w:val="hybridMultilevel"/>
    <w:lvl w:ilvl="0">
      <w:lvlJc w:val="left"/>
      <w:lvlText w:val="(%1)"/>
      <w:numFmt w:val="lowerRoman"/>
      <w:start w:val="2"/>
    </w:lvl>
  </w:abstractNum>
  <w:abstractNum w:abstractNumId="34">
    <w:nsid w:val="1381823A"/>
    <w:multiLevelType w:val="hybridMultilevel"/>
    <w:lvl w:ilvl="0">
      <w:lvlJc w:val="left"/>
      <w:lvlText w:val="(%1)"/>
      <w:numFmt w:val="lowerRoman"/>
      <w:start w:val="3"/>
    </w:lvl>
  </w:abstractNum>
  <w:abstractNum w:abstractNumId="35">
    <w:nsid w:val="5DB70AE5"/>
    <w:multiLevelType w:val="hybridMultilevel"/>
    <w:lvl w:ilvl="0">
      <w:lvlJc w:val="left"/>
      <w:lvlText w:val="(%1)"/>
      <w:numFmt w:val="lowerRoman"/>
      <w:start w:val="4"/>
    </w:lvl>
  </w:abstractNum>
  <w:abstractNum w:abstractNumId="36">
    <w:nsid w:val="100F8FCA"/>
    <w:multiLevelType w:val="hybridMultilevel"/>
    <w:lvl w:ilvl="0">
      <w:lvlJc w:val="left"/>
      <w:lvlText w:val="(%1)"/>
      <w:numFmt w:val="lowerRoman"/>
      <w:start w:val="4"/>
    </w:lvl>
  </w:abstractNum>
  <w:abstractNum w:abstractNumId="37">
    <w:nsid w:val="6590700B"/>
    <w:multiLevelType w:val="hybridMultilevel"/>
    <w:lvl w:ilvl="0">
      <w:lvlJc w:val="left"/>
      <w:lvlText w:val="(%1)"/>
      <w:numFmt w:val="lowerRoman"/>
      <w:start w:val="4"/>
    </w:lvl>
  </w:abstractNum>
  <w:abstractNum w:abstractNumId="38">
    <w:nsid w:val="15014ACB"/>
    <w:multiLevelType w:val="hybridMultilevel"/>
    <w:lvl w:ilvl="0">
      <w:lvlJc w:val="left"/>
      <w:lvlText w:val="(%1)"/>
      <w:numFmt w:val="lowerRoman"/>
      <w:start w:val="7"/>
    </w:lvl>
  </w:abstractNum>
  <w:abstractNum w:abstractNumId="39">
    <w:nsid w:val="5F5E7FD0"/>
    <w:multiLevelType w:val="hybridMultilevel"/>
    <w:lvl w:ilvl="0">
      <w:lvlJc w:val="left"/>
      <w:lvlText w:val="(%1)"/>
      <w:numFmt w:val="lowerRoman"/>
      <w:start w:val="8"/>
    </w:lvl>
  </w:abstractNum>
  <w:abstractNum w:abstractNumId="40">
    <w:nsid w:val="98A3148"/>
    <w:multiLevelType w:val="hybridMultilevel"/>
    <w:lvl w:ilvl="0">
      <w:lvlJc w:val="left"/>
      <w:lvlText w:val="%1."/>
      <w:numFmt w:val="decimal"/>
      <w:start w:val="4"/>
    </w:lvl>
  </w:abstractNum>
  <w:abstractNum w:abstractNumId="41">
    <w:nsid w:val="799D0247"/>
    <w:multiLevelType w:val="hybridMultilevel"/>
    <w:lvl w:ilvl="0">
      <w:lvlJc w:val="left"/>
      <w:lvlText w:val="(%1)"/>
      <w:numFmt w:val="decimal"/>
      <w:start w:val="1"/>
    </w:lvl>
  </w:abstractNum>
  <w:abstractNum w:abstractNumId="42">
    <w:nsid w:val="6B94764"/>
    <w:multiLevelType w:val="hybridMultilevel"/>
    <w:lvl w:ilvl="0">
      <w:lvlJc w:val="left"/>
      <w:lvlText w:val="%1"/>
      <w:numFmt w:val="lowerRoman"/>
      <w:start w:val="1"/>
    </w:lvl>
    <w:lvl w:ilvl="1">
      <w:lvlJc w:val="left"/>
      <w:lvlText w:val="(%2)"/>
      <w:numFmt w:val="lowerRoman"/>
      <w:start w:val="1"/>
    </w:lvl>
  </w:abstractNum>
  <w:abstractNum w:abstractNumId="43">
    <w:nsid w:val="42C296BD"/>
    <w:multiLevelType w:val="hybridMultilevel"/>
    <w:lvl w:ilvl="0">
      <w:lvlJc w:val="left"/>
      <w:lvlText w:val="(%1)"/>
      <w:numFmt w:val="lowerRoman"/>
      <w:start w:val="1"/>
    </w:lvl>
    <w:lvl w:ilvl="1">
      <w:lvlJc w:val="left"/>
      <w:lvlText w:val="%2"/>
      <w:numFmt w:val="lowerRoman"/>
      <w:start w:val="1"/>
    </w:lvl>
  </w:abstractNum>
  <w:abstractNum w:abstractNumId="44">
    <w:nsid w:val="168E121F"/>
    <w:multiLevelType w:val="hybridMultilevel"/>
    <w:lvl w:ilvl="0">
      <w:lvlJc w:val="left"/>
      <w:lvlText w:val="(%1)"/>
      <w:numFmt w:val="lowerRoman"/>
      <w:start w:val="1"/>
    </w:lvl>
  </w:abstractNum>
  <w:abstractNum w:abstractNumId="45">
    <w:nsid w:val="1EBA5D23"/>
    <w:multiLevelType w:val="hybridMultilevel"/>
    <w:lvl w:ilvl="0">
      <w:lvlJc w:val="left"/>
      <w:lvlText w:val="(%1)"/>
      <w:numFmt w:val="decimal"/>
      <w:start w:val="1"/>
    </w:lvl>
  </w:abstractNum>
  <w:abstractNum w:abstractNumId="46">
    <w:nsid w:val="661E3F1E"/>
    <w:multiLevelType w:val="hybridMultilevel"/>
    <w:lvl w:ilvl="0">
      <w:lvlJc w:val="left"/>
      <w:lvlText w:val="(%1)"/>
      <w:numFmt w:val="lowerRoman"/>
      <w:start w:val="1"/>
    </w:lvl>
  </w:abstractNum>
  <w:abstractNum w:abstractNumId="47">
    <w:nsid w:val="5DC79EA8"/>
    <w:multiLevelType w:val="hybridMultilevel"/>
    <w:lvl w:ilvl="0">
      <w:lvlJc w:val="left"/>
      <w:lvlText w:val="(%1)"/>
      <w:numFmt w:val="decimal"/>
      <w:start w:val="1"/>
    </w:lvl>
  </w:abstractNum>
  <w:abstractNum w:abstractNumId="48">
    <w:nsid w:val="540A471C"/>
    <w:multiLevelType w:val="hybridMultilevel"/>
    <w:lvl w:ilvl="0">
      <w:lvlJc w:val="left"/>
      <w:lvlText w:val="5"/>
      <w:numFmt w:val="bullet"/>
      <w:start w:val="1"/>
    </w:lvl>
  </w:abstractNum>
  <w:abstractNum w:abstractNumId="49">
    <w:nsid w:val="7BD3EE7B"/>
    <w:multiLevelType w:val="hybridMultilevel"/>
    <w:lvl w:ilvl="0">
      <w:lvlJc w:val="left"/>
      <w:lvlText w:val="%1."/>
      <w:numFmt w:val="decimal"/>
      <w:start w:val="5"/>
    </w:lvl>
  </w:abstractNum>
  <w:abstractNum w:abstractNumId="50">
    <w:nsid w:val="51D9C564"/>
    <w:multiLevelType w:val="hybridMultilevel"/>
    <w:lvl w:ilvl="0">
      <w:lvlJc w:val="left"/>
      <w:lvlText w:val="(%1)"/>
      <w:numFmt w:val="decimal"/>
      <w:start w:val="1"/>
    </w:lvl>
  </w:abstractNum>
  <w:abstractNum w:abstractNumId="51">
    <w:nsid w:val="613EFDC5"/>
    <w:multiLevelType w:val="hybridMultilevel"/>
    <w:lvl w:ilvl="0">
      <w:lvlJc w:val="left"/>
      <w:lvlText w:val="(%1)"/>
      <w:numFmt w:val="lowerRoman"/>
      <w:start w:val="1"/>
    </w:lvl>
  </w:abstractNum>
  <w:abstractNum w:abstractNumId="52">
    <w:nsid w:val="BF72B14"/>
    <w:multiLevelType w:val="hybridMultilevel"/>
    <w:lvl w:ilvl="0">
      <w:lvlJc w:val="left"/>
      <w:lvlText w:val="(%1)"/>
      <w:numFmt w:val="lowerRoman"/>
      <w:start w:val="1"/>
    </w:lvl>
  </w:abstractNum>
  <w:abstractNum w:abstractNumId="53">
    <w:nsid w:val="11447B73"/>
    <w:multiLevelType w:val="hybridMultilevel"/>
    <w:lvl w:ilvl="0">
      <w:lvlJc w:val="left"/>
      <w:lvlText w:val="*"/>
      <w:numFmt w:val="bullet"/>
      <w:start w:val="1"/>
    </w:lvl>
  </w:abstractNum>
  <w:abstractNum w:abstractNumId="54">
    <w:nsid w:val="42963E5A"/>
    <w:multiLevelType w:val="hybridMultilevel"/>
    <w:lvl w:ilvl="0">
      <w:lvlJc w:val="left"/>
      <w:lvlText w:val="(%1)"/>
      <w:numFmt w:val="decimal"/>
      <w:start w:val="1"/>
    </w:lvl>
  </w:abstractNum>
  <w:abstractNum w:abstractNumId="55">
    <w:nsid w:val="A0382C5"/>
    <w:multiLevelType w:val="hybridMultilevel"/>
    <w:lvl w:ilvl="0">
      <w:lvlJc w:val="left"/>
      <w:lvlText w:val="(%1)"/>
      <w:numFmt w:val="lowerRoman"/>
      <w:start w:val="1"/>
    </w:lvl>
  </w:abstractNum>
  <w:abstractNum w:abstractNumId="56">
    <w:nsid w:val="8F2B15E"/>
    <w:multiLevelType w:val="hybridMultilevel"/>
    <w:lvl w:ilvl="0">
      <w:lvlJc w:val="left"/>
      <w:lvlText w:val="(%1)"/>
      <w:numFmt w:val="lowerRoman"/>
      <w:start w:val="1"/>
    </w:lvl>
  </w:abstractNum>
  <w:abstractNum w:abstractNumId="57">
    <w:nsid w:val="1A32234B"/>
    <w:multiLevelType w:val="hybridMultilevel"/>
    <w:lvl w:ilvl="0">
      <w:lvlJc w:val="left"/>
      <w:lvlText w:val="%1."/>
      <w:numFmt w:val="decimal"/>
      <w:start w:val="6"/>
    </w:lvl>
  </w:abstractNum>
  <w:abstractNum w:abstractNumId="58">
    <w:nsid w:val="3B0FD379"/>
    <w:multiLevelType w:val="hybridMultilevel"/>
    <w:lvl w:ilvl="0">
      <w:lvlJc w:val="left"/>
      <w:lvlText w:val="6"/>
      <w:numFmt w:val="bullet"/>
      <w:start w:val="1"/>
    </w:lvl>
  </w:abstractNum>
  <w:abstractNum w:abstractNumId="59">
    <w:nsid w:val="68EB2F63"/>
    <w:multiLevelType w:val="hybridMultilevel"/>
    <w:lvl w:ilvl="0">
      <w:lvlJc w:val="left"/>
      <w:lvlText w:val="%1."/>
      <w:numFmt w:val="decimal"/>
      <w:start w:val="7"/>
    </w:lvl>
  </w:abstractNum>
  <w:abstractNum w:abstractNumId="60">
    <w:nsid w:val="4962813B"/>
    <w:multiLevelType w:val="hybridMultilevel"/>
    <w:lvl w:ilvl="0">
      <w:lvlJc w:val="left"/>
      <w:lvlText w:val="(%1)"/>
      <w:numFmt w:val="decimal"/>
      <w:start w:val="1"/>
    </w:lvl>
  </w:abstractNum>
  <w:abstractNum w:abstractNumId="61">
    <w:nsid w:val="60B6DF70"/>
    <w:multiLevelType w:val="hybridMultilevel"/>
    <w:lvl w:ilvl="0">
      <w:lvlJc w:val="left"/>
      <w:lvlText w:val="(%1)"/>
      <w:numFmt w:val="lowerRoman"/>
      <w:start w:val="1"/>
    </w:lvl>
  </w:abstractNum>
  <w:abstractNum w:abstractNumId="62">
    <w:nsid w:val="6A5EE64"/>
    <w:multiLevelType w:val="hybridMultilevel"/>
    <w:lvl w:ilvl="0">
      <w:lvlJc w:val="left"/>
      <w:lvlText w:val="(%1)"/>
      <w:numFmt w:val="decimal"/>
      <w:start w:val="1"/>
    </w:lvl>
  </w:abstractNum>
  <w:abstractNum w:abstractNumId="63">
    <w:nsid w:val="14330624"/>
    <w:multiLevelType w:val="hybridMultilevel"/>
    <w:lvl w:ilvl="0">
      <w:lvlJc w:val="left"/>
      <w:lvlText w:val="(%1)"/>
      <w:numFmt w:val="lowerRoman"/>
      <w:start w:val="1"/>
    </w:lvl>
  </w:abstractNum>
  <w:abstractNum w:abstractNumId="64">
    <w:nsid w:val="7FFFCA11"/>
    <w:multiLevelType w:val="hybridMultilevel"/>
    <w:lvl w:ilvl="0">
      <w:lvlJc w:val="left"/>
      <w:lvlText w:val="(%1)"/>
      <w:numFmt w:val="decimal"/>
      <w:start w:val="1"/>
    </w:lvl>
  </w:abstractNum>
  <w:abstractNum w:abstractNumId="65">
    <w:nsid w:val="1A27709E"/>
    <w:multiLevelType w:val="hybridMultilevel"/>
    <w:lvl w:ilvl="0">
      <w:lvlJc w:val="left"/>
      <w:lvlText w:val="(%1)"/>
      <w:numFmt w:val="decimal"/>
      <w:start w:val="1"/>
    </w:lvl>
  </w:abstractNum>
  <w:abstractNum w:abstractNumId="66">
    <w:nsid w:val="71EA1109"/>
    <w:multiLevelType w:val="hybridMultilevel"/>
    <w:lvl w:ilvl="0">
      <w:lvlJc w:val="left"/>
      <w:lvlText w:val="(+)"/>
      <w:numFmt w:val="bullet"/>
      <w:start w:val="1"/>
    </w:lvl>
  </w:abstractNum>
  <w:abstractNum w:abstractNumId="67">
    <w:nsid w:val="100F59DC"/>
    <w:multiLevelType w:val="hybridMultilevel"/>
    <w:lvl w:ilvl="0">
      <w:lvlJc w:val="left"/>
      <w:lvlText w:val="(%1)"/>
      <w:numFmt w:val="decimal"/>
      <w:start w:val="1"/>
    </w:lvl>
  </w:abstractNum>
  <w:abstractNum w:abstractNumId="68">
    <w:nsid w:val="7FB7E0AA"/>
    <w:multiLevelType w:val="hybridMultilevel"/>
    <w:lvl w:ilvl="0">
      <w:lvlJc w:val="left"/>
      <w:lvlText w:val="(%1)"/>
      <w:numFmt w:val="decimal"/>
      <w:start w:val="1"/>
    </w:lvl>
  </w:abstractNum>
  <w:abstractNum w:abstractNumId="69">
    <w:nsid w:val="6EB5BD4"/>
    <w:multiLevelType w:val="hybridMultilevel"/>
    <w:lvl w:ilvl="0">
      <w:lvlJc w:val="left"/>
      <w:lvlText w:val="%1."/>
      <w:numFmt w:val="decimal"/>
      <w:start w:val="9"/>
    </w:lvl>
  </w:abstractNum>
  <w:abstractNum w:abstractNumId="70">
    <w:nsid w:val="6F6DD9AC"/>
    <w:multiLevelType w:val="hybridMultilevel"/>
    <w:lvl w:ilvl="0">
      <w:lvlJc w:val="left"/>
      <w:lvlText w:val="(%1)"/>
      <w:numFmt w:val="decimal"/>
      <w:start w:val="1"/>
    </w:lvl>
  </w:abstractNum>
  <w:abstractNum w:abstractNumId="71">
    <w:nsid w:val="94211F2"/>
    <w:multiLevelType w:val="hybridMultilevel"/>
    <w:lvl w:ilvl="0">
      <w:lvlJc w:val="left"/>
      <w:lvlText w:val="(%1)"/>
      <w:numFmt w:val="decimal"/>
      <w:start w:val="1"/>
    </w:lvl>
  </w:abstractNum>
  <w:abstractNum w:abstractNumId="72">
    <w:nsid w:val="885E1B"/>
    <w:multiLevelType w:val="hybridMultilevel"/>
    <w:lvl w:ilvl="0">
      <w:lvlJc w:val="left"/>
      <w:lvlText w:val="(%1)"/>
      <w:numFmt w:val="lowerRoman"/>
      <w:start w:val="1"/>
    </w:lvl>
  </w:abstractNum>
  <w:abstractNum w:abstractNumId="73">
    <w:nsid w:val="76272110"/>
    <w:multiLevelType w:val="hybridMultilevel"/>
    <w:lvl w:ilvl="0">
      <w:lvlJc w:val="left"/>
      <w:lvlText w:val="7"/>
      <w:numFmt w:val="bullet"/>
      <w:start w:val="1"/>
    </w:lvl>
  </w:abstractNum>
  <w:abstractNum w:abstractNumId="74">
    <w:nsid w:val="4C04A8AF"/>
    <w:multiLevelType w:val="hybridMultilevel"/>
    <w:lvl w:ilvl="0">
      <w:lvlJc w:val="left"/>
      <w:lvlText w:val="(%1)"/>
      <w:numFmt w:val="lowerRoman"/>
      <w:start w:val="3"/>
    </w:lvl>
  </w:abstractNum>
  <w:abstractNum w:abstractNumId="75">
    <w:nsid w:val="1716703B"/>
    <w:multiLevelType w:val="hybridMultilevel"/>
    <w:lvl w:ilvl="0">
      <w:lvlJc w:val="left"/>
      <w:lvlText w:val="(%1)"/>
      <w:numFmt w:val="decimal"/>
      <w:start w:val="1"/>
    </w:lvl>
  </w:abstractNum>
  <w:abstractNum w:abstractNumId="76">
    <w:nsid w:val="14E17E33"/>
    <w:multiLevelType w:val="hybridMultilevel"/>
    <w:lvl w:ilvl="0">
      <w:lvlJc w:val="left"/>
      <w:lvlText w:val="(%1)"/>
      <w:numFmt w:val="decimal"/>
      <w:start w:val="1"/>
    </w:lvl>
  </w:abstractNum>
  <w:abstractNum w:abstractNumId="77">
    <w:nsid w:val="3222E7CD"/>
    <w:multiLevelType w:val="hybridMultilevel"/>
    <w:lvl w:ilvl="0">
      <w:lvlJc w:val="left"/>
      <w:lvlText w:val="(%1)"/>
      <w:numFmt w:val="lowerRoman"/>
      <w:start w:val="1"/>
    </w:lvl>
    <w:lvl w:ilvl="1">
      <w:lvlJc w:val="left"/>
      <w:lvlText w:val="§"/>
      <w:numFmt w:val="bullet"/>
      <w:start w:val="1"/>
    </w:lvl>
  </w:abstractNum>
  <w:abstractNum w:abstractNumId="78">
    <w:nsid w:val="74DE0EE3"/>
    <w:multiLevelType w:val="hybridMultilevel"/>
    <w:lvl w:ilvl="0">
      <w:lvlJc w:val="left"/>
      <w:lvlText w:val="(%1)"/>
      <w:numFmt w:val="lowerRoman"/>
      <w:start w:val="2"/>
    </w:lvl>
    <w:lvl w:ilvl="1">
      <w:lvlJc w:val="left"/>
      <w:lvlText w:val="§"/>
      <w:numFmt w:val="bullet"/>
      <w:start w:val="1"/>
    </w:lvl>
  </w:abstractNum>
  <w:abstractNum w:abstractNumId="79">
    <w:nsid w:val="68EBC550"/>
    <w:multiLevelType w:val="hybridMultilevel"/>
    <w:lvl w:ilvl="0">
      <w:lvlJc w:val="left"/>
      <w:lvlText w:val="§"/>
      <w:numFmt w:val="bullet"/>
      <w:start w:val="1"/>
    </w:lvl>
    <w:lvl w:ilvl="1">
      <w:lvlJc w:val="left"/>
      <w:lvlText w:val="(%2)"/>
      <w:numFmt w:val="lowerRoman"/>
      <w:start w:val="1"/>
    </w:lvl>
  </w:abstractNum>
  <w:abstractNum w:abstractNumId="80">
    <w:nsid w:val="2DF6D648"/>
    <w:multiLevelType w:val="hybridMultilevel"/>
    <w:lvl w:ilvl="0">
      <w:lvlJc w:val="left"/>
      <w:lvlText w:val="8"/>
      <w:numFmt w:val="bullet"/>
      <w:start w:val="1"/>
    </w:lvl>
  </w:abstractNum>
  <w:abstractNum w:abstractNumId="81">
    <w:nsid w:val="46B7D447"/>
    <w:multiLevelType w:val="hybridMultilevel"/>
    <w:lvl w:ilvl="0">
      <w:lvlJc w:val="left"/>
      <w:lvlText w:val="9"/>
      <w:numFmt w:val="bullet"/>
      <w:start w:val="1"/>
    </w:lvl>
  </w:abstractNum>
  <w:abstractNum w:abstractNumId="82">
    <w:nsid w:val="4A2AC315"/>
    <w:multiLevelType w:val="hybridMultilevel"/>
    <w:lvl w:ilvl="0">
      <w:lvlJc w:val="left"/>
      <w:lvlText w:val="%1"/>
      <w:numFmt w:val="decimal"/>
      <w:start w:val="10"/>
    </w:lvl>
  </w:abstractNum>
  <w:abstractNum w:abstractNumId="83">
    <w:nsid w:val="39EE015C"/>
    <w:multiLevelType w:val="hybridMultilevel"/>
    <w:lvl w:ilvl="0">
      <w:lvlJc w:val="left"/>
      <w:lvlText w:val="%1."/>
      <w:numFmt w:val="decimal"/>
      <w:start w:val="11"/>
    </w:lvl>
  </w:abstractNum>
  <w:abstractNum w:abstractNumId="84">
    <w:nsid w:val="57FC4FBB"/>
    <w:multiLevelType w:val="hybridMultilevel"/>
    <w:lvl w:ilvl="0">
      <w:lvlJc w:val="left"/>
      <w:lvlText w:val="(%1)"/>
      <w:numFmt w:val="decimal"/>
      <w:start w:val="1"/>
    </w:lvl>
  </w:abstractNum>
  <w:abstractNum w:abstractNumId="85">
    <w:nsid w:val="CC1016F"/>
    <w:multiLevelType w:val="hybridMultilevel"/>
    <w:lvl w:ilvl="0">
      <w:lvlJc w:val="left"/>
      <w:lvlText w:val="(%1)"/>
      <w:numFmt w:val="decimal"/>
      <w:start w:val="1"/>
    </w:lvl>
  </w:abstractNum>
  <w:abstractNum w:abstractNumId="86">
    <w:nsid w:val="43F18422"/>
    <w:multiLevelType w:val="hybridMultilevel"/>
    <w:lvl w:ilvl="0">
      <w:lvlJc w:val="left"/>
      <w:lvlText w:val="(%1)"/>
      <w:numFmt w:val="decimal"/>
      <w:start w:val="1"/>
    </w:lvl>
  </w:abstractNum>
  <w:abstractNum w:abstractNumId="87">
    <w:nsid w:val="60EF0119"/>
    <w:multiLevelType w:val="hybridMultilevel"/>
    <w:lvl w:ilvl="0">
      <w:lvlJc w:val="left"/>
      <w:lvlText w:val="(%1)"/>
      <w:numFmt w:val="decimal"/>
      <w:start w:val="1"/>
    </w:lvl>
  </w:abstractNum>
  <w:abstractNum w:abstractNumId="88">
    <w:nsid w:val="26F324BA"/>
    <w:multiLevelType w:val="hybridMultilevel"/>
    <w:lvl w:ilvl="0">
      <w:lvlJc w:val="left"/>
      <w:lvlText w:val="(%1)"/>
      <w:numFmt w:val="decimal"/>
      <w:start w:val="1"/>
    </w:lvl>
  </w:abstractNum>
  <w:abstractNum w:abstractNumId="89">
    <w:nsid w:val="7F01579B"/>
    <w:multiLevelType w:val="hybridMultilevel"/>
    <w:lvl w:ilvl="0">
      <w:lvlJc w:val="left"/>
      <w:lvlText w:val="(%1)"/>
      <w:numFmt w:val="decimal"/>
      <w:start w:val="1"/>
    </w:lvl>
  </w:abstractNum>
  <w:abstractNum w:abstractNumId="90">
    <w:nsid w:val="49DA307D"/>
    <w:multiLevelType w:val="hybridMultilevel"/>
    <w:lvl w:ilvl="0">
      <w:lvlJc w:val="left"/>
      <w:lvlText w:val="(%1)"/>
      <w:numFmt w:val="decimal"/>
      <w:start w:val="1"/>
    </w:lvl>
  </w:abstractNum>
  <w:abstractNum w:abstractNumId="91">
    <w:nsid w:val="7055A5F5"/>
    <w:multiLevelType w:val="hybridMultilevel"/>
    <w:lvl w:ilvl="0">
      <w:lvlJc w:val="left"/>
      <w:lvlText w:val="(%1)"/>
      <w:numFmt w:val="decimal"/>
      <w:start w:val="1"/>
    </w:lvl>
  </w:abstractNum>
  <w:abstractNum w:abstractNumId="92">
    <w:nsid w:val="5FB8370B"/>
    <w:multiLevelType w:val="hybridMultilevel"/>
    <w:lvl w:ilvl="0">
      <w:lvlJc w:val="left"/>
      <w:lvlText w:val="(%1)"/>
      <w:numFmt w:val="lowerRoman"/>
      <w:start w:val="1"/>
    </w:lvl>
  </w:abstractNum>
  <w:abstractNum w:abstractNumId="93">
    <w:nsid w:val="50801EE1"/>
    <w:multiLevelType w:val="hybridMultilevel"/>
    <w:lvl w:ilvl="0">
      <w:lvlJc w:val="left"/>
      <w:lvlText w:val="(%1)"/>
      <w:numFmt w:val="decimal"/>
      <w:start w:val="1"/>
    </w:lvl>
  </w:abstractNum>
  <w:abstractNum w:abstractNumId="94">
    <w:nsid w:val="488AC1A"/>
    <w:multiLevelType w:val="hybridMultilevel"/>
    <w:lvl w:ilvl="0">
      <w:lvlJc w:val="left"/>
      <w:lvlText w:val="(%1)"/>
      <w:numFmt w:val="decimal"/>
      <w:start w:val="1"/>
    </w:lvl>
  </w:abstractNum>
  <w:abstractNum w:abstractNumId="95">
    <w:nsid w:val="5FB8011C"/>
    <w:multiLevelType w:val="hybridMultilevel"/>
    <w:lvl w:ilvl="0">
      <w:lvlJc w:val="left"/>
      <w:lvlText w:val="·"/>
      <w:numFmt w:val="bullet"/>
      <w:start w:val="1"/>
    </w:lvl>
  </w:abstractNum>
  <w:abstractNum w:abstractNumId="96">
    <w:nsid w:val="6AA78F7F"/>
    <w:multiLevelType w:val="hybridMultilevel"/>
    <w:lvl w:ilvl="0">
      <w:lvlJc w:val="left"/>
      <w:lvlText w:val="·"/>
      <w:numFmt w:val="bullet"/>
      <w:start w:val="1"/>
    </w:lvl>
  </w:abstractNum>
  <w:abstractNum w:abstractNumId="97">
    <w:nsid w:val="7672BD23"/>
    <w:multiLevelType w:val="hybridMultilevel"/>
    <w:lvl w:ilvl="0">
      <w:lvlJc w:val="left"/>
      <w:lvlText w:val="·"/>
      <w:numFmt w:val="bullet"/>
      <w:start w:val="1"/>
    </w:lvl>
  </w:abstractNum>
  <w:abstractNum w:abstractNumId="98">
    <w:nsid w:val="6FC75AF8"/>
    <w:multiLevelType w:val="hybridMultilevel"/>
    <w:lvl w:ilvl="0">
      <w:lvlJc w:val="left"/>
      <w:lvlText w:val="-"/>
      <w:numFmt w:val="bullet"/>
      <w:start w:val="1"/>
    </w:lvl>
  </w:abstractNum>
  <w:abstractNum w:abstractNumId="99">
    <w:nsid w:val="6A5F70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2019-12-06T06:13:41Z</dcterms:created>
  <dcterms:modified xsi:type="dcterms:W3CDTF">2019-12-06T06:13:41Z</dcterms:modified>
</cp:coreProperties>
</file>