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August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26" w:right="1440" w:bottom="1440" w:gutter="0" w:footer="0" w:header="0"/>
        </w:sectPr>
      </w:pPr>
    </w:p>
    <w:bookmarkStart w:id="1" w:name="page2"/>
    <w:bookmarkEnd w:id="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August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notify you as a Material Event that in its session held on August 26, 2021, the Company’s Board of Directors agreed unanimously the distribution of dividend according to the Bye-Laws of the Company and considering a total net income attained in the financial year 2020 of S/346,894,407.43 and additional funds from non-restricted special reserves.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Board of Directors approved to pay its shareholders a cash dividend of S/471,911,585.00 for a total of 94,382,317 outstanding shares, which is equivalent to S/5.0000 per share.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cash dividend will be paid out on October 7, 2021, without withholding tax at source, to shareholders of record on September 15, 2021. The dividend will be paid in US Dollars using the weighted exchange rate registered by the Superintendency of Banks, Insurance and Pension Funds (Superintendencia de Banca, Seguros y AFP) for the transactions at the close of business on October 5, 2021. The US Dollar dividend amount will be rounded up to four decimals.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26,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2021-08-27T05:18:31Z</dcterms:created>
  <dcterms:modified xsi:type="dcterms:W3CDTF">2021-08-27T05:18:31Z</dcterms:modified>
</cp:coreProperties>
</file>