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2858770</wp:posOffset>
            </wp:positionH>
            <wp:positionV relativeFrom="paragraph">
              <wp:posOffset>130810</wp:posOffset>
            </wp:positionV>
            <wp:extent cx="153924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392"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6-K</w:t>
      </w:r>
    </w:p>
    <w:p>
      <w:pPr>
        <w:spacing w:after="0" w:line="246"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Report of Foreign Private Issuer</w:t>
      </w:r>
    </w:p>
    <w:p>
      <w:pPr>
        <w:spacing w:after="0" w:line="1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Pursuant to Rule 13a-16 or 15d-16 of the</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Securities Exchange Act of 1934</w:t>
      </w:r>
    </w:p>
    <w:p>
      <w:pPr>
        <w:spacing w:after="0" w:line="213"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For the month of April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2858770</wp:posOffset>
            </wp:positionH>
            <wp:positionV relativeFrom="paragraph">
              <wp:posOffset>149860</wp:posOffset>
            </wp:positionV>
            <wp:extent cx="153924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CREDICORP LTD.</w:t>
      </w:r>
    </w:p>
    <w:p>
      <w:pPr>
        <w:spacing w:after="0" w:line="54" w:lineRule="exact"/>
        <w:rPr>
          <w:sz w:val="24"/>
          <w:szCs w:val="24"/>
          <w:color w:val="auto"/>
        </w:rPr>
      </w:pPr>
    </w:p>
    <w:p>
      <w:pPr>
        <w:jc w:val="center"/>
        <w:ind w:right="-13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Clarendon House</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i w:val="1"/>
          <w:iCs w:val="1"/>
          <w:color w:val="auto"/>
        </w:rPr>
        <w:t>(Address of principal executive office)</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25" w:lineRule="exact"/>
        <w:rPr>
          <w:sz w:val="24"/>
          <w:szCs w:val="24"/>
          <w:color w:val="auto"/>
        </w:rPr>
      </w:pPr>
    </w:p>
    <w:p>
      <w:pPr>
        <w:ind w:left="3660"/>
        <w:spacing w:after="0"/>
        <w:tabs>
          <w:tab w:leader="none" w:pos="5100" w:val="left"/>
          <w:tab w:leader="none" w:pos="5940" w:val="left"/>
          <w:tab w:leader="none" w:pos="738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Form 40-F</w:t>
      </w:r>
      <w:r>
        <w:rPr>
          <w:sz w:val="20"/>
          <w:szCs w:val="20"/>
          <w:color w:val="auto"/>
        </w:rPr>
        <w:tab/>
      </w:r>
      <w:r>
        <w:rPr>
          <w:rFonts w:ascii="Arial" w:cs="Arial" w:eastAsia="Arial" w:hAnsi="Arial"/>
          <w:sz w:val="14"/>
          <w:szCs w:val="14"/>
          <w:color w:val="auto"/>
        </w:rPr>
        <w:t>o</w:t>
      </w:r>
    </w:p>
    <w:p>
      <w:pPr>
        <w:spacing w:after="0" w:line="225"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86" w:lineRule="exact"/>
        <w:rPr>
          <w:sz w:val="24"/>
          <w:szCs w:val="24"/>
          <w:color w:val="auto"/>
        </w:rPr>
      </w:pPr>
    </w:p>
    <w:p>
      <w:pPr>
        <w:ind w:left="3660"/>
        <w:spacing w:after="0"/>
        <w:tabs>
          <w:tab w:leader="none" w:pos="5100" w:val="left"/>
          <w:tab w:leader="none" w:pos="5940" w:val="left"/>
          <w:tab w:leader="none" w:pos="738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00"/>
          </w:cols>
          <w:pgMar w:left="240" w:top="476" w:right="359" w:bottom="1440" w:gutter="0" w:footer="0" w:header="0"/>
        </w:sectPr>
      </w:pPr>
    </w:p>
    <w:bookmarkStart w:id="1" w:name="page2"/>
    <w:bookmarkEnd w:id="1"/>
    <w:p>
      <w:pPr>
        <w:spacing w:after="0" w:line="1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5586095</wp:posOffset>
            </wp:positionH>
            <wp:positionV relativeFrom="page">
              <wp:posOffset>380365</wp:posOffset>
            </wp:positionV>
            <wp:extent cx="1818005" cy="4889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818005" cy="4889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April 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 2007</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Comisión Nacional Supervisora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 Empresas y Valores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CONASEV</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Reference: Material Event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Our company, Credicorp Ltd. (NYSE: BAP) in accordance with article 28 of the Peruvian Capital Markets Law and the CONASEV Resolution for Material Events and Reserved Information and Other Communications N° 107-2002-EF/94.10.0 as modified by CONASEV Resolution number 009-2003-EF/94.10, hereby notify you of the following “Material Event”: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In the Annual Shareholder’s Meeting, held on March 30, 2007 the following agreements were approved with the required quorum being represented:</w:t>
      </w:r>
    </w:p>
    <w:p>
      <w:pPr>
        <w:spacing w:after="0" w:line="248" w:lineRule="exact"/>
        <w:rPr>
          <w:sz w:val="20"/>
          <w:szCs w:val="20"/>
          <w:color w:val="auto"/>
        </w:rPr>
      </w:pPr>
    </w:p>
    <w:p>
      <w:pPr>
        <w:ind w:left="1160" w:hanging="571"/>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2006 Annual Report</w:t>
      </w:r>
    </w:p>
    <w:p>
      <w:pPr>
        <w:spacing w:after="0" w:line="157" w:lineRule="exact"/>
        <w:rPr>
          <w:rFonts w:ascii="Arial" w:cs="Arial" w:eastAsia="Arial" w:hAnsi="Arial"/>
          <w:sz w:val="18"/>
          <w:szCs w:val="18"/>
          <w:color w:val="auto"/>
        </w:rPr>
      </w:pPr>
    </w:p>
    <w:p>
      <w:pPr>
        <w:ind w:left="1160" w:right="40" w:hanging="571"/>
        <w:spacing w:after="0" w:line="332" w:lineRule="auto"/>
        <w:tabs>
          <w:tab w:leader="none" w:pos="11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consolidated financial statements, including the Balance Sheet and the Profit and Loss Statement for the year ended on December 31, 2006, in addition to the Report of the external auditors, Medina, Zaldívar, Paredes y Asociados a member firm of Ernst &amp; Young.</w:t>
      </w:r>
    </w:p>
    <w:p>
      <w:pPr>
        <w:spacing w:after="0" w:line="140" w:lineRule="exact"/>
        <w:rPr>
          <w:sz w:val="20"/>
          <w:szCs w:val="20"/>
          <w:color w:val="auto"/>
        </w:rPr>
      </w:pPr>
    </w:p>
    <w:p>
      <w:pPr>
        <w:ind w:right="100"/>
        <w:spacing w:after="0" w:line="201" w:lineRule="auto"/>
        <w:rPr>
          <w:sz w:val="20"/>
          <w:szCs w:val="20"/>
          <w:color w:val="auto"/>
        </w:rPr>
      </w:pPr>
      <w:r>
        <w:rPr>
          <w:rFonts w:ascii="Arial" w:cs="Arial" w:eastAsia="Arial" w:hAnsi="Arial"/>
          <w:sz w:val="18"/>
          <w:szCs w:val="18"/>
          <w:color w:val="auto"/>
        </w:rPr>
        <w:t>With our letter dated March 1</w:t>
      </w:r>
      <w:r>
        <w:rPr>
          <w:rFonts w:ascii="Arial" w:cs="Arial" w:eastAsia="Arial" w:hAnsi="Arial"/>
          <w:sz w:val="29"/>
          <w:szCs w:val="29"/>
          <w:color w:val="auto"/>
          <w:vertAlign w:val="superscript"/>
        </w:rPr>
        <w:t>st</w:t>
      </w:r>
      <w:r>
        <w:rPr>
          <w:rFonts w:ascii="Arial" w:cs="Arial" w:eastAsia="Arial" w:hAnsi="Arial"/>
          <w:sz w:val="18"/>
          <w:szCs w:val="18"/>
          <w:color w:val="auto"/>
        </w:rPr>
        <w:t>, 2007, as Material Event, we informed you that the Board of Directors of Credicorp, according to the faculties established in the By-law of the company, approved in its session held on February 28</w:t>
      </w:r>
      <w:r>
        <w:rPr>
          <w:rFonts w:ascii="Arial" w:cs="Arial" w:eastAsia="Arial" w:hAnsi="Arial"/>
          <w:sz w:val="29"/>
          <w:szCs w:val="29"/>
          <w:color w:val="auto"/>
          <w:vertAlign w:val="superscript"/>
        </w:rPr>
        <w:t>th</w:t>
      </w:r>
      <w:r>
        <w:rPr>
          <w:rFonts w:ascii="Arial" w:cs="Arial" w:eastAsia="Arial" w:hAnsi="Arial"/>
          <w:sz w:val="18"/>
          <w:szCs w:val="18"/>
          <w:color w:val="auto"/>
        </w:rPr>
        <w:t>, 2007, the distribution of 2006 earnings and the total amount of cash dividend with its corresponding record date and payable date.</w:t>
      </w:r>
    </w:p>
    <w:p>
      <w:pPr>
        <w:spacing w:after="0" w:line="21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that opportunity, we also included a copy of the Annual Report and the Report of the external auditors for the year 2006, as well as the Additional Information Document, according to CONASEV Resolution N° 107-2002-EF/94.10.0. These documents have not been modified.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Fernando Palao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20"/>
          </w:cols>
          <w:pgMar w:left="240" w:top="144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ind w:firstLine="439"/>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April 3, 2007</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CREDICORP LTD.</w:t>
      </w:r>
    </w:p>
    <w:p>
      <w:pPr>
        <w:spacing w:after="0" w:line="306"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Guillermo Castillo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80010</wp:posOffset>
            </wp:positionV>
            <wp:extent cx="25469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13"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Guillermo Castillo</w:t>
      </w:r>
    </w:p>
    <w:p>
      <w:pPr>
        <w:spacing w:after="0" w:line="21"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 w:name="page4"/>
    <w:bookmarkEnd w:id="3"/>
    <w:p>
      <w:pPr>
        <w:jc w:val="center"/>
        <w:ind w:right="-119"/>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This press release may contain forward-looking statements. These statements are statements that are not historical facts, and are based on management’s current view and estimates of future economic circumstances, industry conditions, company performance and financial results. The words “anticipates”, “believes”, “estimates”, “expects”, “plans” and similar expressions, as they relate to the company, are intended to identify forward-looking statements. Statements regarding the declaration or payment of dividends, the implementation of principal operating and financing strategies and capital expenditure plans, the direction of future operations and the factors or trends affecting financial condition, liquidity or results of operations are examples of forward-looking statements. Such statements reflect the current views of management and are subject to a number of risks and uncertainties. There is no guarantee that the expected events, trends or results will actually occur. The statements are based on many assumptions and factors, including general economic and market conditions, industry conditions, and operating factors. Any changes in such assumptions or factors could cause actual results to differ materially from current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sectPr>
      <w:pgSz w:w="11900" w:h="16838" w:orient="portrait"/>
      <w:cols w:equalWidth="0" w:num="1">
        <w:col w:w="11300"/>
      </w:cols>
      <w:pgMar w:left="240" w:top="58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2019-12-14T06:45:12Z</dcterms:created>
  <dcterms:modified xsi:type="dcterms:W3CDTF">2019-12-14T06:45:12Z</dcterms:modified>
</cp:coreProperties>
</file>