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Pursuant to Rule 13a-16 or 15d-16 under the</w:t>
      </w:r>
    </w:p>
    <w:p>
      <w:pPr>
        <w:jc w:val="center"/>
        <w:ind w:right="-159"/>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 the month of March 2022</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Commission File Number: 001-14014</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our subsidiary</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Banco de Credito del Peru:</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Calle Centenario 156</w:t>
      </w:r>
    </w:p>
    <w:p>
      <w:pPr>
        <w:jc w:val="center"/>
        <w:ind w:right="-159"/>
        <w:spacing w:after="0" w:line="231" w:lineRule="auto"/>
        <w:rPr>
          <w:sz w:val="20"/>
          <w:szCs w:val="20"/>
          <w:color w:val="auto"/>
        </w:rPr>
      </w:pPr>
      <w:r>
        <w:rPr>
          <w:rFonts w:ascii="Times New Roman" w:cs="Times New Roman" w:eastAsia="Times New Roman" w:hAnsi="Times New Roman"/>
          <w:sz w:val="22"/>
          <w:szCs w:val="22"/>
          <w:b w:val="1"/>
          <w:bCs w:val="1"/>
          <w:color w:val="auto"/>
        </w:rPr>
        <w:t>La Molina</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 xml:space="preserve">Lima 12, Peru </w:t>
      </w:r>
      <w:r>
        <w:rPr>
          <w:rFonts w:ascii="Times New Roman" w:cs="Times New Roman" w:eastAsia="Times New Roman" w:hAnsi="Times New Roman"/>
          <w:sz w:val="22"/>
          <w:szCs w:val="22"/>
          <w:color w:val="auto"/>
        </w:rPr>
        <w:t>(Address of principal executive office)</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5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262890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356870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80" w:top="52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394335"/>
                    </a:xfrm>
                    <a:prstGeom prst="rect">
                      <a:avLst/>
                    </a:prstGeom>
                    <a:noFill/>
                  </pic:spPr>
                </pic:pic>
              </a:graphicData>
            </a:graphic>
          </wp:anchor>
        </w:drawing>
        <w:t>March 29,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 SEC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MATERIAL EVENT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Credicorp Ltd. (“Credicorp”) notifies you, as a Material Event, that in its session held on March 29, 2022, the Annual General Meeting of Credicorp agreed to appoint Gaveglio Aparicio y Asociados Sociedad Civil de Responsabilidad Limitada, representatives of PricewaterhouseCoopers in Peru, as external auditors of Credicorp and its subsidiaries for the financial year 2022, and to delegate the power to set and approve fees for such audit services to the Board of Directors (for further delegation to the Audit Committee thereof).</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in this Form 6-K (including any exhibit or appendix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53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Date: March 29, 2022</w:t>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2022-03-30T15:38:14Z</dcterms:created>
  <dcterms:modified xsi:type="dcterms:W3CDTF">2022-03-30T15:38:14Z</dcterms:modified>
</cp:coreProperties>
</file>