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2016</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4316730</wp:posOffset>
            </wp:positionH>
            <wp:positionV relativeFrom="page">
              <wp:posOffset>603250</wp:posOffset>
            </wp:positionV>
            <wp:extent cx="143192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83210"/>
                    </a:xfrm>
                    <a:prstGeom prst="rect">
                      <a:avLst/>
                    </a:prstGeom>
                    <a:noFill/>
                  </pic:spPr>
                </pic:pic>
              </a:graphicData>
            </a:graphic>
          </wp:anchor>
        </w:drawing>
      </w:r>
    </w:p>
    <w:p>
      <w:pPr>
        <w:jc w:val="both"/>
        <w:ind w:left="2800"/>
        <w:spacing w:after="0" w:line="313" w:lineRule="auto"/>
        <w:rPr>
          <w:sz w:val="20"/>
          <w:szCs w:val="20"/>
          <w:color w:val="auto"/>
        </w:rPr>
      </w:pPr>
      <w:r>
        <w:rPr>
          <w:rFonts w:ascii="Arial" w:cs="Arial" w:eastAsia="Arial" w:hAnsi="Arial"/>
          <w:sz w:val="17"/>
          <w:szCs w:val="17"/>
          <w:b w:val="1"/>
          <w:bCs w:val="1"/>
          <w:color w:val="auto"/>
        </w:rPr>
        <w:t xml:space="preserve">Lima, Peru, August 08, 2016 </w:t>
      </w:r>
      <w:r>
        <w:rPr>
          <w:rFonts w:ascii="Arial" w:cs="Arial" w:eastAsia="Arial" w:hAnsi="Arial"/>
          <w:sz w:val="17"/>
          <w:szCs w:val="17"/>
          <w:color w:val="auto"/>
        </w:rPr>
        <w:t>– Credicorp (NYSE:BAP) announced its unaudited results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2016. These results are consolidated and reported in Soles according to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-311785</wp:posOffset>
            </wp:positionV>
            <wp:extent cx="2058035" cy="766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7666990"/>
                    </a:xfrm>
                    <a:prstGeom prst="rect">
                      <a:avLst/>
                    </a:prstGeom>
                    <a:noFill/>
                  </pic:spPr>
                </pic:pic>
              </a:graphicData>
            </a:graphic>
          </wp:anchor>
        </w:drawing>
      </w:r>
    </w:p>
    <w:p>
      <w:pPr>
        <w:spacing w:after="0" w:line="118" w:lineRule="exact"/>
        <w:rPr>
          <w:sz w:val="20"/>
          <w:szCs w:val="20"/>
          <w:color w:val="auto"/>
        </w:rPr>
      </w:pPr>
    </w:p>
    <w:p>
      <w:pPr>
        <w:jc w:val="center"/>
        <w:ind w:left="4000"/>
        <w:spacing w:after="0"/>
        <w:rPr>
          <w:sz w:val="20"/>
          <w:szCs w:val="20"/>
          <w:color w:val="auto"/>
        </w:rPr>
      </w:pPr>
      <w:r>
        <w:rPr>
          <w:rFonts w:ascii="Arial" w:cs="Arial" w:eastAsia="Arial" w:hAnsi="Arial"/>
          <w:sz w:val="18"/>
          <w:szCs w:val="18"/>
          <w:b w:val="1"/>
          <w:bCs w:val="1"/>
          <w:color w:val="auto"/>
        </w:rPr>
        <w:t>Second Quarter Results 2016</w:t>
      </w:r>
    </w:p>
    <w:p>
      <w:pPr>
        <w:spacing w:after="0" w:line="229" w:lineRule="exact"/>
        <w:rPr>
          <w:sz w:val="20"/>
          <w:szCs w:val="20"/>
          <w:color w:val="auto"/>
        </w:rPr>
      </w:pPr>
    </w:p>
    <w:p>
      <w:pPr>
        <w:jc w:val="both"/>
        <w:ind w:left="2800"/>
        <w:spacing w:after="0" w:line="255" w:lineRule="auto"/>
        <w:rPr>
          <w:sz w:val="20"/>
          <w:szCs w:val="20"/>
          <w:color w:val="auto"/>
        </w:rPr>
      </w:pPr>
      <w:r>
        <w:rPr>
          <w:rFonts w:ascii="Arial" w:cs="Arial" w:eastAsia="Arial" w:hAnsi="Arial"/>
          <w:sz w:val="18"/>
          <w:szCs w:val="18"/>
          <w:color w:val="auto"/>
        </w:rPr>
        <w:t>Credicorp reported net income of S/897.4 million in 2Q16, which represented ROAE and ROAA of 20.4% and 2.2%, respectively. After deducting S/105.2 million of non-recurring income, the result translates into net recurring income of S/769.0 million, which reflects a -6.6% QoQ reduction and a +3.2% YoY increase. Recurring ROAE and ROAA reached the levels of 18.0% and 1.9%, respectively. In accumulated terms, recurring ROAE and ROAA in 1H16 were 19.0% and 2.0%, respectively.</w:t>
      </w:r>
    </w:p>
    <w:p>
      <w:pPr>
        <w:spacing w:after="0" w:line="19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results in 2Q16 were driven by:</w:t>
      </w:r>
    </w:p>
    <w:p>
      <w:pPr>
        <w:spacing w:after="0" w:line="225" w:lineRule="exact"/>
        <w:rPr>
          <w:sz w:val="20"/>
          <w:szCs w:val="20"/>
          <w:color w:val="auto"/>
        </w:rPr>
      </w:pPr>
    </w:p>
    <w:p>
      <w:pPr>
        <w:jc w:val="both"/>
        <w:ind w:left="2800" w:firstLine="6"/>
        <w:spacing w:after="0" w:line="273" w:lineRule="auto"/>
        <w:tabs>
          <w:tab w:leader="none" w:pos="3164"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Quarter-end loan balances only increased +0.2% QoQ, which led to YoY expansion of +9.8%. Growth rates, adjusted for exchange rates, were situated at +0.6% QoQ and +8.8% YoY. The fact that loans posted virtually no growth this quarter was due mainly to contractions in loans in Middle-Market segment, followed by ASB and SME-Business segment, and to a lesser extent to Consumer loans. The aforementioned was offset by growth in loans in Corporate Banking, Mibanco and BCP Bolivia, and to a lesser extent in SME-Pyme, Credit Cards and Mortgage.</w:t>
      </w:r>
    </w:p>
    <w:p>
      <w:pPr>
        <w:spacing w:after="0" w:line="178" w:lineRule="exact"/>
        <w:rPr>
          <w:rFonts w:ascii="Arial" w:cs="Arial" w:eastAsia="Arial" w:hAnsi="Arial"/>
          <w:sz w:val="17"/>
          <w:szCs w:val="17"/>
          <w:color w:val="auto"/>
        </w:rPr>
      </w:pPr>
    </w:p>
    <w:p>
      <w:pPr>
        <w:jc w:val="both"/>
        <w:ind w:left="2800" w:firstLine="6"/>
        <w:spacing w:after="0" w:line="297" w:lineRule="auto"/>
        <w:tabs>
          <w:tab w:leader="none" w:pos="3097"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Despite negligible loan growth, interest income on loans increased +0.8% QoQ. Nevertheless, net interest income fell -2.2% QoQ due to lower gains on forwards and dividend income from investments. The YoY evolution, which does not include the effect of seasonality on loans, reflects a +3.6% increase in NII due to higher interest income on loans that offset both higher interest expenses and lower gains on forwards. In accumulated terms, NII increased +6.3% with regard to 1H15’s level.</w:t>
      </w:r>
    </w:p>
    <w:p>
      <w:pPr>
        <w:spacing w:after="0" w:line="158" w:lineRule="exact"/>
        <w:rPr>
          <w:rFonts w:ascii="Arial" w:cs="Arial" w:eastAsia="Arial" w:hAnsi="Arial"/>
          <w:sz w:val="16"/>
          <w:szCs w:val="16"/>
          <w:color w:val="auto"/>
        </w:rPr>
      </w:pPr>
    </w:p>
    <w:p>
      <w:pPr>
        <w:jc w:val="both"/>
        <w:ind w:left="2800" w:firstLine="6"/>
        <w:spacing w:after="0" w:line="276" w:lineRule="auto"/>
        <w:tabs>
          <w:tab w:leader="none" w:pos="311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net interest margin (NIM) was situated at 5.19%, which represented a contraction of -14 bps QoQ and -51 bps YoY. A comparison of 1H16 vs. 1H15 reveals a decline of -39 bps. The main factors behind this pressure on NIM continue to be (i) the increase in interest expenses; (ii) the slowdown in loan growth, which continues to post somewhat higher growth in loans in low-margin businesses; and (iii) the strategy to improve the risk profile, which implies lower rates.</w:t>
      </w:r>
    </w:p>
    <w:p>
      <w:pPr>
        <w:spacing w:after="0" w:line="172" w:lineRule="exact"/>
        <w:rPr>
          <w:rFonts w:ascii="Arial" w:cs="Arial" w:eastAsia="Arial" w:hAnsi="Arial"/>
          <w:sz w:val="17"/>
          <w:szCs w:val="17"/>
          <w:color w:val="auto"/>
        </w:rPr>
      </w:pPr>
    </w:p>
    <w:p>
      <w:pPr>
        <w:jc w:val="both"/>
        <w:ind w:left="2800" w:firstLine="6"/>
        <w:spacing w:after="0" w:line="302" w:lineRule="auto"/>
        <w:tabs>
          <w:tab w:leader="none" w:pos="3232"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provisions for loan losses increased +6.8% QoQ and +12.1% YoY due to higher gross provisions and a decrease in recoveries and reversals. In this context, the cost of risk was situated at 2.11% that was +13 bps higher than 1Q16’s, which in turn represented the lowest level in the last 3 years. The YoY evolution posted an increase of only +4 bps above the cost of risk registered in 2Q15.</w:t>
      </w:r>
    </w:p>
    <w:p>
      <w:pPr>
        <w:spacing w:after="0" w:line="154" w:lineRule="exact"/>
        <w:rPr>
          <w:rFonts w:ascii="Arial" w:cs="Arial" w:eastAsia="Arial" w:hAnsi="Arial"/>
          <w:sz w:val="16"/>
          <w:szCs w:val="16"/>
          <w:color w:val="auto"/>
        </w:rPr>
      </w:pPr>
    </w:p>
    <w:p>
      <w:pPr>
        <w:jc w:val="both"/>
        <w:ind w:left="2800" w:firstLine="6"/>
        <w:spacing w:after="0" w:line="264" w:lineRule="auto"/>
        <w:tabs>
          <w:tab w:leader="none" w:pos="3083"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pressure on the margin and an increase in the cost of risk this quarter led to drops of -22 bps and -49 bps QoQ and YoY, respectively in the NIM after provisions. Accordingly, 1H16 posted a contraction in NIM after provisions of -22 bps.</w:t>
      </w:r>
    </w:p>
    <w:p>
      <w:pPr>
        <w:spacing w:after="0" w:line="181" w:lineRule="exact"/>
        <w:rPr>
          <w:rFonts w:ascii="Arial" w:cs="Arial" w:eastAsia="Arial" w:hAnsi="Arial"/>
          <w:sz w:val="18"/>
          <w:szCs w:val="18"/>
          <w:color w:val="auto"/>
        </w:rPr>
      </w:pPr>
    </w:p>
    <w:p>
      <w:pPr>
        <w:jc w:val="both"/>
        <w:ind w:left="2800" w:firstLine="6"/>
        <w:spacing w:after="0" w:line="273" w:lineRule="auto"/>
        <w:tabs>
          <w:tab w:leader="none" w:pos="3124"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Non-financial income increased +18.2% QoQ and +21.9% YoY. This was due primarily to gains on sales of securities, which were attributable to the sale of 50% of the investment in BCI. If we eliminate the effect of non-recurring income, non-financial income shows an increase of +4.8% QoQ and +8.0% YoY due to higher fee income and gains on foreign exchange transactions, which increased +1.8% and +7.2%, QoQ, and +4.5% and +5.2% YoY, respectively. In accumulated terms, non-financial income grew +2.8% with regard to 1H15’s level.</w:t>
      </w:r>
    </w:p>
    <w:p>
      <w:pPr>
        <w:spacing w:after="0" w:line="178" w:lineRule="exact"/>
        <w:rPr>
          <w:rFonts w:ascii="Arial" w:cs="Arial" w:eastAsia="Arial" w:hAnsi="Arial"/>
          <w:sz w:val="17"/>
          <w:szCs w:val="17"/>
          <w:color w:val="auto"/>
        </w:rPr>
      </w:pPr>
    </w:p>
    <w:p>
      <w:pPr>
        <w:jc w:val="both"/>
        <w:ind w:left="2800" w:firstLine="6"/>
        <w:spacing w:after="0" w:line="297" w:lineRule="auto"/>
        <w:tabs>
          <w:tab w:leader="none" w:pos="308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insurance underwriting result increased +13.3% QoQ due to a decrease in the acquisition cost in P&amp;C and life insurance lines, while the net earned premiums and claims remained at levels very similar to those posted in 1Q16. In YoY terms, the underwriting result increased +12.0% due to expansion in net earned premiums that offset the higher claims and acquisition cost. In this context, the combined ratio fell significantly to 88.8% and the loss ratio posted a very stable level of 57.6%.</w:t>
      </w:r>
    </w:p>
    <w:p>
      <w:pPr>
        <w:spacing w:after="0" w:line="158" w:lineRule="exact"/>
        <w:rPr>
          <w:rFonts w:ascii="Arial" w:cs="Arial" w:eastAsia="Arial" w:hAnsi="Arial"/>
          <w:sz w:val="16"/>
          <w:szCs w:val="16"/>
          <w:color w:val="auto"/>
        </w:rPr>
      </w:pPr>
    </w:p>
    <w:p>
      <w:pPr>
        <w:jc w:val="both"/>
        <w:ind w:left="2800" w:firstLine="6"/>
        <w:spacing w:after="0" w:line="259" w:lineRule="auto"/>
        <w:tabs>
          <w:tab w:leader="none" w:pos="309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was situated at 43.9%, which represented an increase of +170 bps QoQ. This increase reflects the effect of the seasonality of operating expenses, which register their lowest levels every 1Q. In YoY terms, the ratio fell -10 bps but still posted a slight increase of +10 bps in the 1H15 vs 1H16 comparison.</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40" w:type="dxa"/>
            <w:vAlign w:val="bottom"/>
            <w:gridSpan w:val="50"/>
          </w:tcPr>
          <w:p>
            <w:pPr>
              <w:spacing w:after="0"/>
              <w:rPr>
                <w:sz w:val="20"/>
                <w:szCs w:val="20"/>
                <w:color w:val="auto"/>
              </w:rPr>
            </w:pPr>
            <w:r>
              <w:rPr>
                <w:rFonts w:ascii="Arial" w:cs="Arial" w:eastAsia="Arial" w:hAnsi="Arial"/>
                <w:sz w:val="18"/>
                <w:szCs w:val="18"/>
                <w:b w:val="1"/>
                <w:bCs w:val="1"/>
                <w:color w:val="auto"/>
              </w:rPr>
              <w:t>Table of Contents</w:t>
            </w: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20" w:type="dxa"/>
            <w:vAlign w:val="bottom"/>
            <w:gridSpan w:val="4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Credicorp (NYSE: BAP): Second Quarter Results 2016</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20" w:type="dxa"/>
            <w:vAlign w:val="bottom"/>
            <w:tcBorders>
              <w:top w:val="single" w:sz="8" w:color="0000EE"/>
            </w:tcBorders>
            <w:gridSpan w:val="44"/>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4240" w:type="dxa"/>
            <w:vAlign w:val="bottom"/>
            <w:tcBorders>
              <w:top w:val="single" w:sz="8" w:color="CCEEFF"/>
            </w:tcBorders>
            <w:gridSpan w:val="4"/>
          </w:tcPr>
          <w:p>
            <w:pPr>
              <w:spacing w:after="0"/>
              <w:rPr>
                <w:sz w:val="15"/>
                <w:szCs w:val="15"/>
                <w:color w:val="auto"/>
              </w:rPr>
            </w:pPr>
          </w:p>
        </w:tc>
        <w:tc>
          <w:tcPr>
            <w:tcW w:w="3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i w:val="1"/>
                <w:iCs w:val="1"/>
                <w:color w:val="0000EE"/>
                <w:w w:val="91"/>
              </w:rPr>
            </w:pPr>
            <w:hyperlink w:anchor="page7">
              <w:r>
                <w:rPr>
                  <w:rFonts w:ascii="Arial" w:cs="Arial" w:eastAsia="Arial" w:hAnsi="Arial"/>
                  <w:sz w:val="18"/>
                  <w:szCs w:val="18"/>
                  <w:i w:val="1"/>
                  <w:iCs w:val="1"/>
                  <w:color w:val="0000EE"/>
                  <w:w w:val="91"/>
                </w:rPr>
                <w:t>Credicorp and subsidiaries</w:t>
              </w:r>
            </w:hyperlink>
          </w:p>
        </w:tc>
        <w:tc>
          <w:tcPr>
            <w:tcW w:w="6100" w:type="dxa"/>
            <w:vAlign w:val="bottom"/>
            <w:tcBorders>
              <w:bottom w:val="single" w:sz="8" w:color="CCEEFF"/>
            </w:tcBorders>
            <w:gridSpan w:val="17"/>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line="17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100" w:type="dxa"/>
            <w:vAlign w:val="bottom"/>
          </w:tcPr>
          <w:p>
            <w:pPr>
              <w:spacing w:after="0"/>
              <w:rPr>
                <w:sz w:val="15"/>
                <w:szCs w:val="15"/>
                <w:color w:val="auto"/>
              </w:rPr>
            </w:pPr>
          </w:p>
        </w:tc>
        <w:tc>
          <w:tcPr>
            <w:tcW w:w="7960" w:type="dxa"/>
            <w:vAlign w:val="bottom"/>
            <w:gridSpan w:val="47"/>
          </w:tcPr>
          <w:p>
            <w:pPr>
              <w:ind w:left="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Interest-earning assets (IEA)</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Evolution of IEA</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Credicorp Loans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EE"/>
            </w:tcBorders>
            <w:gridSpan w:val="39"/>
            <w:shd w:val="clear" w:color="auto" w:fill="CCEEFF"/>
          </w:tcPr>
          <w:p>
            <w:pPr>
              <w:spacing w:after="0" w:line="176" w:lineRule="exact"/>
              <w:rPr>
                <w:rFonts w:ascii="Arial" w:cs="Arial" w:eastAsia="Arial" w:hAnsi="Arial"/>
                <w:sz w:val="18"/>
                <w:szCs w:val="18"/>
                <w:i w:val="1"/>
                <w:iCs w:val="1"/>
                <w:color w:val="0000EE"/>
                <w:w w:val="89"/>
              </w:rPr>
            </w:pPr>
            <w:hyperlink w:anchor="page10">
              <w:r>
                <w:rPr>
                  <w:rFonts w:ascii="Arial" w:cs="Arial" w:eastAsia="Arial" w:hAnsi="Arial"/>
                  <w:sz w:val="18"/>
                  <w:szCs w:val="18"/>
                  <w:i w:val="1"/>
                  <w:iCs w:val="1"/>
                  <w:color w:val="0000EE"/>
                  <w:w w:val="89"/>
                </w:rPr>
                <w:t>1.</w:t>
              </w:r>
              <w:r>
                <w:rPr>
                  <w:rFonts w:ascii="Arial" w:cs="Arial" w:eastAsia="Arial" w:hAnsi="Arial"/>
                  <w:sz w:val="18"/>
                  <w:szCs w:val="18"/>
                  <w:i w:val="1"/>
                  <w:iCs w:val="1"/>
                  <w:u w:val="single" w:color="auto"/>
                  <w:color w:val="0000EE"/>
                  <w:w w:val="89"/>
                </w:rPr>
                <w:t>2.1</w:t>
              </w:r>
              <w:r>
                <w:rPr>
                  <w:rFonts w:ascii="Arial" w:cs="Arial" w:eastAsia="Arial" w:hAnsi="Arial"/>
                  <w:sz w:val="18"/>
                  <w:szCs w:val="18"/>
                  <w:i w:val="1"/>
                  <w:iCs w:val="1"/>
                  <w:color w:val="0000EE"/>
                  <w:w w:val="89"/>
                </w:rPr>
                <w:t xml:space="preserve">  Loan evolution by business segment</w:t>
              </w:r>
            </w:hyperlink>
          </w:p>
        </w:tc>
        <w:tc>
          <w:tcPr>
            <w:tcW w:w="4820" w:type="dxa"/>
            <w:vAlign w:val="bottom"/>
            <w:tcBorders>
              <w:bottom w:val="single" w:sz="8" w:color="CCEEFF"/>
            </w:tcBorders>
            <w:gridSpan w:val="7"/>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00" w:type="dxa"/>
            <w:vAlign w:val="bottom"/>
            <w:gridSpan w:val="46"/>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2.2</w:t>
              </w:r>
              <w:r>
                <w:rPr>
                  <w:rFonts w:ascii="Arial" w:cs="Arial" w:eastAsia="Arial" w:hAnsi="Arial"/>
                  <w:sz w:val="18"/>
                  <w:szCs w:val="18"/>
                  <w:i w:val="1"/>
                  <w:iCs w:val="1"/>
                  <w:color w:val="0000EE"/>
                </w:rPr>
                <w:t xml:space="preserve">  Evolution of dollarization by segment</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43"/>
            <w:shd w:val="clear" w:color="auto" w:fill="CCEEFF"/>
          </w:tcPr>
          <w:p>
            <w:pPr>
              <w:spacing w:after="0" w:line="176" w:lineRule="exact"/>
              <w:rPr>
                <w:rFonts w:ascii="Arial" w:cs="Arial" w:eastAsia="Arial" w:hAnsi="Arial"/>
                <w:sz w:val="18"/>
                <w:szCs w:val="18"/>
                <w:i w:val="1"/>
                <w:iCs w:val="1"/>
                <w:color w:val="0000EE"/>
                <w:w w:val="92"/>
              </w:rPr>
            </w:pPr>
            <w:hyperlink w:anchor="page13">
              <w:r>
                <w:rPr>
                  <w:rFonts w:ascii="Arial" w:cs="Arial" w:eastAsia="Arial" w:hAnsi="Arial"/>
                  <w:sz w:val="18"/>
                  <w:szCs w:val="18"/>
                  <w:i w:val="1"/>
                  <w:iCs w:val="1"/>
                  <w:color w:val="0000EE"/>
                  <w:w w:val="92"/>
                </w:rPr>
                <w:t>1.</w:t>
              </w:r>
              <w:r>
                <w:rPr>
                  <w:rFonts w:ascii="Arial" w:cs="Arial" w:eastAsia="Arial" w:hAnsi="Arial"/>
                  <w:sz w:val="18"/>
                  <w:szCs w:val="18"/>
                  <w:i w:val="1"/>
                  <w:iCs w:val="1"/>
                  <w:u w:val="single" w:color="auto"/>
                  <w:color w:val="0000EE"/>
                  <w:w w:val="92"/>
                </w:rPr>
                <w:t>2.3</w:t>
              </w:r>
              <w:r>
                <w:rPr>
                  <w:rFonts w:ascii="Arial" w:cs="Arial" w:eastAsia="Arial" w:hAnsi="Arial"/>
                  <w:sz w:val="18"/>
                  <w:szCs w:val="18"/>
                  <w:i w:val="1"/>
                  <w:iCs w:val="1"/>
                  <w:color w:val="0000EE"/>
                  <w:w w:val="92"/>
                </w:rPr>
                <w:t xml:space="preserve">  BCRP de-dollarization plan at BCP Stand-alone</w:t>
              </w:r>
            </w:hyperlink>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00" w:type="dxa"/>
            <w:vAlign w:val="bottom"/>
            <w:gridSpan w:val="46"/>
          </w:tcPr>
          <w:p>
            <w:pPr>
              <w:spacing w:after="0" w:line="17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2.4</w:t>
              </w:r>
              <w:r>
                <w:rPr>
                  <w:rFonts w:ascii="Arial" w:cs="Arial" w:eastAsia="Arial" w:hAnsi="Arial"/>
                  <w:sz w:val="18"/>
                  <w:szCs w:val="18"/>
                  <w:i w:val="1"/>
                  <w:iCs w:val="1"/>
                  <w:color w:val="0000EE"/>
                </w:rPr>
                <w:t xml:space="preserve">  Market share in loans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shd w:val="clear" w:color="auto" w:fill="CCEEFF"/>
          </w:tcPr>
          <w:p>
            <w:pPr>
              <w:spacing w:after="0" w:line="17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2.</w:t>
              </w:r>
            </w:hyperlink>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900" w:type="dxa"/>
            <w:vAlign w:val="bottom"/>
            <w:gridSpan w:val="46"/>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Funding Sources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Funding Structure</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i w:val="1"/>
                <w:iCs w:val="1"/>
                <w:color w:val="0000EE"/>
                <w:w w:val="91"/>
              </w:rPr>
            </w:pPr>
            <w:hyperlink w:anchor="page17">
              <w:r>
                <w:rPr>
                  <w:rFonts w:ascii="Arial" w:cs="Arial" w:eastAsia="Arial" w:hAnsi="Arial"/>
                  <w:sz w:val="18"/>
                  <w:szCs w:val="18"/>
                  <w:i w:val="1"/>
                  <w:iCs w:val="1"/>
                  <w:color w:val="0000EE"/>
                  <w:w w:val="91"/>
                </w:rPr>
                <w:t>2.</w:t>
              </w:r>
              <w:r>
                <w:rPr>
                  <w:rFonts w:ascii="Arial" w:cs="Arial" w:eastAsia="Arial" w:hAnsi="Arial"/>
                  <w:sz w:val="18"/>
                  <w:szCs w:val="18"/>
                  <w:i w:val="1"/>
                  <w:iCs w:val="1"/>
                  <w:u w:val="single" w:color="auto"/>
                  <w:color w:val="0000EE"/>
                  <w:w w:val="91"/>
                </w:rPr>
                <w:t>1.1</w:t>
              </w:r>
              <w:r>
                <w:rPr>
                  <w:rFonts w:ascii="Arial" w:cs="Arial" w:eastAsia="Arial" w:hAnsi="Arial"/>
                  <w:sz w:val="18"/>
                  <w:szCs w:val="18"/>
                  <w:i w:val="1"/>
                  <w:iCs w:val="1"/>
                  <w:color w:val="0000EE"/>
                  <w:w w:val="91"/>
                </w:rPr>
                <w:t xml:space="preserve">  Funding Structure by currency and tenure - BCP Stand-alone</w:t>
              </w:r>
            </w:hyperlink>
          </w:p>
        </w:tc>
        <w:tc>
          <w:tcPr>
            <w:tcW w:w="298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Deposits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900" w:type="dxa"/>
            <w:vAlign w:val="bottom"/>
            <w:gridSpan w:val="46"/>
            <w:shd w:val="clear" w:color="auto" w:fill="CCEEFF"/>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2.1</w:t>
              </w:r>
              <w:r>
                <w:rPr>
                  <w:rFonts w:ascii="Arial" w:cs="Arial" w:eastAsia="Arial" w:hAnsi="Arial"/>
                  <w:sz w:val="18"/>
                  <w:szCs w:val="18"/>
                  <w:i w:val="1"/>
                  <w:iCs w:val="1"/>
                  <w:color w:val="0000EE"/>
                </w:rPr>
                <w:t xml:space="preserve">  Deposit dollarization</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00" w:type="dxa"/>
            <w:vAlign w:val="bottom"/>
            <w:gridSpan w:val="46"/>
          </w:tcPr>
          <w:p>
            <w:pPr>
              <w:spacing w:after="0" w:line="176" w:lineRule="exact"/>
              <w:rPr>
                <w:rFonts w:ascii="Arial" w:cs="Arial" w:eastAsia="Arial" w:hAnsi="Arial"/>
                <w:sz w:val="18"/>
                <w:szCs w:val="18"/>
                <w:i w:val="1"/>
                <w:iCs w:val="1"/>
                <w:color w:val="0000EE"/>
              </w:rPr>
            </w:pPr>
            <w:hyperlink w:anchor="page19">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2.2</w:t>
              </w:r>
              <w:r>
                <w:rPr>
                  <w:rFonts w:ascii="Arial" w:cs="Arial" w:eastAsia="Arial" w:hAnsi="Arial"/>
                  <w:sz w:val="18"/>
                  <w:szCs w:val="18"/>
                  <w:i w:val="1"/>
                  <w:iCs w:val="1"/>
                  <w:color w:val="0000EE"/>
                </w:rPr>
                <w:t xml:space="preserve">  Market share in Deposits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Other funding sources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2.</w:t>
              </w:r>
              <w:r>
                <w:rPr>
                  <w:rFonts w:ascii="Arial" w:cs="Arial" w:eastAsia="Arial" w:hAnsi="Arial"/>
                  <w:sz w:val="18"/>
                  <w:szCs w:val="18"/>
                  <w:u w:val="single" w:color="auto"/>
                  <w:color w:val="0000EE"/>
                </w:rPr>
                <w:t>4</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Loan/Deposit (L/D)</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w:t>
              </w:r>
              <w:r>
                <w:rPr>
                  <w:rFonts w:ascii="Arial" w:cs="Arial" w:eastAsia="Arial" w:hAnsi="Arial"/>
                  <w:sz w:val="18"/>
                  <w:szCs w:val="18"/>
                  <w:u w:val="single" w:color="auto"/>
                  <w:color w:val="0000EE"/>
                </w:rPr>
                <w:t>5</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Funding Cost</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w:t>
              </w:r>
              <w:r>
                <w:rPr>
                  <w:rFonts w:ascii="Arial" w:cs="Arial" w:eastAsia="Arial" w:hAnsi="Arial"/>
                  <w:sz w:val="18"/>
                  <w:szCs w:val="18"/>
                  <w:u w:val="single" w:color="auto"/>
                  <w:color w:val="0000EE"/>
                </w:rPr>
                <w:t>6</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Mutual Funds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20" w:type="dxa"/>
            <w:vAlign w:val="bottom"/>
            <w:gridSpan w:val="4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3.   Portfolio quality and Provisions for loan losses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0000EE"/>
            </w:tcBorders>
            <w:gridSpan w:val="4"/>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3240" w:type="dxa"/>
            <w:vAlign w:val="bottom"/>
            <w:tcBorders>
              <w:top w:val="single" w:sz="8" w:color="0000EE"/>
            </w:tcBorders>
            <w:gridSpan w:val="40"/>
          </w:tcPr>
          <w:p>
            <w:pPr>
              <w:ind w:left="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Provisions for loan losses</w:t>
              </w:r>
            </w:hyperlink>
          </w:p>
        </w:tc>
        <w:tc>
          <w:tcPr>
            <w:tcW w:w="4500" w:type="dxa"/>
            <w:vAlign w:val="bottom"/>
            <w:tcBorders>
              <w:top w:val="single" w:sz="8" w:color="CCEEFF"/>
            </w:tcBorders>
            <w:gridSpan w:val="5"/>
          </w:tcPr>
          <w:p>
            <w:pPr>
              <w:spacing w:after="0"/>
              <w:rPr>
                <w:sz w:val="15"/>
                <w:szCs w:val="15"/>
                <w:color w:val="auto"/>
              </w:rPr>
            </w:pPr>
          </w:p>
        </w:tc>
        <w:tc>
          <w:tcPr>
            <w:tcW w:w="3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Portfolio Quality</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49"/>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4.   Net Interest Income (NII)</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Interest Income</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Interest Expenses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Net Interest Margin (NIM)</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line="17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5.</w:t>
              </w:r>
            </w:hyperlink>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gridSpan w:val="35"/>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Non-Financial Income</w:t>
              </w:r>
            </w:hyperlink>
          </w:p>
        </w:tc>
        <w:tc>
          <w:tcPr>
            <w:tcW w:w="5780" w:type="dxa"/>
            <w:vAlign w:val="bottom"/>
            <w:tcBorders>
              <w:top w:val="single" w:sz="8" w:color="CCEEFF"/>
            </w:tcBorders>
            <w:gridSpan w:val="11"/>
          </w:tcPr>
          <w:p>
            <w:pPr>
              <w:spacing w:after="0"/>
              <w:rPr>
                <w:sz w:val="15"/>
                <w:szCs w:val="15"/>
                <w:color w:val="auto"/>
              </w:rPr>
            </w:pPr>
          </w:p>
        </w:tc>
        <w:tc>
          <w:tcPr>
            <w:tcW w:w="3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Fee income</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6.</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00" w:type="dxa"/>
            <w:vAlign w:val="bottom"/>
            <w:gridSpan w:val="46"/>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Insurance underwriting result</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6.</w:t>
              </w:r>
              <w:r>
                <w:rPr>
                  <w:rFonts w:ascii="Arial" w:cs="Arial" w:eastAsia="Arial" w:hAnsi="Arial"/>
                  <w:sz w:val="18"/>
                  <w:szCs w:val="18"/>
                  <w:u w:val="single" w:color="auto"/>
                  <w:color w:val="0000EE"/>
                </w:rPr>
                <w:t>1</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Net earned premiums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6.</w:t>
              </w:r>
              <w:r>
                <w:rPr>
                  <w:rFonts w:ascii="Arial" w:cs="Arial" w:eastAsia="Arial" w:hAnsi="Arial"/>
                  <w:sz w:val="18"/>
                  <w:szCs w:val="18"/>
                  <w:u w:val="single" w:color="auto"/>
                  <w:color w:val="0000EE"/>
                </w:rPr>
                <w:t>2</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Net claims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6.</w:t>
              </w:r>
              <w:r>
                <w:rPr>
                  <w:rFonts w:ascii="Arial" w:cs="Arial" w:eastAsia="Arial" w:hAnsi="Arial"/>
                  <w:sz w:val="18"/>
                  <w:szCs w:val="18"/>
                  <w:u w:val="single" w:color="auto"/>
                  <w:color w:val="0000EE"/>
                </w:rPr>
                <w:t>3</w:t>
              </w:r>
            </w:hyperlink>
          </w:p>
        </w:tc>
        <w:tc>
          <w:tcPr>
            <w:tcW w:w="7740" w:type="dxa"/>
            <w:vAlign w:val="bottom"/>
            <w:gridSpan w:val="45"/>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Acquisition cost</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49"/>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7.   Operating expenses and efficiency</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8.</w:t>
              </w:r>
            </w:hyperlink>
          </w:p>
        </w:tc>
        <w:tc>
          <w:tcPr>
            <w:tcW w:w="100" w:type="dxa"/>
            <w:vAlign w:val="bottom"/>
            <w:tcBorders>
              <w:bottom w:val="single" w:sz="8" w:color="0000EE"/>
            </w:tcBorders>
            <w:shd w:val="clear" w:color="auto" w:fill="CCEEFF"/>
          </w:tcPr>
          <w:p>
            <w:pPr>
              <w:spacing w:after="0"/>
              <w:rPr>
                <w:sz w:val="17"/>
                <w:szCs w:val="17"/>
                <w:color w:val="auto"/>
              </w:rPr>
            </w:pPr>
          </w:p>
        </w:tc>
        <w:tc>
          <w:tcPr>
            <w:tcW w:w="60" w:type="dxa"/>
            <w:vAlign w:val="bottom"/>
            <w:tcBorders>
              <w:bottom w:val="single" w:sz="8" w:color="0000EE"/>
            </w:tcBorders>
            <w:shd w:val="clear" w:color="auto" w:fill="CCEEFF"/>
          </w:tcPr>
          <w:p>
            <w:pPr>
              <w:spacing w:after="0"/>
              <w:rPr>
                <w:sz w:val="17"/>
                <w:szCs w:val="17"/>
                <w:color w:val="auto"/>
              </w:rPr>
            </w:pPr>
          </w:p>
        </w:tc>
        <w:tc>
          <w:tcPr>
            <w:tcW w:w="14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Regulatory Capital</w:t>
              </w:r>
            </w:hyperlink>
          </w:p>
        </w:tc>
        <w:tc>
          <w:tcPr>
            <w:tcW w:w="6500" w:type="dxa"/>
            <w:vAlign w:val="bottom"/>
            <w:tcBorders>
              <w:bottom w:val="single" w:sz="8" w:color="CCEEFF"/>
            </w:tcBorders>
            <w:gridSpan w:val="30"/>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7740" w:type="dxa"/>
            <w:vAlign w:val="bottom"/>
            <w:gridSpan w:val="45"/>
          </w:tcPr>
          <w:p>
            <w:pPr>
              <w:ind w:left="4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Regulatory Capital –BAP</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8.</w:t>
              </w:r>
              <w:r>
                <w:rPr>
                  <w:rFonts w:ascii="Arial" w:cs="Arial" w:eastAsia="Arial" w:hAnsi="Arial"/>
                  <w:sz w:val="18"/>
                  <w:szCs w:val="18"/>
                  <w:u w:val="single" w:color="auto"/>
                  <w:color w:val="0000EE"/>
                </w:rPr>
                <w:t>2</w:t>
              </w:r>
            </w:hyperlink>
          </w:p>
        </w:tc>
        <w:tc>
          <w:tcPr>
            <w:tcW w:w="7740" w:type="dxa"/>
            <w:vAlign w:val="bottom"/>
            <w:gridSpan w:val="45"/>
            <w:shd w:val="clear" w:color="auto" w:fill="CCEEFF"/>
          </w:tcPr>
          <w:p>
            <w:pPr>
              <w:ind w:left="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Regulatory Capital –BCP Stand-alone based on Peru GAAP</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9.</w:t>
              </w:r>
            </w:hyperlink>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520" w:type="dxa"/>
            <w:vAlign w:val="bottom"/>
            <w:tcBorders>
              <w:top w:val="single" w:sz="8" w:color="0000EE"/>
            </w:tcBorders>
            <w:gridSpan w:val="44"/>
          </w:tcPr>
          <w:p>
            <w:pPr>
              <w:ind w:left="2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Distribution channels</w:t>
              </w:r>
            </w:hyperlink>
          </w:p>
        </w:tc>
        <w:tc>
          <w:tcPr>
            <w:tcW w:w="3380" w:type="dxa"/>
            <w:vAlign w:val="bottom"/>
            <w:tcBorders>
              <w:top w:val="single" w:sz="8" w:color="CCEEFF"/>
            </w:tcBorders>
            <w:gridSpan w:val="2"/>
          </w:tcPr>
          <w:p>
            <w:pPr>
              <w:spacing w:after="0"/>
              <w:rPr>
                <w:sz w:val="15"/>
                <w:szCs w:val="15"/>
                <w:color w:val="auto"/>
              </w:rPr>
            </w:pPr>
          </w:p>
        </w:tc>
        <w:tc>
          <w:tcPr>
            <w:tcW w:w="3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10.</w:t>
              </w:r>
            </w:hyperlink>
          </w:p>
        </w:tc>
        <w:tc>
          <w:tcPr>
            <w:tcW w:w="60" w:type="dxa"/>
            <w:vAlign w:val="bottom"/>
            <w:tcBorders>
              <w:bottom w:val="single" w:sz="8" w:color="0000EE"/>
            </w:tcBorders>
            <w:shd w:val="clear" w:color="auto" w:fill="CCEEFF"/>
          </w:tcPr>
          <w:p>
            <w:pPr>
              <w:spacing w:after="0"/>
              <w:rPr>
                <w:sz w:val="17"/>
                <w:szCs w:val="17"/>
                <w:color w:val="auto"/>
              </w:rPr>
            </w:pPr>
          </w:p>
        </w:tc>
        <w:tc>
          <w:tcPr>
            <w:tcW w:w="136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Economic outlook</w:t>
              </w:r>
            </w:hyperlink>
          </w:p>
        </w:tc>
        <w:tc>
          <w:tcPr>
            <w:tcW w:w="6540" w:type="dxa"/>
            <w:vAlign w:val="bottom"/>
            <w:tcBorders>
              <w:bottom w:val="single" w:sz="8" w:color="CCEEFF"/>
            </w:tcBorders>
            <w:gridSpan w:val="31"/>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gridSpan w:val="2"/>
          </w:tcPr>
          <w:p>
            <w:pPr>
              <w:spacing w:after="0" w:line="17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11.</w:t>
              </w:r>
            </w:hyperlink>
          </w:p>
        </w:tc>
        <w:tc>
          <w:tcPr>
            <w:tcW w:w="60" w:type="dxa"/>
            <w:vAlign w:val="bottom"/>
          </w:tcPr>
          <w:p>
            <w:pPr>
              <w:spacing w:after="0"/>
              <w:rPr>
                <w:sz w:val="15"/>
                <w:szCs w:val="15"/>
                <w:color w:val="auto"/>
              </w:rPr>
            </w:pPr>
          </w:p>
        </w:tc>
        <w:tc>
          <w:tcPr>
            <w:tcW w:w="7900" w:type="dxa"/>
            <w:vAlign w:val="bottom"/>
            <w:gridSpan w:val="46"/>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Appendix</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7740" w:type="dxa"/>
            <w:vAlign w:val="bottom"/>
            <w:gridSpan w:val="45"/>
            <w:shd w:val="clear" w:color="auto" w:fill="CCEEFF"/>
          </w:tcPr>
          <w:p>
            <w:pPr>
              <w:ind w:left="1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Credicorp</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2</w:t>
              </w:r>
            </w:hyperlink>
          </w:p>
        </w:tc>
        <w:tc>
          <w:tcPr>
            <w:tcW w:w="7740" w:type="dxa"/>
            <w:vAlign w:val="bottom"/>
            <w:gridSpan w:val="45"/>
          </w:tcPr>
          <w:p>
            <w:pPr>
              <w:ind w:left="1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BCP Consolidated</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3</w:t>
              </w:r>
            </w:hyperlink>
          </w:p>
        </w:tc>
        <w:tc>
          <w:tcPr>
            <w:tcW w:w="7740" w:type="dxa"/>
            <w:vAlign w:val="bottom"/>
            <w:gridSpan w:val="45"/>
            <w:shd w:val="clear" w:color="auto" w:fill="CCEEFF"/>
          </w:tcPr>
          <w:p>
            <w:pPr>
              <w:ind w:left="1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Mibanco</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4</w:t>
              </w:r>
            </w:hyperlink>
          </w:p>
        </w:tc>
        <w:tc>
          <w:tcPr>
            <w:tcW w:w="7740" w:type="dxa"/>
            <w:vAlign w:val="bottom"/>
            <w:gridSpan w:val="45"/>
          </w:tcPr>
          <w:p>
            <w:pPr>
              <w:ind w:left="1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BCP Bolivia</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5</w:t>
              </w:r>
            </w:hyperlink>
          </w:p>
        </w:tc>
        <w:tc>
          <w:tcPr>
            <w:tcW w:w="7740" w:type="dxa"/>
            <w:vAlign w:val="bottom"/>
            <w:gridSpan w:val="45"/>
            <w:shd w:val="clear" w:color="auto" w:fill="CCEEFF"/>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Credicorp Capital</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6</w:t>
              </w:r>
            </w:hyperlink>
          </w:p>
        </w:tc>
        <w:tc>
          <w:tcPr>
            <w:tcW w:w="7740" w:type="dxa"/>
            <w:vAlign w:val="bottom"/>
            <w:gridSpan w:val="45"/>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Atlantic Security Bank</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66">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7</w:t>
              </w:r>
            </w:hyperlink>
          </w:p>
        </w:tc>
        <w:tc>
          <w:tcPr>
            <w:tcW w:w="7740" w:type="dxa"/>
            <w:vAlign w:val="bottom"/>
            <w:gridSpan w:val="45"/>
            <w:shd w:val="clear" w:color="auto" w:fill="CCEEFF"/>
          </w:tcPr>
          <w:p>
            <w:pPr>
              <w:ind w:left="1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Grupo Pacifico</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8</w:t>
              </w:r>
            </w:hyperlink>
          </w:p>
        </w:tc>
        <w:tc>
          <w:tcPr>
            <w:tcW w:w="7740" w:type="dxa"/>
            <w:vAlign w:val="bottom"/>
            <w:gridSpan w:val="45"/>
          </w:tcPr>
          <w:p>
            <w:pPr>
              <w:ind w:left="1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Prima AFP</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69">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9</w:t>
              </w:r>
            </w:hyperlink>
          </w:p>
        </w:tc>
        <w:tc>
          <w:tcPr>
            <w:tcW w:w="7740" w:type="dxa"/>
            <w:vAlign w:val="bottom"/>
            <w:gridSpan w:val="45"/>
            <w:shd w:val="clear" w:color="auto" w:fill="CCEEFF"/>
          </w:tcPr>
          <w:p>
            <w:pPr>
              <w:ind w:left="1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Table of calculations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98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Credicorp (NYSE: BAP): Second Quarter Results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7"/>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80" w:type="dxa"/>
            <w:vAlign w:val="bottom"/>
            <w:gridSpan w:val="7"/>
          </w:tcPr>
          <w:p>
            <w:pPr>
              <w:spacing w:after="0"/>
              <w:rPr>
                <w:sz w:val="20"/>
                <w:szCs w:val="20"/>
                <w:color w:val="auto"/>
              </w:rPr>
            </w:pPr>
            <w:r>
              <w:rPr>
                <w:rFonts w:ascii="Arial" w:cs="Arial" w:eastAsia="Arial" w:hAnsi="Arial"/>
                <w:sz w:val="14"/>
                <w:szCs w:val="14"/>
                <w:color w:val="auto"/>
              </w:rPr>
              <w:t>S/ 000</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1Q16</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2Q16</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YoY</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15</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16</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1"/>
              </w:rPr>
              <w:t>Jun 16 / Jun 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1,837,200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1,946,690</w:t>
            </w:r>
          </w:p>
        </w:tc>
        <w:tc>
          <w:tcPr>
            <w:tcW w:w="22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1,904,219</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3,622,562</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3,850,909</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(431,763)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(453,237)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(483,911)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(933,899)</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(937,148)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1,405,437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1,493,453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1,420,308</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2,688,663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2,913,761</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Non-financial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889,730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917,582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1,084,748</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1,947,158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2,002,330</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120,348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118,934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134,766</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216,599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253,700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(1,366,178)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(1,348,459)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(1,410,439)</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(2,662,048)</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(2,758,898)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1,049,336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1,181,510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1,229,383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17.2%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2,190,372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2,410,893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9,324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(37,127)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(20,009)</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-46.1%</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-314.6%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10,890</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(57,136)</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(289,389)</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(324,804)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(311,932)</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(598,820)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(636,736)</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769,271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819,579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897,442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9.5%</w:t>
            </w:r>
          </w:p>
        </w:tc>
        <w:tc>
          <w:tcPr>
            <w:tcW w:w="18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1,602,442</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1,717,021</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19,976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23,950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23,250</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48,412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47,200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749,295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795,629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874,192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9.9%</w:t>
            </w:r>
          </w:p>
        </w:tc>
        <w:tc>
          <w:tcPr>
            <w:tcW w:w="18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1,554,030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1,669,821</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shd w:val="clear" w:color="auto" w:fill="CCEEFF"/>
          </w:tcPr>
          <w:p>
            <w:pPr>
              <w:ind w:left="160"/>
              <w:spacing w:after="0" w:line="189" w:lineRule="exact"/>
              <w:rPr>
                <w:sz w:val="20"/>
                <w:szCs w:val="20"/>
                <w:color w:val="auto"/>
              </w:rPr>
            </w:pPr>
            <w:r>
              <w:rPr>
                <w:rFonts w:ascii="Arial" w:cs="Arial" w:eastAsia="Arial" w:hAnsi="Arial"/>
                <w:sz w:val="13"/>
                <w:szCs w:val="13"/>
                <w:color w:val="auto"/>
              </w:rPr>
              <w:t>Non-recurring income (expense)</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6,753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(27,627)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105,170</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-480.7%</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107,994</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77,543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rPr>
              <w:t>Recurring 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742,542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823,256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769,022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1,565,798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1,592,278</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Net income/share (S/)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10.96</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19.48</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6"/>
            <w:vMerge w:val="restart"/>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83,503,212</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91,501,079</w:t>
            </w:r>
          </w:p>
        </w:tc>
        <w:tc>
          <w:tcPr>
            <w:tcW w:w="22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91,655,366</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9.8%</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83,503,212</w:t>
            </w: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91,655,366</w:t>
            </w:r>
          </w:p>
        </w:tc>
        <w:tc>
          <w:tcPr>
            <w:tcW w:w="2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80,910,623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92,758,434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89,936,981</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80,910,623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89,936,981</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6"/>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14,803,711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16,613,237</w:t>
            </w:r>
          </w:p>
        </w:tc>
        <w:tc>
          <w:tcPr>
            <w:tcW w:w="800" w:type="dxa"/>
            <w:vAlign w:val="bottom"/>
          </w:tcPr>
          <w:p>
            <w:pPr>
              <w:jc w:val="right"/>
              <w:spacing w:after="0"/>
              <w:rPr>
                <w:sz w:val="20"/>
                <w:szCs w:val="20"/>
                <w:color w:val="auto"/>
              </w:rPr>
            </w:pPr>
            <w:r>
              <w:rPr>
                <w:rFonts w:ascii="Arial" w:cs="Arial" w:eastAsia="Arial" w:hAnsi="Arial"/>
                <w:sz w:val="14"/>
                <w:szCs w:val="14"/>
                <w:color w:val="auto"/>
              </w:rPr>
              <w:t>17,656,273</w:t>
            </w:r>
          </w:p>
        </w:tc>
        <w:tc>
          <w:tcPr>
            <w:tcW w:w="2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19.3%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14,803,711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17,656,273</w:t>
            </w:r>
          </w:p>
        </w:tc>
        <w:tc>
          <w:tcPr>
            <w:tcW w:w="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Profitability</w:t>
            </w:r>
          </w:p>
        </w:tc>
        <w:tc>
          <w:tcPr>
            <w:tcW w:w="242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6"/>
          </w:tcPr>
          <w:p>
            <w:pPr>
              <w:spacing w:after="0" w:line="142" w:lineRule="exact"/>
              <w:rPr>
                <w:sz w:val="20"/>
                <w:szCs w:val="20"/>
                <w:color w:val="auto"/>
              </w:rPr>
            </w:pPr>
            <w:r>
              <w:rPr>
                <w:rFonts w:ascii="Arial" w:cs="Arial" w:eastAsia="Arial" w:hAnsi="Arial"/>
                <w:sz w:val="14"/>
                <w:szCs w:val="14"/>
                <w:color w:val="auto"/>
              </w:rPr>
              <w:t>Net interest margin</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5.70%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5.33%</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5.19%</w:t>
            </w:r>
          </w:p>
        </w:tc>
        <w:tc>
          <w:tcPr>
            <w:tcW w:w="1220" w:type="dxa"/>
            <w:vAlign w:val="bottom"/>
            <w:gridSpan w:val="3"/>
          </w:tcPr>
          <w:p>
            <w:pPr>
              <w:jc w:val="right"/>
              <w:ind w:right="440"/>
              <w:spacing w:after="0" w:line="142" w:lineRule="exact"/>
              <w:rPr>
                <w:sz w:val="20"/>
                <w:szCs w:val="20"/>
                <w:color w:val="auto"/>
              </w:rPr>
            </w:pPr>
            <w:r>
              <w:rPr>
                <w:rFonts w:ascii="Arial" w:cs="Arial" w:eastAsia="Arial" w:hAnsi="Arial"/>
                <w:sz w:val="14"/>
                <w:szCs w:val="14"/>
                <w:color w:val="auto"/>
              </w:rPr>
              <w:t>-14 bps</w:t>
            </w:r>
          </w:p>
        </w:tc>
        <w:tc>
          <w:tcPr>
            <w:tcW w:w="860" w:type="dxa"/>
            <w:vAlign w:val="bottom"/>
            <w:gridSpan w:val="2"/>
          </w:tcPr>
          <w:p>
            <w:pPr>
              <w:jc w:val="right"/>
              <w:ind w:right="188"/>
              <w:spacing w:after="0" w:line="142" w:lineRule="exact"/>
              <w:rPr>
                <w:sz w:val="20"/>
                <w:szCs w:val="20"/>
                <w:color w:val="auto"/>
              </w:rPr>
            </w:pPr>
            <w:r>
              <w:rPr>
                <w:rFonts w:ascii="Arial" w:cs="Arial" w:eastAsia="Arial" w:hAnsi="Arial"/>
                <w:sz w:val="14"/>
                <w:szCs w:val="14"/>
                <w:color w:val="auto"/>
              </w:rPr>
              <w:t>-51 bps</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5.72%</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5.32%</w:t>
            </w:r>
          </w:p>
        </w:tc>
        <w:tc>
          <w:tcPr>
            <w:tcW w:w="11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Funding cost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w:t>
            </w:r>
          </w:p>
        </w:tc>
        <w:tc>
          <w:tcPr>
            <w:tcW w:w="12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 bps</w:t>
            </w:r>
          </w:p>
        </w:tc>
        <w:tc>
          <w:tcPr>
            <w:tcW w:w="8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12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100 bps</w:t>
            </w:r>
          </w:p>
        </w:tc>
        <w:tc>
          <w:tcPr>
            <w:tcW w:w="8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shd w:val="clear" w:color="auto" w:fill="CCEEFF"/>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-220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-260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tcPr>
          <w:p>
            <w:pPr>
              <w:spacing w:after="0" w:line="149" w:lineRule="exact"/>
              <w:rPr>
                <w:sz w:val="20"/>
                <w:szCs w:val="20"/>
                <w:color w:val="auto"/>
              </w:rPr>
            </w:pPr>
            <w:r>
              <w:rPr>
                <w:rFonts w:ascii="Arial" w:cs="Arial" w:eastAsia="Arial" w:hAnsi="Arial"/>
                <w:sz w:val="14"/>
                <w:szCs w:val="14"/>
                <w:color w:val="auto"/>
              </w:rPr>
              <w:t>ROAA</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20 bps</w:t>
            </w:r>
          </w:p>
        </w:tc>
        <w:tc>
          <w:tcPr>
            <w:tcW w:w="8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6"/>
            <w:shd w:val="clear" w:color="auto" w:fill="CCEEFF"/>
          </w:tcPr>
          <w:p>
            <w:pPr>
              <w:spacing w:after="0" w:line="202" w:lineRule="exact"/>
              <w:rPr>
                <w:sz w:val="20"/>
                <w:szCs w:val="20"/>
                <w:color w:val="auto"/>
              </w:rPr>
            </w:pPr>
            <w:r>
              <w:rPr>
                <w:rFonts w:ascii="Arial" w:cs="Arial" w:eastAsia="Arial" w:hAnsi="Arial"/>
                <w:sz w:val="14"/>
                <w:szCs w:val="14"/>
                <w:color w:val="auto"/>
              </w:rPr>
              <w:t xml:space="preserve">Recurring ROAA </w:t>
            </w:r>
            <w:r>
              <w:rPr>
                <w:rFonts w:ascii="Arial" w:cs="Arial" w:eastAsia="Arial" w:hAnsi="Arial"/>
                <w:sz w:val="23"/>
                <w:szCs w:val="23"/>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-20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Loan portfolio quality</w:t>
            </w: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6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Delinquency ratio over 90 days</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1.96%</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1.82%</w:t>
            </w:r>
          </w:p>
        </w:tc>
        <w:tc>
          <w:tcPr>
            <w:tcW w:w="10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2.05%</w:t>
            </w:r>
          </w:p>
        </w:tc>
        <w:tc>
          <w:tcPr>
            <w:tcW w:w="1220" w:type="dxa"/>
            <w:vAlign w:val="bottom"/>
            <w:gridSpan w:val="3"/>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23 bps</w:t>
            </w:r>
          </w:p>
        </w:tc>
        <w:tc>
          <w:tcPr>
            <w:tcW w:w="860" w:type="dxa"/>
            <w:vAlign w:val="bottom"/>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9 bps</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2.05%</w:t>
            </w:r>
          </w:p>
        </w:tc>
        <w:tc>
          <w:tcPr>
            <w:tcW w:w="11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2.72%</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2.85%</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color w:val="auto"/>
              </w:rPr>
              <w:t>14 bps</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13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2.85%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13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3.67%</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14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11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3.67%</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(6)</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2.11%</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color w:val="auto"/>
              </w:rPr>
              <w:t>13 bps</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4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152.9%</w:t>
            </w:r>
          </w:p>
        </w:tc>
        <w:tc>
          <w:tcPr>
            <w:tcW w:w="12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-640 bps</w:t>
            </w:r>
          </w:p>
        </w:tc>
        <w:tc>
          <w:tcPr>
            <w:tcW w:w="8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-630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152.9%</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6"/>
          </w:tcPr>
          <w:p>
            <w:pPr>
              <w:spacing w:after="0"/>
              <w:rPr>
                <w:sz w:val="20"/>
                <w:szCs w:val="20"/>
                <w:color w:val="auto"/>
              </w:rPr>
            </w:pPr>
            <w:r>
              <w:rPr>
                <w:rFonts w:ascii="Arial" w:cs="Arial" w:eastAsia="Arial" w:hAnsi="Arial"/>
                <w:sz w:val="14"/>
                <w:szCs w:val="14"/>
                <w:color w:val="auto"/>
              </w:rPr>
              <w:t>Coverage of NPLs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121.9%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122.2%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118.8%</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color w:val="auto"/>
              </w:rPr>
              <w:t>-340 bps</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-310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121.9%</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118.8%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-310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top w:val="single" w:sz="8" w:color="CCEEFF"/>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Operating efficiency</w:t>
            </w:r>
          </w:p>
        </w:tc>
        <w:tc>
          <w:tcPr>
            <w:tcW w:w="192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6"/>
          </w:tcPr>
          <w:p>
            <w:pPr>
              <w:spacing w:after="0" w:line="183"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44.0%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42.2%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color w:val="auto"/>
              </w:rPr>
              <w:t>170 bps</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Operating expenses / Total average assets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Insurance ratios</w:t>
            </w:r>
          </w:p>
        </w:tc>
        <w:tc>
          <w:tcPr>
            <w:tcW w:w="2160" w:type="dxa"/>
            <w:vAlign w:val="bottom"/>
            <w:gridSpan w:val="4"/>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6"/>
            <w:shd w:val="clear" w:color="auto" w:fill="CCEEFF"/>
          </w:tcPr>
          <w:p>
            <w:pPr>
              <w:spacing w:after="0" w:line="183"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88.8%</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-190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-140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89.7%</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6"/>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58.8%</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57.4%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57.6%</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color w:val="auto"/>
              </w:rPr>
              <w:t>20 bps</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-120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57.5%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6"/>
            <w:shd w:val="clear" w:color="auto" w:fill="CCEEFF"/>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120 bps</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210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6"/>
          </w:tcPr>
          <w:p>
            <w:pPr>
              <w:spacing w:after="0" w:line="157" w:lineRule="exact"/>
              <w:rPr>
                <w:sz w:val="20"/>
                <w:szCs w:val="20"/>
                <w:color w:val="auto"/>
              </w:rPr>
            </w:pPr>
            <w:r>
              <w:rPr>
                <w:rFonts w:ascii="Arial" w:cs="Arial" w:eastAsia="Arial" w:hAnsi="Arial"/>
                <w:sz w:val="14"/>
                <w:szCs w:val="14"/>
                <w:color w:val="auto"/>
              </w:rPr>
              <w:t>Employees</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32,828</w:t>
            </w:r>
          </w:p>
        </w:tc>
        <w:tc>
          <w:tcPr>
            <w:tcW w:w="24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33,418</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33,481</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0.2</w:t>
            </w:r>
          </w:p>
        </w:tc>
        <w:tc>
          <w:tcPr>
            <w:tcW w:w="260" w:type="dxa"/>
            <w:vAlign w:val="bottom"/>
          </w:tcPr>
          <w:p>
            <w:pPr>
              <w:jc w:val="right"/>
              <w:ind w:right="68"/>
              <w:spacing w:after="0" w:line="157"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2.0</w:t>
            </w:r>
          </w:p>
        </w:tc>
        <w:tc>
          <w:tcPr>
            <w:tcW w:w="260" w:type="dxa"/>
            <w:vAlign w:val="bottom"/>
          </w:tcPr>
          <w:p>
            <w:pPr>
              <w:jc w:val="right"/>
              <w:ind w:right="68"/>
              <w:spacing w:after="0" w:line="157"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32,828</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33,481</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2.0</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-8890</wp:posOffset>
            </wp:positionV>
            <wp:extent cx="513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Recurring ROAE: recurring net income is used for calculations. In the equity side, adjustments are made to exclude non-recurring income (expense).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recurring net income is used for calculations.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 includes overdue loans and loans under legal collection, according to our internal policy for overdue loans. Internal Overdue Ratio = Internal Overdue Loans / Total Loans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 Internal overdue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380"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Calculation has been adjusted, for more detail see Appendix 11.9. Efficiency ratio = [Acquisition Cost + Total Operating Expenses – Other Operating Expenses] / [Net Interest Income + Fee Income + Net Gain On Foreign Exchange Transactions + Net Gain From Subsidiaries + Net Premiums Earned]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Combined ratio= (Net claims + General expenses + Fees + Underwriting expenses) / Net earned premiums. Does not include Life Insurance business.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297" w:lineRule="auto"/>
        <w:rPr>
          <w:sz w:val="20"/>
          <w:szCs w:val="20"/>
          <w:color w:val="auto"/>
        </w:rPr>
      </w:pPr>
      <w:r>
        <w:rPr>
          <w:rFonts w:ascii="Arial" w:cs="Arial" w:eastAsia="Arial" w:hAnsi="Arial"/>
          <w:sz w:val="16"/>
          <w:szCs w:val="16"/>
          <w:color w:val="auto"/>
        </w:rPr>
        <w:t>In 2Q16, Credicorp reported net income of S/897.4 million, which represented ROAE and ROAA of 20.4% and 2.2%, respectively. After deducting S/105.2 million in non-recurring income, which was associated with the sale of shares in BCI and a translation loss, the result translated into net recurring income of S/769.0 million. This represented a -6.6% drop QoQ; an increase of +3.2% YoY; and recurring ROAE and ROAA of 18.0% and 1.9%, respectively. The results this 2Q reflect the fact that the economy’s investment and internal consumption levels have not recovered yet the dynamism posted prior to 2014, when the economic downturn began. This was accentuated by the uncertainty generated by presidential elections in the first half of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accumulated terms, 1H16 registered a recurring ROAE and ROAA of 19.0% and 2.0%,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NII at Credicorp contracted -2.2% QoQ due to a decrease in interest income, which was partially offset by lower interest expenses. The drop in NII, coupled with a slight increase in average interest earning assets (IEA), led to a lower NIM of 5.19%. This represented a decline of -14 bps QoQ, which was lower than the -22 bps QoQ decline reported in 1Q16.</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income was affected by lower gains on forwards business volumes, which are returning to normal levels, and to a drop in dividends income from Credicorp’s investments, which are distributed in 1Q every year. Nevertheless, interest income on loans, which is the main source of financial income, rose somewhat despite virtually no growth in average daily loan balances. This represented a slight recovery given that last quarter posted a drop.</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Quarter-end balances and average daily loan balances at Credicorp maintained a level similar to that posted in 1Q16 (+0.2% and +0.5% QoQ,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slowdown in loan growth was mainly due to:</w:t>
      </w:r>
    </w:p>
    <w:p>
      <w:pPr>
        <w:spacing w:after="0" w:line="211" w:lineRule="exact"/>
        <w:rPr>
          <w:sz w:val="20"/>
          <w:szCs w:val="20"/>
          <w:color w:val="auto"/>
        </w:rPr>
      </w:pPr>
    </w:p>
    <w:p>
      <w:pPr>
        <w:jc w:val="both"/>
        <w:ind w:left="980" w:hanging="648"/>
        <w:spacing w:after="0" w:line="31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Lower loan growth in Wholesale Banking, a segment that has led loan expansion at Credicorp for the last 3 years. This was due to the economic downturn and to the effect of the presidential elections, which led many to postpone investment decisions. The aforementioned was accentuated by aggressive competition from local banks that are seeking out clients with good risk profiles, which are the majority in this segment.</w:t>
      </w:r>
    </w:p>
    <w:p>
      <w:pPr>
        <w:spacing w:after="0" w:line="146" w:lineRule="exact"/>
        <w:rPr>
          <w:rFonts w:ascii="Arial" w:cs="Arial" w:eastAsia="Arial" w:hAnsi="Arial"/>
          <w:sz w:val="16"/>
          <w:szCs w:val="16"/>
          <w:color w:val="auto"/>
        </w:rPr>
      </w:pPr>
    </w:p>
    <w:p>
      <w:pPr>
        <w:jc w:val="both"/>
        <w:ind w:left="980" w:right="20" w:hanging="648"/>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Relatively low growth in segments such as SME-Pyme and Mibanco, which was attributable to the risk policies that were established to improve the portfolio’s risk quality. Low growth was further accentuated by the seasonality of these segments since the main financing campaigns for them take place in 2H every year.</w:t>
      </w:r>
    </w:p>
    <w:p>
      <w:pPr>
        <w:spacing w:after="0" w:line="181"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delinquency in the Consumer and Credit Card segments triggered an adjustment in clients acceptance and pricing models, which led growth in these loans to drop.</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 much lesser extent, lower loan growth reflects the effect of the 1.2% QoQ appreciation of the Sol against the US Dollar on the portfolio denominated in US Dollars, which represented 38.4% of total loans at the end of June.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cost at Credicorp fell only -2 bps QoQ due to a more significant contraction in interest expenses (-1.22% QoQ) than in the average of total liabilities (-0.36% QoQ). The larger decrease in interest expenses was mainly due to a significant drop in expenses on derivatives at Credicorp Capital. This offset the higher interest expenses at the banking subsidiaries (BCP Stand-Alone, Mibanco and BCP Bolivia), whose funding costs continued to follow an upward trend that posted, nonetheless, a slower pace this quarter, particularly at BCP Stand-Alone, where the funding cost has experienced upward pressure since 3Q15.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Credicorp’s L/D ratio increased QoQ and reached 101.9% due to higher L/D ratio in all the banking business subsidiaries, with the exception of ASB. The largest impact was generated by the increase in the ratio at BCP Stand-Alone followed by that at BCP Bolivia, and, to a lesser extent, at Mibanco. The aforementioned was due to a -3.0% decline QoQ in total deposits in a scenario in which loans remained at levels similar to those posted last quarter (+0.2% QoQ). The LC L/D ratio reported an increase once again this quarter but remains at a level that generates no concern given that expectations for the Sol’s appreciation/depreciation against the US Dollar have begun to moderate, which reflects relative stability or at least less volatility in the exchange rate, which contrasts with the context in 2015.</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The lowest cost of risk in the last three years was posted in 1Q16. In 2Q16, the cost of risk increased +13 bps QoQ to situate at 2.11%. The aforementioned was due to an increase in provisions, which was attributable to higher delinquency in Consumer, Credit Cards and Mortgage segments, and in a much lesser extend to BCP Bolivia. This situation was accentuated by loan growth that was virtually inexistent.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2Q16, the internal overdue and non-performing ratios each deteriorated +14 bps QoQ to situate at 2.85% and 3.67%, respectively. This was due to increases of +5.5% and +4.2% QoQ in the internal overdue and non-performing loan portfolios, respectively, and basically no growth in total loans (+0.2% QoQ). Additionally, an operating error mistakenly included a quota for a loan for S/32 million (held by a Wholesale Banking client) as past-due loan. If we exclude this effect, the internal overdue ratio falls to 2.82% (3 bps below 1Q16’s).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income increased +18.2% QoQ. This was mainly due to gains on sales of securities, which were mainly attributable to the sale of 50% of the investment in BCI. If we eliminate the effect of non-recurring income the result reveals an increase of +4.8% QoQ. This growth was associated with an improvement in fee income and gains on foreign exchange transactions, which increased +1.8% and +7.2%,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insurance underwriting result increased +13.3% QoQ due to a decrease in the acquisition cost in P&amp;C and life insurance lines, while the net earned premium and claims remained at levels very similar to those posted in 1Q16. In YoY terms, the underwriting result increased +12.0% due to expansion in net earned premiums that offset the higher claims and acquisition cost. In this context, the combined ratio fell significantly to 88.8% and the loss ratio posted a very stable level of 57.6%.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efficiency ratio was situated at 43.9%, which was above 1Q16’s level (42.2%). This was in line with expectations given the seasonality in operating expenses, which reach their lowest levels every 1Q. This effect was accentuated by a slight contraction in operating income.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in terms of capital, Credicorp maintained a comfortable capitalization level, which at the end of 2Q16, represented 1.30 times the capital required by the regulator in Peru. At BCP Stand-Alone (accounting Peru GAAP), the ratios remained at good levels and well above the regulatory limit with a BIS ratio of 15.76%, Tier 1 of 10.84%, and, particularly noteworthy, a common equity Tier 1 that increased to 10.20% vs. 8.81% in 1Q16. The improvements in the capitalization ratios were due to an increase in the accumulated net income of this year, which in turn reflects net earnings generation in 2Q16; and a contraction in risk-weighted assets due to low loan growth. In the case of the Common Equity Tier 1 Ratio, the significant QoQ improvement also reflects the positive impact generated by the transfer of BCP Bolivia.</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Credicorp and subsidiaries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1Q16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1H15</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1H16</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1H16/1H15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Banco de Crédito BCP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584,193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653,824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580,229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1,141,033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1,234,054</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 xml:space="preserve">M ibanco </w:t>
            </w:r>
            <w:r>
              <w:rPr>
                <w:rFonts w:ascii="Arial" w:cs="Arial" w:eastAsia="Arial" w:hAnsi="Arial"/>
                <w:sz w:val="21"/>
                <w:szCs w:val="21"/>
                <w:color w:val="auto"/>
                <w:vertAlign w:val="superscript"/>
              </w:rPr>
              <w:t>(2)</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47,007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71,432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66,234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40.9%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87,575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137,666</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BCB</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11,427</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20,830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20,740</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26,088</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41,569</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Grupo Pacífico </w:t>
            </w:r>
            <w:r>
              <w:rPr>
                <w:rFonts w:ascii="Arial" w:cs="Arial" w:eastAsia="Arial" w:hAnsi="Arial"/>
                <w:sz w:val="21"/>
                <w:szCs w:val="21"/>
                <w:color w:val="auto"/>
                <w:vertAlign w:val="superscript"/>
              </w:rPr>
              <w:t>(3)</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66,053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67,424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83,305</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23.6%</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26.1%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234,101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150,729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Prima</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43,338</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39,770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39,846</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83,625</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79,615</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Credicorp Capital</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16,692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26,367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34,094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43,174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30,445</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(4,454)</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47,999</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-1177.5%</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57.7%</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50,179</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43,544</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(2,853)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1,429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75,707</w:t>
            </w:r>
          </w:p>
        </w:tc>
        <w:tc>
          <w:tcPr>
            <w:tcW w:w="1420" w:type="dxa"/>
            <w:vAlign w:val="bottom"/>
            <w:gridSpan w:val="3"/>
          </w:tcPr>
          <w:p>
            <w:pPr>
              <w:ind w:left="660"/>
              <w:spacing w:after="0"/>
              <w:rPr>
                <w:sz w:val="20"/>
                <w:szCs w:val="20"/>
                <w:color w:val="auto"/>
              </w:rPr>
            </w:pPr>
            <w:r>
              <w:rPr>
                <w:rFonts w:ascii="Arial" w:cs="Arial" w:eastAsia="Arial" w:hAnsi="Arial"/>
                <w:sz w:val="14"/>
                <w:szCs w:val="14"/>
                <w:color w:val="auto"/>
              </w:rPr>
              <w:t>N/A</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(15,090)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77,136</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611.2%</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Credicorp</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749,294</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795,631</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874,192</w:t>
            </w:r>
          </w:p>
        </w:tc>
        <w:tc>
          <w:tcPr>
            <w:tcW w:w="22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9.9%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16.7%</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1,554,029</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1,669,823</w:t>
            </w:r>
          </w:p>
        </w:tc>
        <w:tc>
          <w:tcPr>
            <w:tcW w:w="2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218"/>
        </w:trPr>
        <w:tc>
          <w:tcPr>
            <w:tcW w:w="2420" w:type="dxa"/>
            <w:vAlign w:val="bottom"/>
            <w:gridSpan w:val="2"/>
          </w:tcPr>
          <w:p>
            <w:pPr>
              <w:spacing w:after="0" w:line="218" w:lineRule="exact"/>
              <w:rPr>
                <w:sz w:val="20"/>
                <w:szCs w:val="20"/>
                <w:color w:val="auto"/>
              </w:rPr>
            </w:pPr>
            <w:r>
              <w:rPr>
                <w:rFonts w:ascii="Arial" w:cs="Arial" w:eastAsia="Arial" w:hAnsi="Arial"/>
                <w:sz w:val="14"/>
                <w:szCs w:val="14"/>
                <w:b w:val="1"/>
                <w:bCs w:val="1"/>
                <w:color w:val="auto"/>
              </w:rPr>
              <w:t xml:space="preserve">Recurring net income Credicorp </w:t>
            </w:r>
            <w:r>
              <w:rPr>
                <w:rFonts w:ascii="Arial" w:cs="Arial" w:eastAsia="Arial" w:hAnsi="Arial"/>
                <w:sz w:val="23"/>
                <w:szCs w:val="23"/>
                <w:b w:val="1"/>
                <w:bCs w:val="1"/>
                <w:color w:val="auto"/>
                <w:vertAlign w:val="superscript"/>
              </w:rPr>
              <w:t>(5)</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745,295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823,267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769,013</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1,446,035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1,592,280</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-8890</wp:posOffset>
            </wp:positionV>
            <wp:extent cx="5539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ind w:right="200"/>
        <w:spacing w:after="0" w:line="249"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w:t>
      </w:r>
    </w:p>
    <w:p>
      <w:pPr>
        <w:spacing w:after="0" w:line="9" w:lineRule="exact"/>
        <w:rPr>
          <w:rFonts w:ascii="Arial" w:cs="Arial" w:eastAsia="Arial" w:hAnsi="Arial"/>
          <w:sz w:val="18"/>
          <w:szCs w:val="18"/>
          <w:color w:val="auto"/>
        </w:rPr>
      </w:pPr>
    </w:p>
    <w:p>
      <w:pPr>
        <w:ind w:right="64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98.5% of Grupo Pacifico (directly and indirectly).</w:t>
      </w:r>
    </w:p>
    <w:p>
      <w:pPr>
        <w:ind w:right="8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w:t>
      </w: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ROAEs *</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ind w:left="900"/>
              <w:spacing w:after="0"/>
              <w:rPr>
                <w:sz w:val="20"/>
                <w:szCs w:val="20"/>
                <w:color w:val="auto"/>
              </w:rPr>
            </w:pPr>
            <w:r>
              <w:rPr>
                <w:rFonts w:ascii="Arial" w:cs="Arial" w:eastAsia="Arial" w:hAnsi="Arial"/>
                <w:sz w:val="18"/>
                <w:szCs w:val="18"/>
                <w:b w:val="1"/>
                <w:bCs w:val="1"/>
                <w:color w:val="auto"/>
              </w:rPr>
              <w:t>YTD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1Q16</w:t>
            </w: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2Q16</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1H15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1H16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Banco de Crédito BCP</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19.6%</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20.8%</w:t>
            </w:r>
          </w:p>
        </w:tc>
        <w:tc>
          <w:tcPr>
            <w:tcW w:w="0" w:type="dxa"/>
            <w:vAlign w:val="bottom"/>
          </w:tcPr>
          <w:p>
            <w:pPr>
              <w:spacing w:after="0"/>
              <w:rPr>
                <w:sz w:val="1"/>
                <w:szCs w:val="1"/>
                <w:color w:val="auto"/>
              </w:rPr>
            </w:pPr>
          </w:p>
        </w:tc>
      </w:tr>
      <w:tr>
        <w:trPr>
          <w:trHeight w:val="257"/>
        </w:trPr>
        <w:tc>
          <w:tcPr>
            <w:tcW w:w="30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M ibanco </w:t>
            </w:r>
            <w:r>
              <w:rPr>
                <w:rFonts w:ascii="Arial" w:cs="Arial" w:eastAsia="Arial" w:hAnsi="Arial"/>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19.8%</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2"/>
                <w:szCs w:val="22"/>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20.2%</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14.3%</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16.0%</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2"/>
                <w:szCs w:val="22"/>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15.0%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32.6%</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29.0%</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17.1%</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14.4%</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25.8%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Credicorp</w:t>
            </w: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w:t>
            </w:r>
          </w:p>
        </w:tc>
        <w:tc>
          <w:tcPr>
            <w:tcW w:w="1240" w:type="dxa"/>
            <w:vAlign w:val="bottom"/>
            <w:gridSpan w:val="2"/>
          </w:tcPr>
          <w:p>
            <w:pPr>
              <w:ind w:left="660"/>
              <w:spacing w:after="0"/>
              <w:rPr>
                <w:sz w:val="20"/>
                <w:szCs w:val="20"/>
                <w:color w:val="auto"/>
              </w:rPr>
            </w:pPr>
            <w:r>
              <w:rPr>
                <w:rFonts w:ascii="Arial" w:cs="Arial" w:eastAsia="Arial" w:hAnsi="Arial"/>
                <w:sz w:val="18"/>
                <w:szCs w:val="18"/>
                <w:b w:val="1"/>
                <w:bCs w:val="1"/>
                <w:color w:val="auto"/>
              </w:rPr>
              <w:t>20.4%</w:t>
            </w:r>
          </w:p>
        </w:tc>
        <w:tc>
          <w:tcPr>
            <w:tcW w:w="1220" w:type="dxa"/>
            <w:vAlign w:val="bottom"/>
            <w:gridSpan w:val="2"/>
          </w:tcPr>
          <w:p>
            <w:pPr>
              <w:ind w:left="640"/>
              <w:spacing w:after="0"/>
              <w:rPr>
                <w:sz w:val="20"/>
                <w:szCs w:val="20"/>
                <w:color w:val="auto"/>
              </w:rPr>
            </w:pPr>
            <w:r>
              <w:rPr>
                <w:rFonts w:ascii="Arial" w:cs="Arial" w:eastAsia="Arial" w:hAnsi="Arial"/>
                <w:sz w:val="18"/>
                <w:szCs w:val="18"/>
                <w:b w:val="1"/>
                <w:bCs w:val="1"/>
                <w:color w:val="auto"/>
              </w:rPr>
              <w:t>21.6%</w:t>
            </w:r>
          </w:p>
        </w:tc>
        <w:tc>
          <w:tcPr>
            <w:tcW w:w="16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b w:val="1"/>
                <w:bCs w:val="1"/>
                <w:color w:val="auto"/>
                <w:w w:val="93"/>
              </w:rPr>
              <w:t>20.4%</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Recurring ROAE Credicorp </w:t>
            </w:r>
            <w:r>
              <w:rPr>
                <w:rFonts w:ascii="Arial" w:cs="Arial" w:eastAsia="Arial" w:hAnsi="Arial"/>
                <w:sz w:val="30"/>
                <w:szCs w:val="30"/>
                <w:b w:val="1"/>
                <w:bCs w:val="1"/>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18.0%</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20.0%</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93"/>
              </w:rPr>
              <w:t>18.0%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right="720" w:firstLine="2"/>
        <w:spacing w:after="0" w:line="250" w:lineRule="auto"/>
        <w:tabs>
          <w:tab w:leader="none" w:pos="10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figures differ from those previously reported; these ratios have been calculated using the total contribution of each subsidiary to Credicorp.</w:t>
      </w:r>
    </w:p>
    <w:p>
      <w:pPr>
        <w:ind w:left="900" w:right="80"/>
        <w:spacing w:after="0" w:line="250" w:lineRule="auto"/>
        <w:rPr>
          <w:rFonts w:ascii="Arial" w:cs="Arial" w:eastAsia="Arial" w:hAnsi="Arial"/>
          <w:sz w:val="18"/>
          <w:szCs w:val="18"/>
          <w:color w:val="auto"/>
        </w:rPr>
      </w:pPr>
      <w:r>
        <w:rPr>
          <w:rFonts w:ascii="Arial" w:cs="Arial" w:eastAsia="Arial" w:hAnsi="Arial"/>
          <w:sz w:val="18"/>
          <w:szCs w:val="18"/>
          <w:color w:val="auto"/>
        </w:rPr>
        <w:t>(1) Figures do not include the gain on sale of BCI shares reported in 1Q15. Excluding the gain / loss for translation result, the ROAE is 22.7% in 2Q15, 23.2% in 1Q16 and 19.9% in 2Q16.</w:t>
      </w:r>
    </w:p>
    <w:p>
      <w:pPr>
        <w:ind w:left="900" w:right="240"/>
        <w:spacing w:after="0" w:line="250" w:lineRule="auto"/>
        <w:rPr>
          <w:rFonts w:ascii="Arial" w:cs="Arial" w:eastAsia="Arial" w:hAnsi="Arial"/>
          <w:sz w:val="18"/>
          <w:szCs w:val="18"/>
          <w:color w:val="auto"/>
        </w:rPr>
      </w:pPr>
      <w:r>
        <w:rPr>
          <w:rFonts w:ascii="Arial" w:cs="Arial" w:eastAsia="Arial" w:hAnsi="Arial"/>
          <w:sz w:val="18"/>
          <w:szCs w:val="18"/>
          <w:color w:val="auto"/>
        </w:rPr>
        <w:t>(2) ROAE including goodwill of BCP from the acquisition of Edyficar (Approximately US$ 50.7 million) was 14.1% in 2Q15, 19.5% in 1Q16 and 17.9% in 2Q16.</w:t>
      </w:r>
    </w:p>
    <w:p>
      <w:pPr>
        <w:ind w:left="900" w:right="120"/>
        <w:spacing w:after="0" w:line="250" w:lineRule="auto"/>
        <w:rPr>
          <w:rFonts w:ascii="Arial" w:cs="Arial" w:eastAsia="Arial" w:hAnsi="Arial"/>
          <w:sz w:val="18"/>
          <w:szCs w:val="18"/>
          <w:color w:val="auto"/>
        </w:rPr>
      </w:pPr>
      <w:r>
        <w:rPr>
          <w:rFonts w:ascii="Arial" w:cs="Arial" w:eastAsia="Arial" w:hAnsi="Arial"/>
          <w:sz w:val="18"/>
          <w:szCs w:val="18"/>
          <w:color w:val="auto"/>
        </w:rPr>
        <w:t>(3) Figures include unrealized gains or losses that are considered in Pacifico’s Net Equity from the investment portfolio of Pacifico Vida. ROAE excluding such unrealized gains was 15.5% in 1Q16 and 19.1% in 2Q16.</w:t>
      </w:r>
    </w:p>
    <w:p>
      <w:pPr>
        <w:ind w:left="900" w:right="500"/>
        <w:spacing w:after="0" w:line="261" w:lineRule="auto"/>
        <w:rPr>
          <w:rFonts w:ascii="Arial" w:cs="Arial" w:eastAsia="Arial" w:hAnsi="Arial"/>
          <w:sz w:val="18"/>
          <w:szCs w:val="18"/>
          <w:color w:val="auto"/>
        </w:rPr>
      </w:pPr>
      <w:r>
        <w:rPr>
          <w:rFonts w:ascii="Arial" w:cs="Arial" w:eastAsia="Arial" w:hAnsi="Arial"/>
          <w:sz w:val="18"/>
          <w:szCs w:val="18"/>
          <w:color w:val="auto"/>
        </w:rPr>
        <w:t>(4) Recurring ROAE = (Net income attributable to Credicorp - Non-recurring income/expenses after taxes)*4 / Average (Net equity - Non-recurring income/expenses after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 recurring income and/or expense - Credicorp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Quarter</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8"/>
              </w:rPr>
              <w:t>Semester</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2Q15</w:t>
            </w:r>
          </w:p>
        </w:tc>
        <w:tc>
          <w:tcPr>
            <w:tcW w:w="10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1Q16</w:t>
            </w:r>
          </w:p>
        </w:tc>
        <w:tc>
          <w:tcPr>
            <w:tcW w:w="8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2Q16</w:t>
            </w:r>
          </w:p>
        </w:tc>
        <w:tc>
          <w:tcPr>
            <w:tcW w:w="200" w:type="dxa"/>
            <w:vAlign w:val="bottom"/>
          </w:tcPr>
          <w:p>
            <w:pPr>
              <w:spacing w:after="0"/>
              <w:rPr>
                <w:sz w:val="13"/>
                <w:szCs w:val="13"/>
                <w:color w:val="auto"/>
              </w:rPr>
            </w:pPr>
          </w:p>
        </w:tc>
        <w:tc>
          <w:tcPr>
            <w:tcW w:w="120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1H15</w:t>
            </w:r>
          </w:p>
        </w:tc>
        <w:tc>
          <w:tcPr>
            <w:tcW w:w="6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1H16</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4840" w:type="dxa"/>
            <w:vAlign w:val="bottom"/>
            <w:tcBorders>
              <w:top w:val="single" w:sz="8" w:color="CCEEFF"/>
            </w:tcBorders>
            <w:gridSpan w:val="2"/>
            <w:shd w:val="clear" w:color="auto" w:fill="CCEEFF"/>
          </w:tcPr>
          <w:p>
            <w:pPr>
              <w:jc w:val="center"/>
              <w:ind w:right="1668"/>
              <w:spacing w:after="0" w:line="142" w:lineRule="exact"/>
              <w:rPr>
                <w:sz w:val="20"/>
                <w:szCs w:val="20"/>
                <w:color w:val="auto"/>
              </w:rPr>
            </w:pPr>
            <w:r>
              <w:rPr>
                <w:rFonts w:ascii="Arial" w:cs="Arial" w:eastAsia="Arial" w:hAnsi="Arial"/>
                <w:sz w:val="14"/>
                <w:szCs w:val="14"/>
                <w:b w:val="1"/>
                <w:bCs w:val="1"/>
                <w:color w:val="auto"/>
                <w:w w:val="92"/>
              </w:rPr>
              <w:t>Net income Credicorp</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749,295</w:t>
            </w: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795,631</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874,192</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1,554,029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1,669,823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Subsidiaries</w:t>
            </w:r>
          </w:p>
        </w:tc>
        <w:tc>
          <w:tcPr>
            <w:tcW w:w="4840" w:type="dxa"/>
            <w:vAlign w:val="bottom"/>
            <w:gridSpan w:val="2"/>
          </w:tcPr>
          <w:p>
            <w:pPr>
              <w:jc w:val="center"/>
              <w:ind w:right="1668"/>
              <w:spacing w:after="0" w:line="119" w:lineRule="exact"/>
              <w:rPr>
                <w:sz w:val="20"/>
                <w:szCs w:val="20"/>
                <w:color w:val="auto"/>
              </w:rPr>
            </w:pPr>
            <w:r>
              <w:rPr>
                <w:rFonts w:ascii="Arial" w:cs="Arial" w:eastAsia="Arial" w:hAnsi="Arial"/>
                <w:sz w:val="13"/>
                <w:szCs w:val="13"/>
                <w:b w:val="1"/>
                <w:bCs w:val="1"/>
                <w:color w:val="auto"/>
              </w:rPr>
              <w:t>Non-recurring items*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Explanation</w:t>
            </w:r>
          </w:p>
        </w:tc>
        <w:tc>
          <w:tcPr>
            <w:tcW w:w="3240" w:type="dxa"/>
            <w:vAlign w:val="bottom"/>
          </w:tcPr>
          <w:p>
            <w:pPr>
              <w:ind w:left="920"/>
              <w:spacing w:after="0"/>
              <w:rPr>
                <w:sz w:val="20"/>
                <w:szCs w:val="20"/>
                <w:color w:val="auto"/>
              </w:rPr>
            </w:pPr>
            <w:r>
              <w:rPr>
                <w:rFonts w:ascii="Arial" w:cs="Arial" w:eastAsia="Arial" w:hAnsi="Arial"/>
                <w:sz w:val="14"/>
                <w:szCs w:val="14"/>
                <w:b w:val="1"/>
                <w:bCs w:val="1"/>
                <w:color w:val="auto"/>
              </w:rPr>
              <w:t>Affected line in the P&amp;L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Grupo Pacífico</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 JV with Banmédica</w:t>
            </w:r>
          </w:p>
        </w:tc>
        <w:tc>
          <w:tcPr>
            <w:tcW w:w="32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Non-financial income</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107,000</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Net gain on subsidiaries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Others</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 BCI</w:t>
            </w:r>
          </w:p>
        </w:tc>
        <w:tc>
          <w:tcPr>
            <w:tcW w:w="32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Non-financial income</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120,199</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120,199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Net gain on sales of securities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Translation result</w:t>
            </w:r>
          </w:p>
        </w:tc>
        <w:tc>
          <w:tcPr>
            <w:tcW w:w="1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-27,636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-15,020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994</w:t>
            </w: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-42,656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4840" w:type="dxa"/>
            <w:vAlign w:val="bottom"/>
            <w:tcBorders>
              <w:top w:val="single" w:sz="8" w:color="CCEEFF"/>
            </w:tcBorders>
            <w:gridSpan w:val="2"/>
            <w:shd w:val="clear" w:color="auto" w:fill="CCEEFF"/>
          </w:tcPr>
          <w:p>
            <w:pPr>
              <w:jc w:val="center"/>
              <w:ind w:right="1688"/>
              <w:spacing w:after="0" w:line="142" w:lineRule="exact"/>
              <w:rPr>
                <w:sz w:val="20"/>
                <w:szCs w:val="20"/>
                <w:color w:val="auto"/>
              </w:rPr>
            </w:pPr>
            <w:r>
              <w:rPr>
                <w:rFonts w:ascii="Arial" w:cs="Arial" w:eastAsia="Arial" w:hAnsi="Arial"/>
                <w:sz w:val="14"/>
                <w:szCs w:val="14"/>
                <w:b w:val="1"/>
                <w:bCs w:val="1"/>
                <w:color w:val="auto"/>
                <w:w w:val="92"/>
              </w:rPr>
              <w:t>Total non-recurring income / expense*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4,000</w:t>
            </w: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-27,636</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105,179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107,994</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77,543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840" w:type="dxa"/>
            <w:vAlign w:val="bottom"/>
            <w:gridSpan w:val="2"/>
          </w:tcPr>
          <w:p>
            <w:pPr>
              <w:jc w:val="center"/>
              <w:ind w:right="1688"/>
              <w:spacing w:after="0" w:line="142" w:lineRule="exact"/>
              <w:rPr>
                <w:sz w:val="20"/>
                <w:szCs w:val="20"/>
                <w:color w:val="auto"/>
              </w:rPr>
            </w:pPr>
            <w:r>
              <w:rPr>
                <w:rFonts w:ascii="Arial" w:cs="Arial" w:eastAsia="Arial" w:hAnsi="Arial"/>
                <w:sz w:val="14"/>
                <w:szCs w:val="14"/>
                <w:b w:val="1"/>
                <w:bCs w:val="1"/>
                <w:color w:val="auto"/>
                <w:w w:val="93"/>
              </w:rPr>
              <w:t>Recurring net income Credicorp</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745,296</w:t>
            </w: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823,267</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769,013</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1,446,035</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1,592,280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BCP Consolidated </w:t>
      </w:r>
      <w:r>
        <w:rPr>
          <w:rFonts w:ascii="Arial" w:cs="Arial" w:eastAsia="Arial" w:hAnsi="Arial"/>
          <w:sz w:val="16"/>
          <w:szCs w:val="16"/>
          <w:color w:val="auto"/>
        </w:rPr>
        <w:t>reported a contribution to Credicorp of S/ 580 million. This represented a decline of -11.3% QoQ and -0.7 % YoY. This quarter’s evolution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primarily due to a QoQ increase in net provisions for loan losses and higher operating expenses in general and administrative expenses in particular. Growth in expenditure was partially offset by (i) an increase in net interest income; (ii) growth in non-financial income, mainly in terms of commissions for banking services and net gains on sales of securities; and (iii) translation gains, which were partially attributable to BCP Bolivia’s transfer to ICBSA in May 2016. In this context, BCP Consolidated’s ROAE for 2Q16 was 19.6%. This figure was lower than 22.5% and 23.0% posted in 1Q16 and 2Q15, respectively.</w:t>
      </w:r>
    </w:p>
    <w:p>
      <w:pPr>
        <w:spacing w:after="0" w:line="154" w:lineRule="exact"/>
        <w:rPr>
          <w:sz w:val="20"/>
          <w:szCs w:val="20"/>
          <w:color w:val="auto"/>
        </w:rPr>
      </w:pPr>
    </w:p>
    <w:p>
      <w:pPr>
        <w:jc w:val="both"/>
        <w:ind w:left="520"/>
        <w:spacing w:after="0" w:line="277" w:lineRule="auto"/>
        <w:rPr>
          <w:sz w:val="20"/>
          <w:szCs w:val="20"/>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reported a net contribution of S/.66.2 million to Credicorp and an ROAE of 19.8% at the end of 2Q16. These results reflect a slight decline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QoQ contribution, which was mainly due to higher operating expenses. The NII evolution (+2.2% QoQ) is primarily attributable to loan growth in the micro and small business segments. The internal overdue and non-performing ratios remained at levels similar to those seen in 1Q16. Growth in operating expenses (+4.5% QoQ) is the result of an increase in compensation expenses due to higher provisions for profit-sharing and payments for holiday work (May 01). Mibanco’ efficiency ratio was situated at 58.6% at the end of 2Q16 (-70 bps QoQ).</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reported a contribution of S/. 20.7 million, which represented a decline of -0.4% QoQ that was primarily associated with (i) the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for doubtful collections, after recoveries, of +16.7% QoQ that was in line with the increase in delinquency; and (ii) a decline of -1.2% QoQ in non-financial income due to lower gains on sales of securities (-43.8% QoQ). All of the aforementioned offset the (i) increase in net interest income of 1.2% QoQ and (ii) the increase in the net financial services result of 13% QoQ. Loans grew +3.2% QoQ, which led the bank to post a market share of 9.0% at the end of 2Q16. With this result, BCP Bolivia was ranked fourth in the Bolivian financial system.</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2Q16, </w:t>
      </w:r>
      <w:r>
        <w:rPr>
          <w:rFonts w:ascii="Arial" w:cs="Arial" w:eastAsia="Arial" w:hAnsi="Arial"/>
          <w:sz w:val="18"/>
          <w:szCs w:val="18"/>
          <w:b w:val="1"/>
          <w:bCs w:val="1"/>
          <w:color w:val="auto"/>
        </w:rPr>
        <w:t>Grupo Pacifico</w:t>
      </w:r>
      <w:r>
        <w:rPr>
          <w:rFonts w:ascii="Arial" w:cs="Arial" w:eastAsia="Arial" w:hAnsi="Arial"/>
          <w:sz w:val="18"/>
          <w:szCs w:val="18"/>
          <w:color w:val="auto"/>
        </w:rPr>
        <w:t xml:space="preserve"> reported a contribution of S/ 83.3 million, which represented an increase of 23.6% QoQ. This result was associated to an increase in the underwriting result and in net financial income and a decrease in general expenses, net translation loss and income taxes. This effect was only partly offset by a decrease in miscellaneous income. The increase in the underwriting result is due to an increase in net premiums earned and a decrease in net underwriting expenses, which was partly offset by an increase in net claims and commissions.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2Q16, </w:t>
      </w:r>
      <w:r>
        <w:rPr>
          <w:rFonts w:ascii="Arial" w:cs="Arial" w:eastAsia="Arial" w:hAnsi="Arial"/>
          <w:sz w:val="18"/>
          <w:szCs w:val="18"/>
          <w:b w:val="1"/>
          <w:bCs w:val="1"/>
          <w:color w:val="auto"/>
        </w:rPr>
        <w:t>Prima AFP’s</w:t>
      </w:r>
      <w:r>
        <w:rPr>
          <w:rFonts w:ascii="Arial" w:cs="Arial" w:eastAsia="Arial" w:hAnsi="Arial"/>
          <w:sz w:val="18"/>
          <w:szCs w:val="18"/>
          <w:color w:val="auto"/>
        </w:rPr>
        <w:t xml:space="preserve"> contribution to Credicorp was S/. 39.8 million, which represented an increase of +0.2% QoQ and a drop of -8.1% YoY (due to an income tax reversal in 2Q15). This led to an ROAE of 32.6% for the quarter. Operating income grew 2.2% QoQ due to a decrease in operating expenses (-2.7% QoQ). The operating efficiency ratio for 2Q16 was situated at 43.9%, which was lower than 1Q16’s figure (44.9%). This was due to a drop in general and marketing expenses this past quarter. Funds under management totaled S/ 41,165 million, which represented a market share of 31.8% of the System’s total funds.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Credicorp Capital </w:t>
      </w:r>
      <w:r>
        <w:rPr>
          <w:rFonts w:ascii="Arial" w:cs="Arial" w:eastAsia="Arial" w:hAnsi="Arial"/>
          <w:sz w:val="17"/>
          <w:szCs w:val="17"/>
          <w:color w:val="auto"/>
        </w:rPr>
        <w:t>reported a contribution of S/. 26.4 million to Credicorp in the second quarter of the year (+57% QoQ). Non-financial income totaled S/.</w:t>
      </w:r>
      <w:r>
        <w:rPr>
          <w:rFonts w:ascii="Arial" w:cs="Arial" w:eastAsia="Arial" w:hAnsi="Arial"/>
          <w:sz w:val="17"/>
          <w:szCs w:val="17"/>
          <w:b w:val="1"/>
          <w:bCs w:val="1"/>
          <w:color w:val="auto"/>
        </w:rPr>
        <w:t xml:space="preserve"> </w:t>
      </w:r>
      <w:r>
        <w:rPr>
          <w:rFonts w:ascii="Arial" w:cs="Arial" w:eastAsia="Arial" w:hAnsi="Arial"/>
          <w:sz w:val="17"/>
          <w:szCs w:val="17"/>
          <w:color w:val="auto"/>
        </w:rPr>
        <w:t>127 million due primarily to the evolution of fee income and, to a lesser extent, to net gains on foreign exchange transactions. The good performance of fee income was driven mainly by the sales &amp; trading business, and asset management while Corporate Finance improved its performance thanks to debt capital markets transactions. Additionally, market making for local and international fixed income continued to post significant gains on sales of securities. In terms of operating expenses, higher variable transactional costs were reported, which was attributable to an increase in operating volumes, and an increase in provisions for short-term incentives increased, in line with compliance with business targets.</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ASB </w:t>
      </w:r>
      <w:r>
        <w:rPr>
          <w:rFonts w:ascii="Arial" w:cs="Arial" w:eastAsia="Arial" w:hAnsi="Arial"/>
          <w:sz w:val="16"/>
          <w:szCs w:val="16"/>
          <w:color w:val="auto"/>
        </w:rPr>
        <w:t>reported a contribution to Credicorp of S/. 48.0 million in 2Q16, which represented a significant improvement over the figure registered in 1Q16 (-S/4.5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This corresponded primarily to an improvement in realized gains on sales of investments and an increase in the market value of investments +S/14.0 (1Q16 -S/.20.9). ROAE was situated at 25.8%, which was an improvement over 1Q16’s result (-2.5%). The efficiency ratio was 17.6%, which reflects higher income this quarter (52.6% 1Q16), while the BIS ratio was situated at 19.4%, which topped 1Q16’s result (+17.0%) due to an increase in earnings.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IEA fell QoQ. This was due primarily to a decrease in investments available for sale. The low growth in total loans (+0.2% QoQ) did not offset the QoQ drop in the aforementioned IEA. It is important to note loan growth at Mibanco, BCP Bolivia and in Mortgages, SME-Business and SME-Pyme. In YoY terms, the IEA grew 10.8% as a result of the expansion of total loans.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1Q16</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24,746,182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28,283,345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27,776,938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20" w:type="dxa"/>
            <w:vAlign w:val="bottom"/>
          </w:tcPr>
          <w:p>
            <w:pPr>
              <w:jc w:val="right"/>
              <w:spacing w:after="0"/>
              <w:rPr>
                <w:sz w:val="20"/>
                <w:szCs w:val="20"/>
                <w:color w:val="auto"/>
              </w:rPr>
            </w:pPr>
            <w:r>
              <w:rPr>
                <w:rFonts w:ascii="Arial" w:cs="Arial" w:eastAsia="Arial" w:hAnsi="Arial"/>
                <w:sz w:val="18"/>
                <w:szCs w:val="18"/>
                <w:color w:val="auto"/>
              </w:rPr>
              <w:t>42,846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59,094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54,950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2,130,997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3,491,092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3,383,545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20" w:type="dxa"/>
            <w:vAlign w:val="bottom"/>
          </w:tcPr>
          <w:p>
            <w:pPr>
              <w:jc w:val="right"/>
              <w:spacing w:after="0"/>
              <w:rPr>
                <w:sz w:val="20"/>
                <w:szCs w:val="20"/>
                <w:color w:val="auto"/>
              </w:rPr>
            </w:pPr>
            <w:r>
              <w:rPr>
                <w:rFonts w:ascii="Arial" w:cs="Arial" w:eastAsia="Arial" w:hAnsi="Arial"/>
                <w:sz w:val="18"/>
                <w:szCs w:val="18"/>
                <w:color w:val="auto"/>
              </w:rPr>
              <w:t>17,772,153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20,837,924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18,188,377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-12.7%</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4,003,646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4,288,379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83,503,213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91,501,079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91,655,366</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131,165,651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148,176,180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145,347,555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Evolution of IEA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the most profitable asset, increased their share of total IEA (63.1% in 2Q16 vs. 61.8% in 1Q16) due to the QoQ decline in Total IEA, and slight</w:t>
      </w:r>
      <w:r>
        <w:rPr>
          <w:rFonts w:ascii="Arial" w:cs="Arial" w:eastAsia="Arial" w:hAnsi="Arial"/>
          <w:sz w:val="18"/>
          <w:szCs w:val="18"/>
          <w:b w:val="1"/>
          <w:bCs w:val="1"/>
          <w:color w:val="auto"/>
        </w:rPr>
        <w:t xml:space="preserve"> </w:t>
      </w:r>
      <w:r>
        <w:rPr>
          <w:rFonts w:ascii="Arial" w:cs="Arial" w:eastAsia="Arial" w:hAnsi="Arial"/>
          <w:sz w:val="18"/>
          <w:szCs w:val="18"/>
          <w:color w:val="auto"/>
        </w:rPr>
        <w:t>growth in total loans QoQ. The slowdown in loan growth QoQ reflects the effect of four factors:</w:t>
      </w:r>
    </w:p>
    <w:p>
      <w:pPr>
        <w:spacing w:after="0" w:line="166" w:lineRule="exact"/>
        <w:rPr>
          <w:sz w:val="20"/>
          <w:szCs w:val="20"/>
          <w:color w:val="auto"/>
        </w:rPr>
      </w:pPr>
    </w:p>
    <w:p>
      <w:pPr>
        <w:jc w:val="both"/>
        <w:ind w:left="980" w:hanging="648"/>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slowdown in loan growth in Wholesale Banking, the segment that has led loan expansion at Credicorp for the past 3 years. This is attributable to the deceleration of economic growth and to the uncertainty generated by presidential elections, which led many corporations to postpone investment decisions. The aforementioned was accentuated by aggressive competition among local banks, which are looking after good risk-profile clients of this segment.</w:t>
      </w:r>
    </w:p>
    <w:p>
      <w:pPr>
        <w:spacing w:after="0" w:line="186"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Relatively low growth in segments such as SME-Pyme and Mibanco, which was in line with the risk appetite defined to improve the portfolio’s risk quality. This was exacerbated by the seasonality of these segments given that the main financing campaigns are held in 2H every year.</w:t>
      </w:r>
    </w:p>
    <w:p>
      <w:pPr>
        <w:spacing w:after="0" w:line="123" w:lineRule="exact"/>
        <w:rPr>
          <w:rFonts w:ascii="Arial" w:cs="Arial" w:eastAsia="Arial" w:hAnsi="Arial"/>
          <w:sz w:val="16"/>
          <w:szCs w:val="16"/>
          <w:color w:val="auto"/>
        </w:rPr>
      </w:pPr>
    </w:p>
    <w:p>
      <w:pPr>
        <w:ind w:left="98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delinquency in the Consumer and Credit Card segments triggered an adjustment admission policy and pricing models, which led to slower loan growth in these businesses.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much lesser extent, the effect of the 1.2% appreciation of the Sol vs. the US Dollar on the portfolio denominated in this currency, which represented 38.4% of total loans at the end of June.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QoQ growth in quarter-end loan balance came primarily from Mibanco and BCP Boliva, followed by the Mortgage, SME-Business and SME-PYME segments, and to a lesser extent to Credit Cards and Consumer loans, as we will explain later in the report. Growth in these segments helped offset the significant contraction in loans in Wholesale Banking and a slight decline at ASB.</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Investments reduced their participation in total IEA from 19.1% in 1Q16 to 17.8% in 2Q16. The aforementioned was due to the fact that </w:t>
      </w:r>
      <w:r>
        <w:rPr>
          <w:rFonts w:ascii="Arial" w:cs="Arial" w:eastAsia="Arial" w:hAnsi="Arial"/>
          <w:sz w:val="18"/>
          <w:szCs w:val="18"/>
          <w:b w:val="1"/>
          <w:bCs w:val="1"/>
          <w:color w:val="auto"/>
        </w:rPr>
        <w:t>investments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available for sale </w:t>
      </w:r>
      <w:r>
        <w:rPr>
          <w:rFonts w:ascii="Arial" w:cs="Arial" w:eastAsia="Arial" w:hAnsi="Arial"/>
          <w:sz w:val="18"/>
          <w:szCs w:val="18"/>
          <w:color w:val="auto"/>
        </w:rPr>
        <w:t>dropped (-12.7% QoQ)</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attributable to a lower level of BCRP Certificates of Deposit (CDs) at a BCP stand-alone level, and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lesser extent to the sale of shares in BCI through Credicorp Ltd. </w:t>
      </w:r>
      <w:r>
        <w:rPr>
          <w:rFonts w:ascii="Arial" w:cs="Arial" w:eastAsia="Arial" w:hAnsi="Arial"/>
          <w:sz w:val="18"/>
          <w:szCs w:val="18"/>
          <w:b w:val="1"/>
          <w:bCs w:val="1"/>
          <w:color w:val="auto"/>
        </w:rPr>
        <w:t>Trading securities</w:t>
      </w:r>
      <w:r>
        <w:rPr>
          <w:rFonts w:ascii="Arial" w:cs="Arial" w:eastAsia="Arial" w:hAnsi="Arial"/>
          <w:sz w:val="18"/>
          <w:szCs w:val="18"/>
          <w:color w:val="auto"/>
        </w:rPr>
        <w:t xml:space="preserve"> dropped -3.1% QoQ, which was due primarily to a decrease in the level of investments in fixed income and equity instruments at Credicorp Capital Colombia. </w:t>
      </w:r>
      <w:r>
        <w:rPr>
          <w:rFonts w:ascii="Arial" w:cs="Arial" w:eastAsia="Arial" w:hAnsi="Arial"/>
          <w:sz w:val="18"/>
          <w:szCs w:val="18"/>
          <w:b w:val="1"/>
          <w:bCs w:val="1"/>
          <w:color w:val="auto"/>
        </w:rPr>
        <w:t>Investments held-to-maturity</w:t>
      </w:r>
      <w:r>
        <w:rPr>
          <w:rFonts w:ascii="Arial" w:cs="Arial" w:eastAsia="Arial" w:hAnsi="Arial"/>
          <w:sz w:val="18"/>
          <w:szCs w:val="18"/>
          <w:color w:val="auto"/>
        </w:rPr>
        <w:t xml:space="preserve"> increased +7.1% QoQ due to BCP’s higher position in Peruvian government bonds.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right="20"/>
        <w:spacing w:after="0" w:line="282" w:lineRule="auto"/>
        <w:rPr>
          <w:sz w:val="20"/>
          <w:szCs w:val="20"/>
          <w:color w:val="auto"/>
        </w:rPr>
      </w:pPr>
      <w:r>
        <w:rPr>
          <w:rFonts w:ascii="Arial" w:cs="Arial" w:eastAsia="Arial" w:hAnsi="Arial"/>
          <w:sz w:val="18"/>
          <w:szCs w:val="18"/>
          <w:b w:val="1"/>
          <w:bCs w:val="1"/>
          <w:color w:val="auto"/>
        </w:rPr>
        <w:t xml:space="preserve">BCRP and other banks’ </w:t>
      </w:r>
      <w:r>
        <w:rPr>
          <w:rFonts w:ascii="Arial" w:cs="Arial" w:eastAsia="Arial" w:hAnsi="Arial"/>
          <w:sz w:val="18"/>
          <w:szCs w:val="18"/>
          <w:color w:val="auto"/>
        </w:rPr>
        <w:t>represented 19.1% in its share of Total IEA and posted a slight decrease QoQ (-1.8%). It is important to note that this was due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to a significant decrease in the current account with BCRP via BCP.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+10.8% growth in IEA was due primarily to:</w:t>
      </w:r>
    </w:p>
    <w:p>
      <w:pPr>
        <w:spacing w:after="0" w:line="225"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+9.8% growth in loans, which was led by an increase in Wholesale Banking Loans and in the SME-Business and Mortgage segments of Retail Banking. In 2Q16, FX-adjusted growth was +8.8%, which was in line with the +3.5% appreciation in the US Dollar YoY;</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+12.2% increase in BCRP and in other banks, which mainly reflects an increase in the use of BCRP instruments, substitution and expansion repos in particular. Under both schemes, repo transactions generate a restricted deposit in BCRP. This explains, to a large extent, growth in IEA. In the case of Credicorp, these transactions were conducted only by BCP Stand-Alone and Mibanco; and</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higher level of trading securities and investments held-to-maturity, due to an increase in the investment in CDs and in Peruvian government bonds at BCP.</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Credicorp Loans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1.2.1</w:t>
      </w:r>
      <w:r>
        <w:rPr>
          <w:sz w:val="20"/>
          <w:szCs w:val="20"/>
          <w:color w:val="auto"/>
        </w:rPr>
        <w:tab/>
      </w:r>
      <w:r>
        <w:rPr>
          <w:rFonts w:ascii="Arial" w:cs="Arial" w:eastAsia="Arial" w:hAnsi="Arial"/>
          <w:sz w:val="16"/>
          <w:szCs w:val="16"/>
          <w:i w:val="1"/>
          <w:iCs w:val="1"/>
          <w:color w:val="auto"/>
        </w:rPr>
        <w:t>Loan evolution by business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TOTAL LOANS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 Part. in total loans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120" w:type="dxa"/>
            <w:vAlign w:val="bottom"/>
            <w:gridSpan w:val="5"/>
          </w:tcPr>
          <w:p>
            <w:pPr>
              <w:jc w:val="center"/>
              <w:ind w:left="488"/>
              <w:spacing w:after="0" w:line="158" w:lineRule="exact"/>
              <w:rPr>
                <w:sz w:val="20"/>
                <w:szCs w:val="20"/>
                <w:color w:val="auto"/>
              </w:rPr>
            </w:pPr>
            <w:r>
              <w:rPr>
                <w:rFonts w:ascii="Arial" w:cs="Arial" w:eastAsia="Arial" w:hAnsi="Arial"/>
                <w:sz w:val="14"/>
                <w:szCs w:val="14"/>
                <w:i w:val="1"/>
                <w:iCs w:val="1"/>
                <w:color w:val="auto"/>
                <w:w w:val="94"/>
              </w:rPr>
              <w:t>Expressed in million soles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2Q15</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2Q16</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2Q15</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2Q16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70,119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76,576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76,854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83.5%</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Wholesale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37,691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41,186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41,494</w:t>
            </w:r>
          </w:p>
        </w:tc>
        <w:tc>
          <w:tcPr>
            <w:tcW w:w="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44.9%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300"/>
              <w:spacing w:after="0" w:line="189" w:lineRule="exact"/>
              <w:rPr>
                <w:sz w:val="20"/>
                <w:szCs w:val="20"/>
                <w:color w:val="auto"/>
              </w:rPr>
            </w:pPr>
            <w:r>
              <w:rPr>
                <w:rFonts w:ascii="Arial" w:cs="Arial" w:eastAsia="Arial" w:hAnsi="Arial"/>
                <w:sz w:val="13"/>
                <w:szCs w:val="13"/>
                <w:color w:val="auto"/>
              </w:rPr>
              <w:t>Corporate</w:t>
            </w:r>
            <w:r>
              <w:rPr>
                <w:rFonts w:ascii="Arial" w:cs="Arial" w:eastAsia="Arial" w:hAnsi="Arial"/>
                <w:sz w:val="21"/>
                <w:szCs w:val="21"/>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27,456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28,217</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5D9F1"/>
          </w:tcPr>
          <w:p>
            <w:pPr>
              <w:jc w:val="right"/>
              <w:ind w:right="4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5D9F1"/>
          </w:tcPr>
          <w:p>
            <w:pPr>
              <w:spacing w:after="0"/>
              <w:rPr>
                <w:sz w:val="16"/>
                <w:szCs w:val="16"/>
                <w:color w:val="auto"/>
              </w:rPr>
            </w:pPr>
          </w:p>
        </w:tc>
        <w:tc>
          <w:tcPr>
            <w:tcW w:w="200" w:type="dxa"/>
            <w:vAlign w:val="bottom"/>
            <w:shd w:val="clear" w:color="auto" w:fill="C5D9F1"/>
          </w:tcPr>
          <w:p>
            <w:pPr>
              <w:spacing w:after="0"/>
              <w:rPr>
                <w:sz w:val="16"/>
                <w:szCs w:val="16"/>
                <w:color w:val="auto"/>
              </w:rPr>
            </w:pPr>
          </w:p>
        </w:tc>
        <w:tc>
          <w:tcPr>
            <w:tcW w:w="700" w:type="dxa"/>
            <w:vAlign w:val="bottom"/>
            <w:gridSpan w:val="2"/>
            <w:shd w:val="clear" w:color="auto" w:fill="C5D9F1"/>
          </w:tcPr>
          <w:p>
            <w:pPr>
              <w:jc w:val="right"/>
              <w:ind w:right="40"/>
              <w:spacing w:after="0"/>
              <w:rPr>
                <w:sz w:val="20"/>
                <w:szCs w:val="20"/>
                <w:color w:val="auto"/>
              </w:rPr>
            </w:pPr>
            <w:r>
              <w:rPr>
                <w:rFonts w:ascii="Arial" w:cs="Arial" w:eastAsia="Arial" w:hAnsi="Arial"/>
                <w:sz w:val="14"/>
                <w:szCs w:val="14"/>
                <w:color w:val="auto"/>
              </w:rPr>
              <w:t>13.6%</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Middle - Market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12,845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13,277</w:t>
            </w:r>
          </w:p>
        </w:tc>
        <w:tc>
          <w:tcPr>
            <w:tcW w:w="180" w:type="dxa"/>
            <w:vAlign w:val="bottom"/>
          </w:tcPr>
          <w:p>
            <w:pPr>
              <w:spacing w:after="0"/>
              <w:rPr>
                <w:sz w:val="12"/>
                <w:szCs w:val="12"/>
                <w:color w:val="auto"/>
              </w:rPr>
            </w:pPr>
          </w:p>
        </w:tc>
        <w:tc>
          <w:tcPr>
            <w:tcW w:w="900" w:type="dxa"/>
            <w:vAlign w:val="bottom"/>
            <w:gridSpan w:val="2"/>
            <w:shd w:val="clear" w:color="auto" w:fill="FCD5B4"/>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Retail Banking</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31,900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34,726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34,700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38.0%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SME - Business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3,408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4,230</w:t>
            </w:r>
          </w:p>
        </w:tc>
        <w:tc>
          <w:tcPr>
            <w:tcW w:w="180" w:type="dxa"/>
            <w:vAlign w:val="bottom"/>
          </w:tcPr>
          <w:p>
            <w:pPr>
              <w:spacing w:after="0"/>
              <w:rPr>
                <w:sz w:val="12"/>
                <w:szCs w:val="12"/>
                <w:color w:val="auto"/>
              </w:rPr>
            </w:pPr>
          </w:p>
        </w:tc>
        <w:tc>
          <w:tcPr>
            <w:tcW w:w="900" w:type="dxa"/>
            <w:vAlign w:val="bottom"/>
            <w:gridSpan w:val="2"/>
            <w:shd w:val="clear" w:color="auto" w:fill="FCD5B4"/>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5D9F1"/>
          </w:tcPr>
          <w:p>
            <w:pPr>
              <w:spacing w:after="0"/>
              <w:rPr>
                <w:sz w:val="12"/>
                <w:szCs w:val="12"/>
                <w:color w:val="auto"/>
              </w:rPr>
            </w:pPr>
          </w:p>
        </w:tc>
        <w:tc>
          <w:tcPr>
            <w:tcW w:w="2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24.1%</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SME - Pyme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7,376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Mortgage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12,383</w:t>
            </w:r>
          </w:p>
        </w:tc>
        <w:tc>
          <w:tcPr>
            <w:tcW w:w="1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5D9F1"/>
          </w:tcPr>
          <w:p>
            <w:pPr>
              <w:spacing w:after="0"/>
              <w:rPr>
                <w:sz w:val="12"/>
                <w:szCs w:val="12"/>
                <w:color w:val="auto"/>
              </w:rPr>
            </w:pPr>
          </w:p>
        </w:tc>
        <w:tc>
          <w:tcPr>
            <w:tcW w:w="2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Consumer</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6,414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Credit Card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3,744</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4,269</w:t>
            </w:r>
          </w:p>
        </w:tc>
        <w:tc>
          <w:tcPr>
            <w:tcW w:w="180" w:type="dxa"/>
            <w:vAlign w:val="bottom"/>
          </w:tcPr>
          <w:p>
            <w:pPr>
              <w:spacing w:after="0"/>
              <w:rPr>
                <w:sz w:val="12"/>
                <w:szCs w:val="12"/>
                <w:color w:val="auto"/>
              </w:rPr>
            </w:pPr>
          </w:p>
        </w:tc>
        <w:tc>
          <w:tcPr>
            <w:tcW w:w="9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663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7,353</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7,832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8,002</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8.8%</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8.8%</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4,767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27.8%</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2,732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3,115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3,007</w:t>
            </w:r>
          </w:p>
        </w:tc>
        <w:tc>
          <w:tcPr>
            <w:tcW w:w="1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3.3%</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BAP's total loans</w:t>
            </w:r>
            <w:r>
              <w:rPr>
                <w:rFonts w:ascii="Arial" w:cs="Arial" w:eastAsia="Arial" w:hAnsi="Arial"/>
                <w:sz w:val="23"/>
                <w:szCs w:val="23"/>
                <w:b w:val="1"/>
                <w:bCs w:val="1"/>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84,009</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92,289</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92,727</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effects, loans generated in FC are converted into LC.</w:t>
      </w:r>
    </w:p>
    <w:p>
      <w:pPr>
        <w:spacing w:after="0" w:line="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Figures differ from previously reported, as a result of eliminations for consolidation.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rPr>
          <w:sz w:val="20"/>
          <w:szCs w:val="20"/>
          <w:color w:val="auto"/>
        </w:rPr>
      </w:pPr>
      <w:r>
        <w:rPr>
          <w:sz w:val="1"/>
          <w:szCs w:val="1"/>
          <w:color w:val="auto"/>
        </w:rPr>
        <w:drawing>
          <wp:inline distT="0" distB="0" distL="0" distR="0">
            <wp:extent cx="325755"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114300"/>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rPr>
          <w:sz w:val="20"/>
          <w:szCs w:val="20"/>
          <w:color w:val="auto"/>
        </w:rPr>
      </w:pPr>
      <w:r>
        <w:rPr>
          <w:sz w:val="1"/>
          <w:szCs w:val="1"/>
          <w:color w:val="auto"/>
        </w:rPr>
        <w:drawing>
          <wp:inline distT="0" distB="0" distL="0" distR="0">
            <wp:extent cx="325755" cy="1238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1238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8"/>
          </w:tcPr>
          <w:p>
            <w:pPr>
              <w:jc w:val="center"/>
              <w:ind w:right="48"/>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center"/>
              <w:ind w:right="28"/>
              <w:spacing w:after="0"/>
              <w:rPr>
                <w:sz w:val="20"/>
                <w:szCs w:val="20"/>
                <w:color w:val="auto"/>
              </w:rPr>
            </w:pPr>
            <w:r>
              <w:rPr>
                <w:rFonts w:ascii="Arial" w:cs="Arial" w:eastAsia="Arial" w:hAnsi="Arial"/>
                <w:sz w:val="14"/>
                <w:szCs w:val="14"/>
                <w:b w:val="1"/>
                <w:bCs w:val="1"/>
                <w:color w:val="auto"/>
              </w:rPr>
              <w:t>FOREIGN CURRENCY LOANS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 part. by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center"/>
              <w:ind w:right="188"/>
              <w:spacing w:after="0"/>
              <w:rPr>
                <w:sz w:val="20"/>
                <w:szCs w:val="20"/>
                <w:color w:val="auto"/>
              </w:rPr>
            </w:pPr>
            <w:r>
              <w:rPr>
                <w:rFonts w:ascii="Arial" w:cs="Arial" w:eastAsia="Arial" w:hAnsi="Arial"/>
                <w:sz w:val="14"/>
                <w:szCs w:val="14"/>
                <w:i w:val="1"/>
                <w:iCs w:val="1"/>
                <w:color w:val="auto"/>
                <w:w w:val="93"/>
              </w:rPr>
              <w:t>(Expressed in million Soles)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center"/>
              <w:ind w:right="28"/>
              <w:spacing w:after="0"/>
              <w:rPr>
                <w:sz w:val="20"/>
                <w:szCs w:val="20"/>
                <w:color w:val="auto"/>
              </w:rPr>
            </w:pPr>
            <w:r>
              <w:rPr>
                <w:rFonts w:ascii="Arial" w:cs="Arial" w:eastAsia="Arial" w:hAnsi="Arial"/>
                <w:sz w:val="14"/>
                <w:szCs w:val="14"/>
                <w:i w:val="1"/>
                <w:iCs w:val="1"/>
                <w:color w:val="auto"/>
                <w:w w:val="94"/>
              </w:rPr>
              <w:t>(Expressed in million USD)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currency 2Q16</w:t>
            </w: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QoQ</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2Q16</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39,627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48,137</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49,461</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2.8%</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9,670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8,269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8,272</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64.4%</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35.6%</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15,735</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21,015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21,819</w:t>
            </w:r>
          </w:p>
        </w:tc>
        <w:tc>
          <w:tcPr>
            <w:tcW w:w="800" w:type="dxa"/>
            <w:vAlign w:val="bottom"/>
            <w:gridSpan w:val="3"/>
          </w:tcPr>
          <w:p>
            <w:pPr>
              <w:jc w:val="right"/>
              <w:ind w:right="28"/>
              <w:spacing w:after="0" w:line="149" w:lineRule="exact"/>
              <w:rPr>
                <w:sz w:val="20"/>
                <w:szCs w:val="20"/>
                <w:color w:val="auto"/>
              </w:rPr>
            </w:pPr>
            <w:r>
              <w:rPr>
                <w:rFonts w:ascii="Arial" w:cs="Arial" w:eastAsia="Arial" w:hAnsi="Arial"/>
                <w:sz w:val="14"/>
                <w:szCs w:val="14"/>
                <w:b w:val="1"/>
                <w:bCs w:val="1"/>
                <w:color w:val="auto"/>
              </w:rPr>
              <w:t>3.8%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38.7%</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6,963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5,866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5,941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52.6%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47.4%</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Corporate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10,557</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13,980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14,735</w:t>
            </w:r>
          </w:p>
        </w:tc>
        <w:tc>
          <w:tcPr>
            <w:tcW w:w="800" w:type="dxa"/>
            <w:vAlign w:val="bottom"/>
            <w:gridSpan w:val="3"/>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5.4%</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39.6%</w:t>
            </w:r>
          </w:p>
        </w:tc>
        <w:tc>
          <w:tcPr>
            <w:tcW w:w="88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4,532</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3,920</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4,071</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3.8%</w:t>
            </w:r>
          </w:p>
        </w:tc>
        <w:tc>
          <w:tcPr>
            <w:tcW w:w="12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-10.2%</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52.2%</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47.8%</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5,178</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7,035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7,084</w:t>
            </w:r>
          </w:p>
        </w:tc>
        <w:tc>
          <w:tcPr>
            <w:tcW w:w="8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36.8%</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2,432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1,870</w:t>
            </w: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-23.1%</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53.4%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23,751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26,920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27,419</w:t>
            </w:r>
          </w:p>
        </w:tc>
        <w:tc>
          <w:tcPr>
            <w:tcW w:w="80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2,584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2,269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2,199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79.0%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21.0%</w:t>
            </w:r>
          </w:p>
        </w:tc>
      </w:tr>
      <w:tr>
        <w:trPr>
          <w:trHeight w:val="130"/>
        </w:trPr>
        <w:tc>
          <w:tcPr>
            <w:tcW w:w="1960" w:type="dxa"/>
            <w:vAlign w:val="bottom"/>
          </w:tcPr>
          <w:p>
            <w:pPr>
              <w:ind w:left="340"/>
              <w:spacing w:after="0" w:line="130"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1,294</w:t>
            </w:r>
          </w:p>
        </w:tc>
        <w:tc>
          <w:tcPr>
            <w:tcW w:w="92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1,952</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2,027</w:t>
            </w:r>
          </w:p>
        </w:tc>
        <w:tc>
          <w:tcPr>
            <w:tcW w:w="100" w:type="dxa"/>
            <w:vAlign w:val="bottom"/>
            <w:shd w:val="clear" w:color="auto" w:fill="C5D9F1"/>
          </w:tcPr>
          <w:p>
            <w:pPr>
              <w:spacing w:after="0"/>
              <w:rPr>
                <w:sz w:val="11"/>
                <w:szCs w:val="11"/>
                <w:color w:val="auto"/>
              </w:rPr>
            </w:pPr>
          </w:p>
        </w:tc>
        <w:tc>
          <w:tcPr>
            <w:tcW w:w="700" w:type="dxa"/>
            <w:vAlign w:val="bottom"/>
            <w:gridSpan w:val="2"/>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3.8%</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56.6%</w:t>
            </w: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670</w:t>
            </w:r>
          </w:p>
        </w:tc>
        <w:tc>
          <w:tcPr>
            <w:tcW w:w="2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689</w:t>
            </w:r>
          </w:p>
        </w:tc>
        <w:tc>
          <w:tcPr>
            <w:tcW w:w="2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665</w:t>
            </w:r>
          </w:p>
        </w:tc>
        <w:tc>
          <w:tcPr>
            <w:tcW w:w="200" w:type="dxa"/>
            <w:vAlign w:val="bottom"/>
          </w:tcPr>
          <w:p>
            <w:pPr>
              <w:spacing w:after="0"/>
              <w:rPr>
                <w:sz w:val="11"/>
                <w:szCs w:val="11"/>
                <w:color w:val="auto"/>
              </w:rPr>
            </w:pP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-3.4%</w:t>
            </w:r>
          </w:p>
        </w:tc>
        <w:tc>
          <w:tcPr>
            <w:tcW w:w="82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-0.7%</w:t>
            </w:r>
          </w:p>
        </w:tc>
        <w:tc>
          <w:tcPr>
            <w:tcW w:w="920" w:type="dxa"/>
            <w:vAlign w:val="bottom"/>
            <w:gridSpan w:val="3"/>
          </w:tcPr>
          <w:p>
            <w:pPr>
              <w:jc w:val="right"/>
              <w:ind w:right="68"/>
              <w:spacing w:after="0" w:line="130" w:lineRule="exact"/>
              <w:rPr>
                <w:sz w:val="20"/>
                <w:szCs w:val="20"/>
                <w:color w:val="auto"/>
              </w:rPr>
            </w:pPr>
            <w:r>
              <w:rPr>
                <w:rFonts w:ascii="Arial" w:cs="Arial" w:eastAsia="Arial" w:hAnsi="Arial"/>
                <w:sz w:val="14"/>
                <w:szCs w:val="14"/>
                <w:color w:val="auto"/>
              </w:rPr>
              <w:t>47.9%</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52.1%</w:t>
            </w:r>
          </w:p>
        </w:tc>
      </w:tr>
      <w:tr>
        <w:trPr>
          <w:trHeight w:val="167"/>
        </w:trPr>
        <w:tc>
          <w:tcPr>
            <w:tcW w:w="1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6,890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6,991</w:t>
            </w:r>
          </w:p>
        </w:tc>
        <w:tc>
          <w:tcPr>
            <w:tcW w:w="100" w:type="dxa"/>
            <w:vAlign w:val="bottom"/>
            <w:shd w:val="clear" w:color="auto" w:fill="C5D9F1"/>
          </w:tcPr>
          <w:p>
            <w:pPr>
              <w:spacing w:after="0"/>
              <w:rPr>
                <w:sz w:val="14"/>
                <w:szCs w:val="14"/>
                <w:color w:val="auto"/>
              </w:rPr>
            </w:pPr>
          </w:p>
        </w:tc>
        <w:tc>
          <w:tcPr>
            <w:tcW w:w="700" w:type="dxa"/>
            <w:vAlign w:val="bottom"/>
            <w:gridSpan w:val="2"/>
            <w:shd w:val="clear" w:color="auto" w:fill="C5D9F1"/>
          </w:tcPr>
          <w:p>
            <w:pPr>
              <w:jc w:val="right"/>
              <w:ind w:right="48"/>
              <w:spacing w:after="0"/>
              <w:rPr>
                <w:sz w:val="20"/>
                <w:szCs w:val="20"/>
                <w:color w:val="auto"/>
              </w:rPr>
            </w:pPr>
            <w:r>
              <w:rPr>
                <w:rFonts w:ascii="Arial" w:cs="Arial" w:eastAsia="Arial" w:hAnsi="Arial"/>
                <w:sz w:val="14"/>
                <w:szCs w:val="14"/>
                <w:color w:val="auto"/>
              </w:rPr>
              <w:t>1.5%</w:t>
            </w:r>
          </w:p>
        </w:tc>
        <w:tc>
          <w:tcPr>
            <w:tcW w:w="70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9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94.2%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49"/>
        </w:trPr>
        <w:tc>
          <w:tcPr>
            <w:tcW w:w="1960" w:type="dxa"/>
            <w:vAlign w:val="bottom"/>
          </w:tcPr>
          <w:p>
            <w:pPr>
              <w:ind w:left="340"/>
              <w:spacing w:after="0" w:line="130"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7,796</w:t>
            </w:r>
          </w:p>
        </w:tc>
        <w:tc>
          <w:tcPr>
            <w:tcW w:w="92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8,879</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9,101</w:t>
            </w:r>
          </w:p>
        </w:tc>
        <w:tc>
          <w:tcPr>
            <w:tcW w:w="100" w:type="dxa"/>
            <w:vAlign w:val="bottom"/>
            <w:shd w:val="clear" w:color="auto" w:fill="C5D9F1"/>
          </w:tcPr>
          <w:p>
            <w:pPr>
              <w:spacing w:after="0"/>
              <w:rPr>
                <w:sz w:val="12"/>
                <w:szCs w:val="12"/>
                <w:color w:val="auto"/>
              </w:rPr>
            </w:pPr>
          </w:p>
        </w:tc>
        <w:tc>
          <w:tcPr>
            <w:tcW w:w="700" w:type="dxa"/>
            <w:vAlign w:val="bottom"/>
            <w:gridSpan w:val="2"/>
          </w:tcPr>
          <w:p>
            <w:pPr>
              <w:jc w:val="right"/>
              <w:ind w:right="48"/>
              <w:spacing w:after="0" w:line="130" w:lineRule="exact"/>
              <w:rPr>
                <w:sz w:val="20"/>
                <w:szCs w:val="20"/>
                <w:color w:val="auto"/>
              </w:rPr>
            </w:pPr>
            <w:r>
              <w:rPr>
                <w:rFonts w:ascii="Arial" w:cs="Arial" w:eastAsia="Arial" w:hAnsi="Arial"/>
                <w:sz w:val="14"/>
                <w:szCs w:val="14"/>
                <w:color w:val="auto"/>
              </w:rPr>
              <w:t>2.5%</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16.7%</w:t>
            </w:r>
          </w:p>
        </w:tc>
        <w:tc>
          <w:tcPr>
            <w:tcW w:w="88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1,214</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1,016</w:t>
            </w: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991</w:t>
            </w:r>
          </w:p>
        </w:tc>
        <w:tc>
          <w:tcPr>
            <w:tcW w:w="200" w:type="dxa"/>
            <w:vAlign w:val="bottom"/>
          </w:tcPr>
          <w:p>
            <w:pPr>
              <w:spacing w:after="0"/>
              <w:rPr>
                <w:sz w:val="12"/>
                <w:szCs w:val="12"/>
                <w:color w:val="auto"/>
              </w:rPr>
            </w:pP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w:t>
            </w:r>
          </w:p>
        </w:tc>
        <w:tc>
          <w:tcPr>
            <w:tcW w:w="12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-18.4%</w:t>
            </w:r>
          </w:p>
        </w:tc>
        <w:tc>
          <w:tcPr>
            <w:tcW w:w="920" w:type="dxa"/>
            <w:vAlign w:val="bottom"/>
            <w:gridSpan w:val="3"/>
          </w:tcPr>
          <w:p>
            <w:pPr>
              <w:jc w:val="right"/>
              <w:ind w:right="68"/>
              <w:spacing w:after="0" w:line="130" w:lineRule="exact"/>
              <w:rPr>
                <w:sz w:val="20"/>
                <w:szCs w:val="20"/>
                <w:color w:val="auto"/>
              </w:rPr>
            </w:pPr>
            <w:r>
              <w:rPr>
                <w:rFonts w:ascii="Arial" w:cs="Arial" w:eastAsia="Arial" w:hAnsi="Arial"/>
                <w:sz w:val="14"/>
                <w:szCs w:val="14"/>
                <w:color w:val="auto"/>
              </w:rPr>
              <w:t>73.5%</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26.5%</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5,063</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5,406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5,479</w:t>
            </w:r>
          </w:p>
        </w:tc>
        <w:tc>
          <w:tcPr>
            <w:tcW w:w="80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-27.0%</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3,343</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3,793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3,821</w:t>
            </w:r>
          </w:p>
        </w:tc>
        <w:tc>
          <w:tcPr>
            <w:tcW w:w="8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89.5%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w:t>
            </w:r>
          </w:p>
        </w:tc>
        <w:tc>
          <w:tcPr>
            <w:tcW w:w="2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123</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66.3%</w:t>
            </w: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6,715</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7,274</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7,473</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-1.4%</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-20.9%</w:t>
            </w:r>
          </w:p>
        </w:tc>
        <w:tc>
          <w:tcPr>
            <w:tcW w:w="9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93.4%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6.6%</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1,207</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1,386</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1,469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21.7%</w:t>
            </w:r>
          </w:p>
        </w:tc>
        <w:tc>
          <w:tcPr>
            <w:tcW w:w="9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866</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905</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908</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0.3%</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4.8%</w:t>
            </w: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46,342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55,411</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56,934</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22.9</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11,946</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10,723</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10,809</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61.4</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-925830</wp:posOffset>
            </wp:positionV>
            <wp:extent cx="8921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2175" cy="188595"/>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Figures differ from previously reported, as a result of eliminations for consolidation.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Work out unit.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rPr>
          <w:sz w:val="20"/>
          <w:szCs w:val="20"/>
          <w:color w:val="auto"/>
        </w:rPr>
      </w:pPr>
      <w:r>
        <w:rPr>
          <w:sz w:val="1"/>
          <w:szCs w:val="1"/>
          <w:color w:val="auto"/>
        </w:rPr>
        <w:drawing>
          <wp:inline distT="0" distB="0" distL="0" distR="0">
            <wp:extent cx="325755"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114300"/>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rPr>
          <w:sz w:val="20"/>
          <w:szCs w:val="20"/>
          <w:color w:val="auto"/>
        </w:rPr>
      </w:pPr>
      <w:r>
        <w:rPr>
          <w:sz w:val="1"/>
          <w:szCs w:val="1"/>
          <w:color w:val="auto"/>
        </w:rPr>
        <w:drawing>
          <wp:inline distT="0" distB="0" distL="0" distR="0">
            <wp:extent cx="325755" cy="1238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1238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Loans measured in average daily balances can reveal trends or variations different than the ones of quarter-end balances when significant disbursements or cancellations are made at the end of a quarter. Those payments or disbursements affect in a lesser extent average daily loan 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QoQ growth in average daily loan balances was due primarily to Corporate Banking, Mibanco, BCP Bolivia, SME-Pyme and Credit Cards.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loans at BCP Stand-Alone was due to growth in Corporate Banking, which offset the contraction in Middle-Market Banking:</w:t>
      </w:r>
    </w:p>
    <w:p>
      <w:pPr>
        <w:spacing w:after="0" w:line="162" w:lineRule="exact"/>
        <w:rPr>
          <w:sz w:val="20"/>
          <w:szCs w:val="20"/>
          <w:color w:val="auto"/>
        </w:rPr>
      </w:pPr>
    </w:p>
    <w:p>
      <w:pPr>
        <w:jc w:val="both"/>
        <w:ind w:left="500" w:hanging="492"/>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Loans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expanded QoQ in LC and FC but higher growth rate was recorded in the LC portfolio, which grew due to working capital and medium-long term loans. Nevertheless, the appreciation of the Sol against the US Dollar had a negative impact on growth in the FC portfolio; if we exclude this effect, growth is situated at +3.8% QoQ.</w:t>
      </w:r>
    </w:p>
    <w:p>
      <w:pPr>
        <w:spacing w:after="0" w:line="176"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QoQ contraction in </w:t>
      </w:r>
      <w:r>
        <w:rPr>
          <w:rFonts w:ascii="Arial" w:cs="Arial" w:eastAsia="Arial" w:hAnsi="Arial"/>
          <w:sz w:val="18"/>
          <w:szCs w:val="18"/>
          <w:b w:val="1"/>
          <w:bCs w:val="1"/>
          <w:color w:val="auto"/>
        </w:rPr>
        <w:t>Middle-Market Banking</w:t>
      </w:r>
      <w:r>
        <w:rPr>
          <w:rFonts w:ascii="Arial" w:cs="Arial" w:eastAsia="Arial" w:hAnsi="Arial"/>
          <w:sz w:val="18"/>
          <w:szCs w:val="18"/>
          <w:color w:val="auto"/>
        </w:rPr>
        <w:t xml:space="preserve"> loans was due to the reduction of FC loans, which in turn was mainly associated with less financing for the fishing sector due to a two-month delay in the start of the fishing season and a lower fishing quote. The aforementioned was accentuated by the appreciation of the Sol against the US Dollar. Although the LC portfolio grew slightly QoQ, this was not enough to attenuate the decline originated in FC.</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terms of </w:t>
      </w:r>
      <w:r>
        <w:rPr>
          <w:rFonts w:ascii="Arial" w:cs="Arial" w:eastAsia="Arial" w:hAnsi="Arial"/>
          <w:sz w:val="17"/>
          <w:szCs w:val="17"/>
          <w:b w:val="1"/>
          <w:bCs w:val="1"/>
          <w:color w:val="auto"/>
        </w:rPr>
        <w:t>Retail Banking loans</w:t>
      </w:r>
      <w:r>
        <w:rPr>
          <w:rFonts w:ascii="Arial" w:cs="Arial" w:eastAsia="Arial" w:hAnsi="Arial"/>
          <w:sz w:val="17"/>
          <w:szCs w:val="17"/>
          <w:color w:val="auto"/>
        </w:rPr>
        <w:t xml:space="preserve"> at BCP Stand-Alone, it is important to consider the loan seasonality that leads to higher loan growth rate in the second half of the year. The slight -0.1% reduction QoQ in Retail Banking was due primarily to contraction in FC loans, mainly in the Mortgage and Consumer segments and to a much lesser extent in SME-Pyme and SME-Business. Growth in the LC portfolio was insufficient to offset this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Retail Banking, the loan evolution by business segment was due to the following:</w:t>
      </w:r>
    </w:p>
    <w:p>
      <w:pPr>
        <w:spacing w:after="0" w:line="221" w:lineRule="exact"/>
        <w:rPr>
          <w:sz w:val="20"/>
          <w:szCs w:val="20"/>
          <w:color w:val="auto"/>
        </w:rPr>
      </w:pPr>
    </w:p>
    <w:p>
      <w:pPr>
        <w:ind w:left="500" w:hanging="492"/>
        <w:spacing w:after="0" w:line="313"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segment reported growth of +0.6% QoQ. The aforementioned was due mainly to an increase in LC loan, which was attributable to the seasonal effect produced by the Independence Day campaign. The aforementioned was attenuated by payments in FC loans.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In the YoY analysis, loans grew +8.1%, in line with the country’s economic growth YoY.</w:t>
      </w:r>
    </w:p>
    <w:p>
      <w:pPr>
        <w:spacing w:after="0" w:line="221" w:lineRule="exact"/>
        <w:rPr>
          <w:sz w:val="20"/>
          <w:szCs w:val="20"/>
          <w:color w:val="auto"/>
        </w:rPr>
      </w:pPr>
    </w:p>
    <w:p>
      <w:pPr>
        <w:ind w:left="500" w:hanging="492"/>
        <w:spacing w:after="0" w:line="347"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Credit Card</w:t>
      </w:r>
      <w:r>
        <w:rPr>
          <w:rFonts w:ascii="Arial" w:cs="Arial" w:eastAsia="Arial" w:hAnsi="Arial"/>
          <w:sz w:val="16"/>
          <w:szCs w:val="16"/>
          <w:color w:val="auto"/>
        </w:rPr>
        <w:t xml:space="preserve"> segment expanded slightly by +0.7% QoQ due to growth in the LC and FC portfolio. Nevertheless, this segment posted a slower pace of growth in line with the still low economic growth and the risk measures taken after the slightly higher level of delinquency since 4Q15.</w:t>
      </w:r>
    </w:p>
    <w:p>
      <w:pPr>
        <w:spacing w:after="0" w:line="116"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increased QoQ. This was due primarily to expansion in the LC portfolio, which was attributable to the traditional BCP Mortgage product. Due to the aforementioned, the share of the LC’s portfolio in total loans in the Mortgage segment increased from 71.7% in 1Q16 to 73.5% in 2Q16. The FC portfolio dropped -2.5% QoQ due to amortizations as well as the de-dollarization of mortgages because some clients took the opportunity in a scenario in which the Sol was appreciating against de US dollar.</w:t>
      </w:r>
    </w:p>
    <w:p>
      <w:pPr>
        <w:spacing w:after="0" w:line="184"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It is important to mention that the FC portfolio reported a very low loan to value (LTV) of 52% at the end of June, which decreased in comparison with that of last quarter, and is lower than the Total LTV of the portfolio (58%). It is also important to note that disbursements continued to be made primarily in LC (most months, 100% of the loans were disbursed in this currency).</w:t>
      </w:r>
    </w:p>
    <w:p>
      <w:pPr>
        <w:spacing w:after="0" w:line="177" w:lineRule="exact"/>
        <w:rPr>
          <w:rFonts w:ascii="Arial" w:cs="Arial" w:eastAsia="Arial" w:hAnsi="Arial"/>
          <w:sz w:val="18"/>
          <w:szCs w:val="18"/>
          <w:color w:val="auto"/>
        </w:rPr>
      </w:pPr>
    </w:p>
    <w:p>
      <w:pPr>
        <w:jc w:val="both"/>
        <w:ind w:left="500" w:hanging="492"/>
        <w:spacing w:after="0" w:line="266"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reported a slight contractions QoQ (-0.3%) due to a decline in the FC portfolio. This was attenuated by the increase in the LC portfolio, which was in line with growth in car loans. This evolution led the LC loan portfolio’s share of total loans in this segment to rise to 85.7% in 2Q16 from 84.3% in 1Q16.</w:t>
      </w:r>
    </w:p>
    <w:p>
      <w:pPr>
        <w:spacing w:after="0" w:line="176" w:lineRule="exact"/>
        <w:rPr>
          <w:rFonts w:ascii="Arial" w:cs="Arial" w:eastAsia="Arial" w:hAnsi="Arial"/>
          <w:sz w:val="18"/>
          <w:szCs w:val="18"/>
          <w:color w:val="auto"/>
        </w:rPr>
      </w:pPr>
    </w:p>
    <w:p>
      <w:pPr>
        <w:ind w:left="500" w:right="20" w:hanging="492"/>
        <w:spacing w:after="0" w:line="282"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reported a drop in loans of -2.1% QoQ due to fewer loans in FC. This was only slightly attenuated by growth in the LC portfolio.</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continued to post dynamic loan growth, reporting an expansion of +2.0% QoQ in average daily balances and of +3.2% QoQ in quarter-end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balances. This evolution was due to an increase in Wholesale Banking’s loans, mainly in Corporate Banking. Consequently, Wholesale Banking loans went from representing 40.5% of the total portfolio at the end of 1Q16, to accounting for 41.3% at the end of 2Q16. The Retail Banking segment registered growth QoQ due to an increase in mortgage and personal loans after the government set lower interest rates for financing in the regulated portfolio (productive sector and social housing), which must account for 60% of total loans by the end of 2018.</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average daily loan balances increased +2.2% QoQ. It is evident that this segment continues to recover after the acquisition process and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clean-up efforts. It is important to note that 1H tends to be less dynamic, particularly for clients in the micro and small business sectors. Nevertheless, in light of the marcoeconomic context, the focus is currently on prioritizing portfolio quality instead of accelerating loan growth. The speed of origination continues to be below the segment’s potential.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 decline of -3.5% QoQ in average daily balances and was almost stable in quarter-end balances (-0.5% QoQ). This was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in full on BTB loans. It is important to note that ASB continues to maintain a good risk profile, which is reflected in the quality of its portfolio (low level of delinquency and 100% guaranteed).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YoY analysis reveals growth of +10.4% in loans, which was driven by growth in Wholesale Banking followed by Retail Banking, Mibanco and BCP Bolivia.</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480" w:val="left"/>
        </w:tabs>
        <w:rPr>
          <w:sz w:val="20"/>
          <w:szCs w:val="20"/>
          <w:color w:val="auto"/>
        </w:rPr>
      </w:pPr>
      <w:r>
        <w:rPr>
          <w:rFonts w:ascii="Arial" w:cs="Arial" w:eastAsia="Arial" w:hAnsi="Arial"/>
          <w:sz w:val="18"/>
          <w:szCs w:val="18"/>
          <w:i w:val="1"/>
          <w:iCs w:val="1"/>
          <w:color w:val="auto"/>
        </w:rPr>
        <w:t>1.2.2</w:t>
      </w:r>
      <w:r>
        <w:rPr>
          <w:sz w:val="20"/>
          <w:szCs w:val="20"/>
          <w:color w:val="auto"/>
        </w:rPr>
        <w:tab/>
      </w:r>
      <w:r>
        <w:rPr>
          <w:rFonts w:ascii="Arial" w:cs="Arial" w:eastAsia="Arial" w:hAnsi="Arial"/>
          <w:sz w:val="16"/>
          <w:szCs w:val="16"/>
          <w:i w:val="1"/>
          <w:iCs w:val="1"/>
          <w:color w:val="auto"/>
        </w:rPr>
        <w:t>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Credicorp segment </w:t>
      </w:r>
      <w:r>
        <w:rPr>
          <w:rFonts w:ascii="Arial" w:cs="Arial" w:eastAsia="Arial" w:hAnsi="Arial"/>
          <w:sz w:val="30"/>
          <w:szCs w:val="30"/>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81915</wp:posOffset>
            </wp:positionV>
            <wp:extent cx="5471160" cy="2864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7116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participation of Credicorp’s portfolio is calculated including BCP Bolivia and ASB, but the chart shows only BCP Stand-alone and Mibanco’s loan books.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YoY analysis of the evolution of dollarization shows that the FC portfolio at Credicorp represented 38.6% of total loans at the end of 2Q16 vs.44.8% in 2Q15. At BCP Stand-Alone, portfolio de-dollarization levels are even higher, reaching 35.6% in 2Q16 vs. 43.5% in 2Q15. De-dollarization was particularly high in Wholesale Banking, mainly in Middle Market and Corporate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Banking segments with the highest dollarization levels, SME-Business and Mortgage, registered significant de-dollarization YoY. In the case of Mortgages, the factors that explain de-dollarization are the high level of disbursements in local currency (almost 100% of disbursements) and on-going amortization of the stock denominated in US Dollars.</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1.2.3</w:t>
      </w:r>
      <w:r>
        <w:rPr>
          <w:sz w:val="20"/>
          <w:szCs w:val="20"/>
          <w:color w:val="auto"/>
        </w:rPr>
        <w:tab/>
      </w:r>
      <w:r>
        <w:rPr>
          <w:rFonts w:ascii="Arial" w:cs="Arial" w:eastAsia="Arial" w:hAnsi="Arial"/>
          <w:sz w:val="16"/>
          <w:szCs w:val="16"/>
          <w:b w:val="1"/>
          <w:bCs w:val="1"/>
          <w:i w:val="1"/>
          <w:iCs w:val="1"/>
          <w:color w:val="auto"/>
        </w:rPr>
        <w:t>BCRP de-dollarization plan at BCP Stand-alone</w:t>
      </w:r>
    </w:p>
    <w:p>
      <w:pPr>
        <w:spacing w:after="0" w:line="22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At the end of 2014, BCRP established a Loan De-dollarization Program. Among the measures taken, progressive de-dollarization goals were set for June 2015, December 2015 and December 2016 for the total FC portfolio in FC with some exceptions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for the joint mortgage-car portfolio. The balance required at the end of December 2016 was adjusted in the following way:</w:t>
      </w:r>
    </w:p>
    <w:p>
      <w:pPr>
        <w:spacing w:after="0" w:line="203" w:lineRule="exact"/>
        <w:rPr>
          <w:sz w:val="20"/>
          <w:szCs w:val="20"/>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terms of the total FC portfolio, the dollarized balance at the end of December 2016 must represent no more than 80% of total loans at the end of September 2013 (excluding some loans); and</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regard to the FC mortgage-car portfolio, the dollarization level at the end of 2016 must not represent more than 70% of the same balance at the end of 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right="20" w:firstLine="8"/>
        <w:spacing w:after="0" w:line="194" w:lineRule="auto"/>
        <w:tabs>
          <w:tab w:leader="none" w:pos="136"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This total portfolio does not include loans for foreign trade and loans with maturities over 3 years of for amounts that exceed US$ 10 million that were issued after January 1, 2015.</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The bases for both goals refer to quarter-end balances in local accounting but the level of compliance is measured by using average daily balances from the month that the report was produced.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show the percentage of compliance as of June 2016:</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at the end of June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142875</wp:posOffset>
            </wp:positionV>
            <wp:extent cx="2872740" cy="1329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72740" cy="1329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 at the end of June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142875</wp:posOffset>
            </wp:positionV>
            <wp:extent cx="2933065" cy="1329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33065"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is evident in the figures, BCP Stand-Alone has achieved a comfortable level of compliance in both loan portfolios that are subject to the de-dollarization program.</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1.2.4</w:t>
      </w:r>
      <w:r>
        <w:rPr>
          <w:sz w:val="20"/>
          <w:szCs w:val="20"/>
          <w:color w:val="auto"/>
        </w:rPr>
        <w:tab/>
      </w:r>
      <w:r>
        <w:rPr>
          <w:rFonts w:ascii="Arial" w:cs="Arial" w:eastAsia="Arial" w:hAnsi="Arial"/>
          <w:sz w:val="16"/>
          <w:szCs w:val="16"/>
          <w:i w:val="1"/>
          <w:iCs w:val="1"/>
          <w:color w:val="auto"/>
        </w:rPr>
        <w:t>Market share in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115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end of May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 includes Mibanco’s market share, 1% in June 2015 and March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includes Mibanco’s market share, 2.1% in June 2015 and 2.2% in March 2016.</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May 2016, BCP Stand-Alone continued to lead the market with a 30.4% share. This was significantly higher than the level posted by its closest competitor.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Wholesale Banking continued to lead the market despite posting a slight QoQ decline (going from 45.4% in March 2016 to 44.8% in May 2016), which was in line with the fact that there was virtually no growth in this portfolio by quarter-end. Middle-Market Banking’s market share remained stable QoQ. This was primarily associated with the fact that this banking segment registered a decline in its total balance system-wide and, to a lesser extent, with a drop in loan issuances.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Retail Banking, BCP continued to lead the market in almost all segments with the exception of SME-Business, where it is second. BCP held on to a stable market share in almost every segment and only reported a slight contraction in the Consumer segment.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(including Edyficar) maintained its market share in the Peruvian banking system with a 3% share in both March 2016 and May 2016. An analysis of the SME-Pyme segment in Peru shows that Mibanco’s market share rose progressively from 20.7% at the end of June 2015, to 22.1% at the end of March 2016, to 22.4% at the end of May 2016.</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Finally, BCP Bolivia held its market share QoQ and YoY (9.0%) and was ranked fourth in the Bolivian Financial System.</w:t>
      </w:r>
    </w:p>
    <w:p>
      <w:pPr>
        <w:spacing w:after="0" w:line="22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i w:val="1"/>
          <w:iCs w:val="1"/>
          <w:color w:val="auto"/>
        </w:rPr>
        <w:t>Total funding at Credicorp contracted -3.3% QoQ. This was mainly due to a decline in Total deposits measured in quarter-end balances and in Other Liabilities due to payments of dividends declared in 1Q16. Nevertheless, funding increase YoY as a result of significant growth in deposits. The funding cost</w:t>
      </w:r>
      <w:r>
        <w:rPr>
          <w:rFonts w:ascii="Arial" w:cs="Arial" w:eastAsia="Arial" w:hAnsi="Arial"/>
          <w:sz w:val="30"/>
          <w:szCs w:val="30"/>
          <w:color w:val="auto"/>
          <w:vertAlign w:val="superscript"/>
        </w:rPr>
        <w:t>2</w:t>
      </w:r>
      <w:r>
        <w:rPr>
          <w:rFonts w:ascii="Arial" w:cs="Arial" w:eastAsia="Arial" w:hAnsi="Arial"/>
          <w:sz w:val="18"/>
          <w:szCs w:val="18"/>
          <w:i w:val="1"/>
          <w:iCs w:val="1"/>
          <w:color w:val="auto"/>
        </w:rPr>
        <w:t xml:space="preserve"> of Credicorp, fell -2 bps QoQ due to a drop in interest expenses at the non-banking subsidiaries. The L/D ratio situated at 101.9% after a decreased in deposits due to an aggressive competition in the market.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Arial" w:cs="Arial" w:eastAsia="Arial" w:hAnsi="Arial"/>
                <w:sz w:val="18"/>
                <w:szCs w:val="18"/>
                <w:color w:val="auto"/>
              </w:rPr>
              <w:t>S/ 000</w:t>
            </w: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2Q15</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1Q16</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2Q16</w:t>
            </w:r>
          </w:p>
        </w:tc>
        <w:tc>
          <w:tcPr>
            <w:tcW w:w="840" w:type="dxa"/>
            <w:vAlign w:val="bottom"/>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23,707,385</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23,194,081</w:t>
            </w:r>
          </w:p>
        </w:tc>
        <w:tc>
          <w:tcPr>
            <w:tcW w:w="2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5,920,932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8,966,306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8,443,396</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21,989,053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25,534,015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25,205,462</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21,859,062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26,657,864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25,764,437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CTS deposits(1)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7,173,252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6,563,463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6,997,706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260,939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324,467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331,899</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80,910,623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92,758,434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89,936,981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9,180,228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8,688,933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8,931,350</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10,012,756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11,181,320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11,305,771</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15,601,653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15,295,655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15,255,588</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liabilities(2)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12,128,488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14,672,367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12,519,684</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-14.7%</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127,833,748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142,596,709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137,949,374</w:t>
            </w:r>
          </w:p>
        </w:tc>
        <w:tc>
          <w:tcPr>
            <w:tcW w:w="840" w:type="dxa"/>
            <w:vAlign w:val="bottom"/>
          </w:tcPr>
          <w:p>
            <w:pPr>
              <w:spacing w:after="0"/>
              <w:rPr>
                <w:sz w:val="20"/>
                <w:szCs w:val="20"/>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-2540</wp:posOffset>
            </wp:positionV>
            <wp:extent cx="4545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7"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579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7960" cy="15430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It considers the average between thwe initial balance and the closing balance of total liabilities for the period.</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40" w:firstLine="8"/>
        <w:spacing w:after="0" w:line="50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Includes acceptances outstanding, reserve for property and casualty claims, reserve for unearned premiums, reinsurance payable and other liabilities. The chart shows the </w:t>
      </w:r>
      <w:r>
        <w:rPr>
          <w:rFonts w:ascii="Arial" w:cs="Arial" w:eastAsia="Arial" w:hAnsi="Arial"/>
          <w:sz w:val="18"/>
          <w:szCs w:val="18"/>
          <w:b w:val="1"/>
          <w:bCs w:val="1"/>
          <w:color w:val="auto"/>
        </w:rPr>
        <w:t>Evolution of Credicorp’s funding structure and cost</w:t>
      </w:r>
      <w:r>
        <w:rPr>
          <w:rFonts w:ascii="Arial" w:cs="Arial" w:eastAsia="Arial" w:hAnsi="Arial"/>
          <w:sz w:val="18"/>
          <w:szCs w:val="18"/>
          <w:color w:val="auto"/>
        </w:rPr>
        <w:t xml:space="preserve"> calculated in quarter-end balances.</w:t>
      </w:r>
    </w:p>
    <w:p>
      <w:pPr>
        <w:jc w:val="both"/>
        <w:spacing w:after="0" w:line="259" w:lineRule="auto"/>
        <w:rPr>
          <w:sz w:val="20"/>
          <w:szCs w:val="20"/>
          <w:color w:val="auto"/>
        </w:rPr>
      </w:pPr>
      <w:r>
        <w:rPr>
          <w:rFonts w:ascii="Arial" w:cs="Arial" w:eastAsia="Arial" w:hAnsi="Arial"/>
          <w:sz w:val="18"/>
          <w:szCs w:val="18"/>
          <w:color w:val="auto"/>
        </w:rPr>
        <w:t xml:space="preserve">Deposits’ share of total funding was relatively stable QoQ and posted an increase of +120 bps YoY (63.1% in 2Q15, 64.8% 1Q16 and 65.0% 2Q16). In this scenario, deposits continued to represent the main source of funding at Credicorp. The shares of </w:t>
      </w:r>
      <w:r>
        <w:rPr>
          <w:rFonts w:ascii="Arial" w:cs="Arial" w:eastAsia="Arial" w:hAnsi="Arial"/>
          <w:sz w:val="18"/>
          <w:szCs w:val="18"/>
          <w:b w:val="1"/>
          <w:bCs w:val="1"/>
          <w:color w:val="auto"/>
        </w:rPr>
        <w:t>Interest bearing Demand Deposits</w:t>
      </w:r>
      <w:r>
        <w:rPr>
          <w:rFonts w:ascii="Arial" w:cs="Arial" w:eastAsia="Arial" w:hAnsi="Arial"/>
          <w:sz w:val="18"/>
          <w:szCs w:val="18"/>
          <w:color w:val="auto"/>
        </w:rPr>
        <w:t xml:space="preserve"> and </w:t>
      </w:r>
      <w:r>
        <w:rPr>
          <w:rFonts w:ascii="Arial" w:cs="Arial" w:eastAsia="Arial" w:hAnsi="Arial"/>
          <w:sz w:val="18"/>
          <w:szCs w:val="18"/>
          <w:b w:val="1"/>
          <w:bCs w:val="1"/>
          <w:color w:val="auto"/>
        </w:rPr>
        <w:t>Non-Interest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Bearing Demand Deposits </w:t>
      </w:r>
      <w:r>
        <w:rPr>
          <w:rFonts w:ascii="Arial" w:cs="Arial" w:eastAsia="Arial" w:hAnsi="Arial"/>
          <w:sz w:val="18"/>
          <w:szCs w:val="18"/>
          <w:color w:val="auto"/>
        </w:rPr>
        <w:t>fell while</w:t>
      </w:r>
      <w:r>
        <w:rPr>
          <w:rFonts w:ascii="Arial" w:cs="Arial" w:eastAsia="Arial" w:hAnsi="Arial"/>
          <w:sz w:val="18"/>
          <w:szCs w:val="18"/>
          <w:b w:val="1"/>
          <w:bCs w:val="1"/>
          <w:color w:val="auto"/>
        </w:rPr>
        <w:t xml:space="preserve"> CTS Deposits </w:t>
      </w:r>
      <w:r>
        <w:rPr>
          <w:rFonts w:ascii="Arial" w:cs="Arial" w:eastAsia="Arial" w:hAnsi="Arial"/>
          <w:sz w:val="18"/>
          <w:szCs w:val="18"/>
          <w:color w:val="auto"/>
        </w:rPr>
        <w:t>increased their share due to seasonal factors that are present every 2Q given that the CTS deposit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May.</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Bonds and subordinated debt </w:t>
      </w:r>
      <w:r>
        <w:rPr>
          <w:rFonts w:ascii="Arial" w:cs="Arial" w:eastAsia="Arial" w:hAnsi="Arial"/>
          <w:sz w:val="16"/>
          <w:szCs w:val="16"/>
          <w:color w:val="auto"/>
        </w:rPr>
        <w:t>increased their share in the funding structure due to issuances in 2Q16 at Mibanco: (i) corporate bonds for S/.100 million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tenure of three years and an interest rate of 7.16%; and (ii) subordinated bonds for S/.100 million with tenure of ten years and an interest rate of 8.50%.</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BCPR instruments </w:t>
      </w:r>
      <w:r>
        <w:rPr>
          <w:rFonts w:ascii="Arial" w:cs="Arial" w:eastAsia="Arial" w:hAnsi="Arial"/>
          <w:sz w:val="18"/>
          <w:szCs w:val="18"/>
          <w:color w:val="auto"/>
        </w:rPr>
        <w:t>rose S/124 million, which partially offset the drop in the shares of some core deposits (interest bearing demand deposits and non-interest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demand deposits). Although the share in funding of BCRP Instruments increased +40 bps QoQ, this was mainly due to a contraction in other sources of funding and in deposits in particular.</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tabs>
          <w:tab w:leader="none" w:pos="480" w:val="left"/>
        </w:tabs>
        <w:rPr>
          <w:sz w:val="20"/>
          <w:szCs w:val="20"/>
          <w:color w:val="auto"/>
        </w:rPr>
      </w:pPr>
      <w:r>
        <w:rPr>
          <w:rFonts w:ascii="Arial" w:cs="Arial" w:eastAsia="Arial" w:hAnsi="Arial"/>
          <w:sz w:val="18"/>
          <w:szCs w:val="18"/>
          <w:i w:val="1"/>
          <w:iCs w:val="1"/>
          <w:color w:val="auto"/>
        </w:rPr>
        <w:t>2.1.1</w:t>
      </w:r>
      <w:r>
        <w:rPr>
          <w:sz w:val="20"/>
          <w:szCs w:val="20"/>
          <w:color w:val="auto"/>
        </w:rPr>
        <w:tab/>
      </w:r>
      <w:r>
        <w:rPr>
          <w:rFonts w:ascii="Arial" w:cs="Arial" w:eastAsia="Arial" w:hAnsi="Arial"/>
          <w:sz w:val="16"/>
          <w:szCs w:val="16"/>
          <w:i w:val="1"/>
          <w:iCs w:val="1"/>
          <w:color w:val="auto"/>
        </w:rPr>
        <w:t>Funding Structure by currency and tenure - BCP Stand-alone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BCP stand-alone accounted for approximately 78% of assets and liabilities. As such, it is important to analyze the funding structure by currency and tenure.</w:t>
      </w:r>
    </w:p>
    <w:p>
      <w:pPr>
        <w:spacing w:after="0" w:line="231"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March 2016</w:t>
            </w:r>
          </w:p>
        </w:tc>
        <w:tc>
          <w:tcPr>
            <w:tcW w:w="48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June 2016</w:t>
            </w:r>
          </w:p>
        </w:tc>
        <w:tc>
          <w:tcPr>
            <w:tcW w:w="40" w:type="dxa"/>
            <w:vAlign w:val="bottom"/>
          </w:tcPr>
          <w:p>
            <w:pPr>
              <w:spacing w:after="0"/>
              <w:rPr>
                <w:sz w:val="17"/>
                <w:szCs w:val="17"/>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8"/>
                <w:szCs w:val="18"/>
                <w:color w:val="auto"/>
                <w:w w:val="94"/>
              </w:rPr>
              <w:t>Funding LC</w:t>
            </w:r>
          </w:p>
        </w:tc>
        <w:tc>
          <w:tcPr>
            <w:tcW w:w="5680" w:type="dxa"/>
            <w:vAlign w:val="bottom"/>
            <w:gridSpan w:val="3"/>
          </w:tcPr>
          <w:p>
            <w:pPr>
              <w:jc w:val="center"/>
              <w:ind w:left="4730"/>
              <w:spacing w:after="0"/>
              <w:rPr>
                <w:sz w:val="20"/>
                <w:szCs w:val="20"/>
                <w:color w:val="auto"/>
              </w:rPr>
            </w:pPr>
            <w:r>
              <w:rPr>
                <w:rFonts w:ascii="Arial" w:cs="Arial" w:eastAsia="Arial" w:hAnsi="Arial"/>
                <w:sz w:val="18"/>
                <w:szCs w:val="18"/>
                <w:color w:val="auto"/>
                <w:w w:val="92"/>
              </w:rPr>
              <w:t>Funding 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137160</wp:posOffset>
            </wp:positionV>
            <wp:extent cx="6363335" cy="1989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6333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Mainly includes acceptances outstanding and other account payables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the small currency mismatch between BCP Stand-Alone’s assets and liabilities, which is in line with corporate policy. Similar to 1Q16’s, 46% of assets and 45% of liabilities at BCP Stand-Alone are denominated in LC.</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important to remember that BCRP funding, which is our most stable form of funding, has allowed us to strengthen our long-term funding structure given that it offers highly competitive costs in comparison to other long-term funding sources. These instruments facilitated loan growth in LC and the conversion of FC loans to LC.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Funding structure by tenure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142240</wp:posOffset>
            </wp:positionV>
            <wp:extent cx="34290" cy="2821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2821305"/>
                    </a:xfrm>
                    <a:prstGeom prst="rect">
                      <a:avLst/>
                    </a:prstGeom>
                    <a:noFill/>
                  </pic:spPr>
                </pic:pic>
              </a:graphicData>
            </a:graphic>
          </wp:anchor>
        </w:drawing>
      </w:r>
    </w:p>
    <w:p>
      <w:pPr>
        <w:spacing w:after="0" w:line="205" w:lineRule="exact"/>
        <w:rPr>
          <w:sz w:val="20"/>
          <w:szCs w:val="20"/>
          <w:color w:val="auto"/>
        </w:rPr>
      </w:pPr>
    </w:p>
    <w:p>
      <w:pPr>
        <w:ind w:left="1820"/>
        <w:spacing w:after="0"/>
        <w:tabs>
          <w:tab w:leader="none" w:pos="7660" w:val="left"/>
        </w:tabs>
        <w:rPr>
          <w:sz w:val="20"/>
          <w:szCs w:val="20"/>
          <w:color w:val="auto"/>
        </w:rPr>
      </w:pPr>
      <w:r>
        <w:rPr>
          <w:rFonts w:ascii="Arial" w:cs="Arial" w:eastAsia="Arial" w:hAnsi="Arial"/>
          <w:sz w:val="18"/>
          <w:szCs w:val="18"/>
          <w:b w:val="1"/>
          <w:bCs w:val="1"/>
          <w:color w:val="auto"/>
        </w:rPr>
        <w:t>At the end of March 2016</w:t>
      </w:r>
      <w:r>
        <w:rPr>
          <w:sz w:val="20"/>
          <w:szCs w:val="20"/>
          <w:color w:val="auto"/>
        </w:rPr>
        <w:tab/>
      </w:r>
      <w:r>
        <w:rPr>
          <w:rFonts w:ascii="Arial" w:cs="Arial" w:eastAsia="Arial" w:hAnsi="Arial"/>
          <w:sz w:val="16"/>
          <w:szCs w:val="16"/>
          <w:b w:val="1"/>
          <w:bCs w:val="1"/>
          <w:color w:val="auto"/>
        </w:rPr>
        <w:t>At the end of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154940</wp:posOffset>
            </wp:positionV>
            <wp:extent cx="6414770" cy="1115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4770" cy="111506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154940</wp:posOffset>
            </wp:positionV>
            <wp:extent cx="6414770" cy="1115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4770" cy="111506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40" w:hanging="332"/>
        <w:spacing w:after="0" w:line="252" w:lineRule="auto"/>
        <w:tabs>
          <w:tab w:leader="none" w:pos="4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include non-contractual deposits (Demand, Savings and Severance indemnity -CTS) and Time Deposits. The non-contractual deposits represent 76% of total deposits; 33% of the non-contractual deposits has tenure lower than 6 months and 67% of the non-contractual deposits has a duration higher than 6 months (9% ≤ 1 year, 28% between &gt;1 year and ≤ 3 years, and 63% from &gt;3 years onwards).</w:t>
      </w:r>
    </w:p>
    <w:p>
      <w:pPr>
        <w:spacing w:after="0" w:line="5" w:lineRule="exact"/>
        <w:rPr>
          <w:rFonts w:ascii="Arial" w:cs="Arial" w:eastAsia="Arial" w:hAnsi="Arial"/>
          <w:sz w:val="18"/>
          <w:szCs w:val="18"/>
          <w:color w:val="auto"/>
        </w:rPr>
      </w:pPr>
    </w:p>
    <w:p>
      <w:pPr>
        <w:ind w:left="340" w:right="20" w:hanging="332"/>
        <w:spacing w:after="0" w:line="261" w:lineRule="auto"/>
        <w:tabs>
          <w:tab w:leader="none" w:pos="5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26" w:right="100" w:hanging="326"/>
        <w:spacing w:after="0" w:line="252" w:lineRule="auto"/>
        <w:tabs>
          <w:tab w:leader="none" w:pos="5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Deposits include non-contractual deposits (Demand, Savings and Severance indemnity -CTS) and Time Deposits. The non-contractual deposits represent 75% of total deposits; 33% of the non-contractual deposits has tenure lower than 6 months. Based on BCP analysis, 67% of the non-contractual deposits has a duration higher than 6 months (10% ≤ 1 year, 28% between &gt;1 year and ≤ 3 years, and 62% from &gt;3 years onwards).</w:t>
      </w:r>
    </w:p>
    <w:p>
      <w:pPr>
        <w:spacing w:after="0" w:line="5" w:lineRule="exact"/>
        <w:rPr>
          <w:rFonts w:ascii="Arial" w:cs="Arial" w:eastAsia="Arial" w:hAnsi="Arial"/>
          <w:sz w:val="18"/>
          <w:szCs w:val="18"/>
          <w:color w:val="auto"/>
        </w:rPr>
      </w:pPr>
    </w:p>
    <w:p>
      <w:pPr>
        <w:ind w:left="326" w:right="120" w:hanging="326"/>
        <w:spacing w:after="0" w:line="261" w:lineRule="auto"/>
        <w:tabs>
          <w:tab w:leader="none" w:pos="5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4" w:lineRule="exact"/>
        <w:rPr>
          <w:sz w:val="20"/>
          <w:szCs w:val="20"/>
          <w:color w:val="auto"/>
        </w:rPr>
      </w:pPr>
    </w:p>
    <w:p>
      <w:pPr>
        <w:sectPr>
          <w:pgSz w:w="11900" w:h="16838" w:orient="portrait"/>
          <w:cols w:equalWidth="0" w:num="2">
            <w:col w:w="5400" w:space="334"/>
            <w:col w:w="5686"/>
          </w:cols>
          <w:pgMar w:left="240" w:top="908" w:right="23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The figure above show BCP Stand-alone’s funding structure by tenure. The solid participation of structural funding stands out and is in line with the increase in (i) BCRP Instruments, and (ii) Other Liabilities (in line with more Due to Banks and Correspondents), both with tenures greater than 2 years.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240" w:type="dxa"/>
            <w:vAlign w:val="bottom"/>
            <w:gridSpan w:val="3"/>
          </w:tcPr>
          <w:p>
            <w:pPr>
              <w:ind w:left="460"/>
              <w:spacing w:after="0"/>
              <w:rPr>
                <w:sz w:val="20"/>
                <w:szCs w:val="20"/>
                <w:color w:val="auto"/>
              </w:rPr>
            </w:pPr>
            <w:r>
              <w:rPr>
                <w:rFonts w:ascii="Arial" w:cs="Arial" w:eastAsia="Arial" w:hAnsi="Arial"/>
                <w:sz w:val="18"/>
                <w:szCs w:val="18"/>
                <w:b w:val="1"/>
                <w:bCs w:val="1"/>
                <w:color w:val="auto"/>
              </w:rPr>
              <w:t>Deposits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2Q16</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23,707,385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23,194,081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5,920,932</w:t>
            </w:r>
          </w:p>
        </w:tc>
        <w:tc>
          <w:tcPr>
            <w:tcW w:w="1120" w:type="dxa"/>
            <w:vAlign w:val="bottom"/>
          </w:tcPr>
          <w:p>
            <w:pPr>
              <w:jc w:val="right"/>
              <w:spacing w:after="0"/>
              <w:rPr>
                <w:sz w:val="20"/>
                <w:szCs w:val="20"/>
                <w:color w:val="auto"/>
              </w:rPr>
            </w:pPr>
            <w:r>
              <w:rPr>
                <w:rFonts w:ascii="Arial" w:cs="Arial" w:eastAsia="Arial" w:hAnsi="Arial"/>
                <w:sz w:val="18"/>
                <w:szCs w:val="18"/>
                <w:color w:val="auto"/>
              </w:rPr>
              <w:t>8,966,306</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8,443,396</w:t>
            </w:r>
          </w:p>
        </w:tc>
        <w:tc>
          <w:tcPr>
            <w:tcW w:w="8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21,989,053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25,534,015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25,205,462</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21,859,062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26,657,864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25,764,437</w:t>
            </w:r>
          </w:p>
        </w:tc>
        <w:tc>
          <w:tcPr>
            <w:tcW w:w="8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-3.4%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460" w:type="dxa"/>
            <w:vAlign w:val="bottom"/>
          </w:tcPr>
          <w:p>
            <w:pPr>
              <w:spacing w:after="0"/>
              <w:rPr>
                <w:sz w:val="22"/>
                <w:szCs w:val="22"/>
                <w:color w:val="auto"/>
              </w:rPr>
            </w:pPr>
          </w:p>
        </w:tc>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7,173,252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6,563,463</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6,997,706</w:t>
            </w:r>
          </w:p>
        </w:tc>
        <w:tc>
          <w:tcPr>
            <w:tcW w:w="8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260,939</w:t>
            </w:r>
          </w:p>
        </w:tc>
        <w:tc>
          <w:tcPr>
            <w:tcW w:w="1120" w:type="dxa"/>
            <w:vAlign w:val="bottom"/>
          </w:tcPr>
          <w:p>
            <w:pPr>
              <w:jc w:val="right"/>
              <w:spacing w:after="0"/>
              <w:rPr>
                <w:sz w:val="20"/>
                <w:szCs w:val="20"/>
                <w:color w:val="auto"/>
              </w:rPr>
            </w:pPr>
            <w:r>
              <w:rPr>
                <w:rFonts w:ascii="Arial" w:cs="Arial" w:eastAsia="Arial" w:hAnsi="Arial"/>
                <w:sz w:val="18"/>
                <w:szCs w:val="18"/>
                <w:color w:val="auto"/>
              </w:rPr>
              <w:t>324,467</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331,899</w:t>
            </w:r>
          </w:p>
        </w:tc>
        <w:tc>
          <w:tcPr>
            <w:tcW w:w="80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0"/>
        </w:trPr>
        <w:tc>
          <w:tcPr>
            <w:tcW w:w="46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80,910,623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92,758,434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89,936,981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640"/>
        <w:spacing w:after="0"/>
        <w:rPr>
          <w:sz w:val="20"/>
          <w:szCs w:val="20"/>
          <w:color w:val="auto"/>
        </w:rPr>
      </w:pPr>
      <w:r>
        <w:rPr>
          <w:rFonts w:ascii="Arial" w:cs="Arial" w:eastAsia="Arial" w:hAnsi="Arial"/>
          <w:sz w:val="18"/>
          <w:szCs w:val="18"/>
          <w:color w:val="auto"/>
        </w:rPr>
        <w:t>(1) Severance indemnity deposits.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deposits fell 300 bps QoQ, which was attributable to aggressive competition in this quarter.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the contraction in deposits QoQ was at BCP Stand-Alone and was mainly due to a decline in the deposits of Wholesale Banking. It is important to note that the QoQ appreciation of the Sol (-1.1% QoQ) explained approximately 65 bps of the QoQ reduction in total deposits, given that 59% of the total deposits are denominated in FC.</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regard to types of deposits, the largest contraction was registered in (i) </w:t>
      </w:r>
      <w:r>
        <w:rPr>
          <w:rFonts w:ascii="Arial" w:cs="Arial" w:eastAsia="Arial" w:hAnsi="Arial"/>
          <w:sz w:val="18"/>
          <w:szCs w:val="18"/>
          <w:b w:val="1"/>
          <w:bCs w:val="1"/>
          <w:color w:val="auto"/>
        </w:rPr>
        <w:t>Non-interest bearing Demand deposits</w:t>
      </w:r>
      <w:r>
        <w:rPr>
          <w:rFonts w:ascii="Arial" w:cs="Arial" w:eastAsia="Arial" w:hAnsi="Arial"/>
          <w:sz w:val="18"/>
          <w:szCs w:val="18"/>
          <w:color w:val="auto"/>
        </w:rPr>
        <w:t xml:space="preserve">, (ii)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due to a drop in deposits in LC by individuals and companies, which was partially offset by higher time deposits for institutional clients at Mibanco; and (iii) </w:t>
      </w:r>
      <w:r>
        <w:rPr>
          <w:rFonts w:ascii="Arial" w:cs="Arial" w:eastAsia="Arial" w:hAnsi="Arial"/>
          <w:sz w:val="18"/>
          <w:szCs w:val="18"/>
          <w:b w:val="1"/>
          <w:bCs w:val="1"/>
          <w:color w:val="auto"/>
        </w:rPr>
        <w:t xml:space="preserve">Interest-bearing Demand deposits </w:t>
      </w:r>
      <w:r>
        <w:rPr>
          <w:rFonts w:ascii="Arial" w:cs="Arial" w:eastAsia="Arial" w:hAnsi="Arial"/>
          <w:sz w:val="18"/>
          <w:szCs w:val="18"/>
          <w:color w:val="auto"/>
        </w:rPr>
        <w:t>(mainly from companies).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dropped -1.3% QoQ, primarily in LC.</w:t>
      </w:r>
      <w:r>
        <w:rPr>
          <w:rFonts w:ascii="Arial" w:cs="Arial" w:eastAsia="Arial" w:hAnsi="Arial"/>
          <w:sz w:val="18"/>
          <w:szCs w:val="18"/>
          <w:b w:val="1"/>
          <w:bCs w:val="1"/>
          <w:color w:val="auto"/>
        </w:rPr>
        <w:t xml:space="preserve"> CTS Deposits </w:t>
      </w:r>
      <w:r>
        <w:rPr>
          <w:rFonts w:ascii="Arial" w:cs="Arial" w:eastAsia="Arial" w:hAnsi="Arial"/>
          <w:sz w:val="18"/>
          <w:szCs w:val="18"/>
          <w:color w:val="auto"/>
        </w:rPr>
        <w:t>increase +6.6% QoQ due to the seasonal effect that take place every 2Q,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CTS payment made in May.</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 drop in deposits, which was mainly associated with cash withdrawals made by companies in the oil and gas sector, with the objective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pay income tax (this payment can be made until the end of June).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YoY terms, the +11.2% increase in total deposits was mainly in Retail Banking (63.7% of growth), where expansion was led by Time Deposits, followed by Savings and Interest bearing Demand Deposits. The +3.53% YoY appreciation of the US Dollar against the Sol led to a FX-adjusted growth of +9.1% in total deposits.</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2.2.1</w:t>
      </w:r>
      <w:r>
        <w:rPr>
          <w:sz w:val="20"/>
          <w:szCs w:val="20"/>
          <w:color w:val="auto"/>
        </w:rPr>
        <w:tab/>
      </w:r>
      <w:r>
        <w:rPr>
          <w:rFonts w:ascii="Arial" w:cs="Arial" w:eastAsia="Arial" w:hAnsi="Arial"/>
          <w:sz w:val="17"/>
          <w:szCs w:val="17"/>
          <w:i w:val="1"/>
          <w:iCs w:val="1"/>
          <w:color w:val="auto"/>
        </w:rPr>
        <w:t>Deposit dollarization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90170</wp:posOffset>
            </wp:positionV>
            <wp:extent cx="3593465" cy="814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9346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dollarization level of Credicorp’s deposits fell and was situated at 58.6%. This was due mainly to a drop in Demand Deposits and in Time Deposits in FC at BCP Stand-Alone and to a lesser extent to the reduction in FC deposits at Mibanco. The Sol’s appreciation against the US Dollar gave a slight boost to the de-dollarization process QoQ.</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An analysis of the YoY evolution reveals an increase in dollarization that was due mainly to an increase in time and savings deposits in FC and in part to the appreciation of the US Dollar against the Sol (+ 3.53% YoY).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important to note that approximately 88% of total deposits at Credicorp originate in Peru, primarily at BCP Stand-Alone and Mibanco. The percentage of deposits in US Dollars at BCP Stand-Alone and Mibanco at the end of June 2016 was 55.3% (56.4% in 1Q16) and14.6% (17.0% in 1Q16),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46115" cy="1063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611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An analysis of the QoQ evolution of four types of deposits at BCP Stand-Alone, in terms of average daily balances, reveals a drop in the dollarization level of (i) </w:t>
      </w:r>
      <w:r>
        <w:rPr>
          <w:rFonts w:ascii="Arial" w:cs="Arial" w:eastAsia="Arial" w:hAnsi="Arial"/>
          <w:sz w:val="18"/>
          <w:szCs w:val="18"/>
          <w:b w:val="1"/>
          <w:bCs w:val="1"/>
          <w:color w:val="auto"/>
        </w:rPr>
        <w:t>CTS Deposits</w:t>
      </w:r>
      <w:r>
        <w:rPr>
          <w:rFonts w:ascii="Arial" w:cs="Arial" w:eastAsia="Arial" w:hAnsi="Arial"/>
          <w:sz w:val="18"/>
          <w:szCs w:val="18"/>
          <w:color w:val="auto"/>
        </w:rPr>
        <w:t xml:space="preserve">, which are made in May; and (ii) Time </w:t>
      </w:r>
      <w:r>
        <w:rPr>
          <w:rFonts w:ascii="Arial" w:cs="Arial" w:eastAsia="Arial" w:hAnsi="Arial"/>
          <w:sz w:val="18"/>
          <w:szCs w:val="18"/>
          <w:b w:val="1"/>
          <w:bCs w:val="1"/>
          <w:color w:val="auto"/>
        </w:rPr>
        <w:t>Deposits,</w:t>
      </w:r>
      <w:r>
        <w:rPr>
          <w:rFonts w:ascii="Arial" w:cs="Arial" w:eastAsia="Arial" w:hAnsi="Arial"/>
          <w:sz w:val="18"/>
          <w:szCs w:val="18"/>
          <w:color w:val="auto"/>
        </w:rPr>
        <w:t xml:space="preserve"> due to lower deposit volumes in FC.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Demand Deposits </w:t>
      </w:r>
      <w:r>
        <w:rPr>
          <w:rFonts w:ascii="Arial" w:cs="Arial" w:eastAsia="Arial" w:hAnsi="Arial"/>
          <w:sz w:val="18"/>
          <w:szCs w:val="18"/>
          <w:color w:val="auto"/>
        </w:rPr>
        <w:t>(which include non-interest bearing deposits), and</w:t>
      </w:r>
      <w:r>
        <w:rPr>
          <w:rFonts w:ascii="Arial" w:cs="Arial" w:eastAsia="Arial" w:hAnsi="Arial"/>
          <w:sz w:val="18"/>
          <w:szCs w:val="18"/>
          <w:b w:val="1"/>
          <w:bCs w:val="1"/>
          <w:color w:val="auto"/>
        </w:rPr>
        <w:t xml:space="preserve"> Savings Deposits </w:t>
      </w:r>
      <w:r>
        <w:rPr>
          <w:rFonts w:ascii="Arial" w:cs="Arial" w:eastAsia="Arial" w:hAnsi="Arial"/>
          <w:sz w:val="18"/>
          <w:szCs w:val="18"/>
          <w:color w:val="auto"/>
        </w:rPr>
        <w:t>maintained a stable currency mix.</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Nevertheless, there was a YoY increase in the dollarization level of </w:t>
      </w:r>
      <w:r>
        <w:rPr>
          <w:rFonts w:ascii="Arial" w:cs="Arial" w:eastAsia="Arial" w:hAnsi="Arial"/>
          <w:sz w:val="18"/>
          <w:szCs w:val="18"/>
          <w:b w:val="1"/>
          <w:bCs w:val="1"/>
          <w:color w:val="auto"/>
        </w:rPr>
        <w:t>Demand Deposits, Time Deposits and Savings Deposits</w:t>
      </w:r>
      <w:r>
        <w:rPr>
          <w:rFonts w:ascii="Arial" w:cs="Arial" w:eastAsia="Arial" w:hAnsi="Arial"/>
          <w:sz w:val="18"/>
          <w:szCs w:val="18"/>
          <w:color w:val="auto"/>
        </w:rPr>
        <w:t xml:space="preserve"> due to the effect of the appreciation of the US Dollar against the Sol (+3.53% YoY), which reflected a drive to seek a value refuge in “stronger” currencies such as the US Dollar in a scenario in which this currency is expected to appreciate against the Sol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2.2.2</w:t>
      </w:r>
      <w:r>
        <w:rPr>
          <w:sz w:val="20"/>
          <w:szCs w:val="20"/>
          <w:color w:val="auto"/>
        </w:rPr>
        <w:tab/>
      </w:r>
      <w:r>
        <w:rPr>
          <w:rFonts w:ascii="Arial" w:cs="Arial" w:eastAsia="Arial" w:hAnsi="Arial"/>
          <w:sz w:val="16"/>
          <w:szCs w:val="16"/>
          <w:i w:val="1"/>
          <w:iCs w:val="1"/>
          <w:color w:val="auto"/>
        </w:rPr>
        <w:t>Market share in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46115" cy="1123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6115"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June 2015, 0.1% at the end of March 2016 and May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1.3% at the end of June 2015, and 1.2% at the end of March 2016 and May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Time deposits includes Mibanco's market share of 4.9% at the end of June 2015, 5.4% at the end of March 2016 and 5.5% at the end of May 2016.</w:t>
      </w:r>
    </w:p>
    <w:p>
      <w:pPr>
        <w:spacing w:after="0" w:line="20" w:lineRule="exact"/>
        <w:rPr>
          <w:rFonts w:ascii="Arial" w:cs="Arial" w:eastAsia="Arial" w:hAnsi="Arial"/>
          <w:sz w:val="17"/>
          <w:szCs w:val="17"/>
          <w:color w:val="auto"/>
        </w:rPr>
      </w:pPr>
    </w:p>
    <w:p>
      <w:pPr>
        <w:ind w:firstLine="8"/>
        <w:spacing w:after="0" w:line="261"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CTS or Severance indemnity deposits includes Mibanco's market share of 1.2% at the end of June 2015 and March 2016, and 1.3% at the end of May 2016.</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At the end of May 2016, the subsidiaries at Credicorp in Peru, BCP Stand-Alone and Mibanco, continued to lead the market for different types of deposits with a market share of 33.5% (30.2% in LC deposits and 37.0% in FC deposits). This fell slightly below the 33.9% reported in March 2015. The May 2016 result was situated approximately 14 percentage points above the level of its closest competitor.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analysis of markets by deposit types shows that time deposits and savings deposits increased their shares QoQ, which was in line with an increase in FC deposits related to a campaign for savings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YoY, time deposits experienced an increase in market share while demand deposits fell, which was in line with a drop in current accounts held by institutional clients. Savings and CTS deposits also experienced a decline in their market shares.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 Bolivia held on to its position as the fifth most important bank in the Bolivian financial system with a market share of 8.9% at the end of June 2016. This fell below the 9.6% reported at the end of March 2016 and the 9.4% posted at the end of June 2015. The drop in market share QoQ was due primarily to a decrease in demand deposits from companies in the oil and gas sector that withdrew cash to pay income tax. The YoY decline was due to the fact that growth of new loans at BCP Bolivia was not in line with growth in the banking system given that the bank decided to diversify its financing sources by making a second issuance of subordinated bonds for USD 20MM.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240" w:type="dxa"/>
            <w:vAlign w:val="bottom"/>
            <w:gridSpan w:val="3"/>
          </w:tcPr>
          <w:p>
            <w:pPr>
              <w:ind w:left="620"/>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1Q16</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9,180,228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8,688,933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8,931,350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10,012,756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11,181,320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11,305,771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6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15,601,653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15,295,655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15,255,588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20" w:type="dxa"/>
            <w:vAlign w:val="bottom"/>
          </w:tcPr>
          <w:p>
            <w:pPr>
              <w:spacing w:after="0"/>
              <w:rPr>
                <w:sz w:val="23"/>
                <w:szCs w:val="23"/>
                <w:color w:val="auto"/>
              </w:rPr>
            </w:pPr>
          </w:p>
        </w:tc>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12,128,488</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14,672,367</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12,519,684</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-14.7%</w:t>
            </w:r>
          </w:p>
        </w:tc>
        <w:tc>
          <w:tcPr>
            <w:tcW w:w="34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6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46,923,125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49,838,275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48,012,393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640" w:right="500" w:firstLine="6"/>
        <w:spacing w:after="0" w:line="261"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fell -3.7% QoQ. This was mainly due to a decrease in Other Liabilities given that the dividends payable to third parties at Credicorp and BCP, corresponding to 2015 and declared during 1Q16, were paid during the 2Q16.</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decrease was partially offset by the increase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which was mainly attributable to more financing with banks abroad at BCP Stand-Alone and to the increase in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mainly in Currency Repos and CDs.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fell QoQ. This was primarily attributable to BCP Stand-Alone and was due to i) maturities of corporate and subordinated</w:t>
      </w:r>
      <w:r>
        <w:rPr>
          <w:rFonts w:ascii="Arial" w:cs="Arial" w:eastAsia="Arial" w:hAnsi="Arial"/>
          <w:sz w:val="18"/>
          <w:szCs w:val="18"/>
          <w:b w:val="1"/>
          <w:bCs w:val="1"/>
          <w:color w:val="auto"/>
        </w:rPr>
        <w:t xml:space="preserve"> </w:t>
      </w:r>
      <w:r>
        <w:rPr>
          <w:rFonts w:ascii="Arial" w:cs="Arial" w:eastAsia="Arial" w:hAnsi="Arial"/>
          <w:sz w:val="18"/>
          <w:szCs w:val="18"/>
          <w:color w:val="auto"/>
        </w:rPr>
        <w:t>bonds and ii) the effect of the depreciation of the US Dollar this quarter (-1.11% QoQ) on debt denominated in FC given that 84% of this type of funding is in FC.</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YoY analysis reveals a significant increase in BCRP Instruments, which was partially offset by the decline in (i) Bonds and subordinated debt, mainly due to subordinated bond maturities at BCP Individual; and (ii) Due to Banks and Correspondents, which was in line with the fact that different types of funding were replaced by core deposits and BCRP Instruments. The aforementioned led to a restructuring of Other Sources of Funding at Credicorp to favor lower cost and more stable liabilities. This has, in turn, allowed the group to replace mainly Bonds and Subordinated Debt, which are the highest cost funding source, as well as Due to Banks and Correspondents.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Loan/Deposit Ratio per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154940</wp:posOffset>
            </wp:positionV>
            <wp:extent cx="5299710" cy="2289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9971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L/D ratio at Credicorp increased QoQ to 101.9% after all of the banking business subsidiaries, with the exception of ASB, posted increases in this ratio.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BCP Stand-Alone generated the greatest impact, followed by BCP Bolivia and, to a lesser extent, Mibanco. The aforementioned was due to the -3.0% decline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QoQ in deposits in a scenario in which the loans posted virtually no variation from last quarter’s figure (+0.2% QoQ).</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Nevertheless, YoY, the L/D ratio fell -129 bps due to an improvement at Mibanco and the fact that this ratio remained relatively stable at BCP Stand-Alone. It is important to note that this drop includes the effect of the apreciation of the US Dollar (+3.53% YoY), which bolstered the improvement in the L/D ratio.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Loan/Deposit ratio by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172085</wp:posOffset>
            </wp:positionV>
            <wp:extent cx="5505450" cy="1809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545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analysis of the L/D ratio by currency indicates that Credicorp’s L/D ratio in LC increased. This was due primarily to an increase in the ratio at BCP Stand-Alone, which was in turn attributable to a drop in LC deposits.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The funding cost at Credicorp fell -2 bps QoQ given that the contraction in interest expenses (-1.22% QoQ) was more significant than the drop reported in total average liabilities (-0.36% QoQ). The decline in interest expenses was due mainly to lower interest expenses on derivatives at Credicorp Capital, which offset the increase in the </w:t>
      </w:r>
      <w:r>
        <w:rPr>
          <w:rFonts w:ascii="Arial" w:cs="Arial" w:eastAsia="Arial" w:hAnsi="Arial"/>
          <w:sz w:val="17"/>
          <w:szCs w:val="17"/>
          <w:b w:val="1"/>
          <w:bCs w:val="1"/>
          <w:color w:val="auto"/>
        </w:rPr>
        <w:t>banking business</w:t>
      </w:r>
      <w:r>
        <w:rPr>
          <w:rFonts w:ascii="Arial" w:cs="Arial" w:eastAsia="Arial" w:hAnsi="Arial"/>
          <w:sz w:val="17"/>
          <w:szCs w:val="17"/>
          <w:color w:val="auto"/>
        </w:rPr>
        <w:t xml:space="preserve"> interest expenses. The funding cost at the banking business increased +3bps QoQ.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cost of funding by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Funding cost by subsidiary</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44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BCP Stand-alone</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Mibanco</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BCP Bolivia</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ASB</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Banking business</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Credicorp</w:t>
            </w:r>
            <w:r>
              <w:rPr>
                <w:rFonts w:ascii="Arial" w:cs="Arial" w:eastAsia="Arial" w:hAnsi="Arial"/>
                <w:sz w:val="30"/>
                <w:szCs w:val="30"/>
                <w:b w:val="1"/>
                <w:bCs w:val="1"/>
                <w:color w:val="auto"/>
                <w:w w:val="98"/>
                <w:vertAlign w:val="superscript"/>
              </w:rPr>
              <w:t>(1)</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CEEFF"/>
          </w:tcPr>
          <w:p>
            <w:pPr>
              <w:ind w:left="960"/>
              <w:spacing w:after="0"/>
              <w:rPr>
                <w:sz w:val="20"/>
                <w:szCs w:val="20"/>
                <w:color w:val="auto"/>
              </w:rPr>
            </w:pPr>
            <w:r>
              <w:rPr>
                <w:rFonts w:ascii="Arial" w:cs="Arial" w:eastAsia="Arial" w:hAnsi="Arial"/>
                <w:sz w:val="18"/>
                <w:szCs w:val="18"/>
                <w:b w:val="1"/>
                <w:bCs w:val="1"/>
                <w:color w:val="auto"/>
              </w:rPr>
              <w:t>2Q15</w:t>
            </w: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440" w:type="dxa"/>
            <w:vAlign w:val="bottom"/>
          </w:tcPr>
          <w:p>
            <w:pPr>
              <w:ind w:left="960"/>
              <w:spacing w:after="0"/>
              <w:rPr>
                <w:sz w:val="20"/>
                <w:szCs w:val="20"/>
                <w:color w:val="auto"/>
              </w:rPr>
            </w:pPr>
            <w:r>
              <w:rPr>
                <w:rFonts w:ascii="Arial" w:cs="Arial" w:eastAsia="Arial" w:hAnsi="Arial"/>
                <w:sz w:val="18"/>
                <w:szCs w:val="18"/>
                <w:b w:val="1"/>
                <w:bCs w:val="1"/>
                <w:color w:val="auto"/>
              </w:rPr>
              <w:t>1Q16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2Q16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bl>
    <w:p>
      <w:pPr>
        <w:ind w:right="400" w:firstLine="980"/>
        <w:spacing w:after="0" w:line="551" w:lineRule="auto"/>
        <w:tabs>
          <w:tab w:leader="none" w:pos="12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Credicorp includes results for the Banking Business, Grupo Pacifico, Prima AFP, smaller subsidiaries and consolidation adjustments. The funding cost at Credicorp remained more or less stable QoQ (-2 bps), which contrasts with the scenario observed at BCP Stand-Alone and Mibanco.</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cost of funding at </w:t>
      </w:r>
      <w:r>
        <w:rPr>
          <w:rFonts w:ascii="Arial" w:cs="Arial" w:eastAsia="Arial" w:hAnsi="Arial"/>
          <w:sz w:val="18"/>
          <w:szCs w:val="18"/>
          <w:b w:val="1"/>
          <w:bCs w:val="1"/>
          <w:color w:val="auto"/>
        </w:rPr>
        <w:t>BCP Individual</w:t>
      </w:r>
      <w:r>
        <w:rPr>
          <w:rFonts w:ascii="Arial" w:cs="Arial" w:eastAsia="Arial" w:hAnsi="Arial"/>
          <w:sz w:val="18"/>
          <w:szCs w:val="18"/>
          <w:color w:val="auto"/>
        </w:rPr>
        <w:t xml:space="preserve"> continued to follow an upward trend (+2 bps QoQ) that began in 3Q15 but nonetheless reported a decline in the pace growth of funding costs in 2Q16. The slight QoQ increase was due to (i) growth in interest expenses due to higher funding costs for the main sources of funding (savings deposits, BCRP Instruments), which was accentuated by, (ii) the contraction in the average of total liabilities QoQ given the drop in volumes of total deposits and in other liabilities (dividends for payment).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continued to experience more pressure, which began in 4Q15. In 2Q16, the cost increased +29 bps QoQ. This was due mainly to (i) higher interest expenses due to the increase in deposits; and (ii) higher financial expenses, which were associated with issuances of corporate and subordinated bonds in 2Q16.</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the funding cost increased +6 bps QoQ after having fallen continuously since 1Q15. The increase was due to growth in interest expenses, which was accentuated by a more significant contraction in the liabilities balance (mainly at the deposit level).</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continued to reduce its funding costs following efforts that began in 4Q15. It was the only banking subsidiary that posted a drop in its funding cost (-8</w:t>
      </w:r>
      <w:r>
        <w:rPr>
          <w:rFonts w:ascii="Arial" w:cs="Arial" w:eastAsia="Arial" w:hAnsi="Arial"/>
          <w:sz w:val="18"/>
          <w:szCs w:val="18"/>
          <w:b w:val="1"/>
          <w:bCs w:val="1"/>
          <w:color w:val="auto"/>
        </w:rPr>
        <w:t xml:space="preserve"> </w:t>
      </w:r>
      <w:r>
        <w:rPr>
          <w:rFonts w:ascii="Arial" w:cs="Arial" w:eastAsia="Arial" w:hAnsi="Arial"/>
          <w:sz w:val="18"/>
          <w:szCs w:val="18"/>
          <w:color w:val="auto"/>
        </w:rPr>
        <w:t>bps QoQ) due to a significant decline in interest expenses, which was associated with REPO maturities and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show the funding cost of our Banking business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by funding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6431915" cy="1775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191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Includes BCP Stand-alone, Mibanco, BCP Bolivia and ASB.</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2.6   Mutual Funds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80" w:type="dxa"/>
            <w:vAlign w:val="bottom"/>
            <w:gridSpan w:val="3"/>
          </w:tcPr>
          <w:p>
            <w:pPr>
              <w:ind w:left="860"/>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ind w:left="860"/>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2Q15</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1Q16</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2Q16</w:t>
            </w:r>
          </w:p>
        </w:tc>
        <w:tc>
          <w:tcPr>
            <w:tcW w:w="760" w:type="dxa"/>
            <w:vAlign w:val="bottom"/>
          </w:tcPr>
          <w:p>
            <w:pPr>
              <w:ind w:left="34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8,253,621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9,079,805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9,374,929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040" w:type="dxa"/>
            <w:vAlign w:val="bottom"/>
          </w:tcPr>
          <w:p>
            <w:pPr>
              <w:jc w:val="right"/>
              <w:spacing w:after="0"/>
              <w:rPr>
                <w:sz w:val="20"/>
                <w:szCs w:val="20"/>
                <w:color w:val="auto"/>
              </w:rPr>
            </w:pPr>
            <w:r>
              <w:rPr>
                <w:rFonts w:ascii="Arial" w:cs="Arial" w:eastAsia="Arial" w:hAnsi="Arial"/>
                <w:sz w:val="18"/>
                <w:szCs w:val="18"/>
                <w:color w:val="auto"/>
              </w:rPr>
              <w:t>407,848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502,968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520,584</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w w:val="93"/>
              </w:rPr>
              <w:t>27.6%</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8,661,468</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9,582,772</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9,895,513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3.3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5"/>
              </w:rPr>
              <w:t>14.2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reported growth QoQ and YoY. QoQ growth was due primarily to an increase in funds from corporate clients. The aforementioned allowed the bank to maintain a 42.3% share at the end of June 2016 (vs. 42.2% at the end of March 2016) and to continue to lead the Peruvian market.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Credicorp Capital Fondos Peru reported expansion of 13.6% in funds under management, which, if we exclude the effect of the appreciation of the US Dollar against the Sol, is 6.9%.</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The portfolio managed by </w:t>
      </w:r>
      <w:r>
        <w:rPr>
          <w:rFonts w:ascii="Arial" w:cs="Arial" w:eastAsia="Arial" w:hAnsi="Arial"/>
          <w:sz w:val="16"/>
          <w:szCs w:val="16"/>
          <w:b w:val="1"/>
          <w:bCs w:val="1"/>
          <w:color w:val="auto"/>
        </w:rPr>
        <w:t>Credifondo Bolivia</w:t>
      </w:r>
      <w:r>
        <w:rPr>
          <w:rFonts w:ascii="Arial" w:cs="Arial" w:eastAsia="Arial" w:hAnsi="Arial"/>
          <w:sz w:val="16"/>
          <w:szCs w:val="16"/>
          <w:color w:val="auto"/>
        </w:rPr>
        <w:t xml:space="preserve"> increased +3.5% QoQ, posting solid growth once again this term. It is important to note that the increase in funds under management was achieved with basically the same level of clients QoQ but which made larger investments this term. In terms of market share, Credifondo Bolivia was situated at 12.9% at the end of June 2016, which helped it maintain its position among the five largest players in the Bolivian market.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Credifondo Bolivia reported expansion of 27.6% in funds under management, which, if we exclude the appreciation of the Boliviano against the Sol, marked an increase of 20.2%. This growth was attributable to commercial management efforts with strategic clients.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Having reached in 1Q16 the lowest level in 3 years, the cost of risk increased +13 bps QoQ, situating at 2.11%. The aforementioned was due to an increase in provisions for loan losses, which was primarily attributable to higher delinquency in the Wholesale Banking, Consumer and Credit Card segments, and to the fact that loan growth was virtually zero this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2Q15</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2Q16</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(559,451)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(583,863)</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Loan loss recoveries and reversions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61,008</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106,214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99,953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(431,762)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(453,237)</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(483,910)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13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 bps</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213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 bps</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loans</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Borders>
              <w:bottom w:val="single" w:sz="8" w:color="CCEEFF"/>
            </w:tcBorders>
            <w:gridSpan w:val="2"/>
            <w:vMerge w:val="continue"/>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83,503,212</w:t>
            </w:r>
          </w:p>
        </w:tc>
        <w:tc>
          <w:tcPr>
            <w:tcW w:w="300" w:type="dxa"/>
            <w:vAlign w:val="bottom"/>
            <w:tcBorders>
              <w:bottom w:val="single" w:sz="8" w:color="CCEEFF"/>
            </w:tcBorders>
            <w:vMerge w:val="continue"/>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91,501,079</w:t>
            </w:r>
          </w:p>
        </w:tc>
        <w:tc>
          <w:tcPr>
            <w:tcW w:w="30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91,655,366</w:t>
            </w:r>
          </w:p>
        </w:tc>
        <w:tc>
          <w:tcPr>
            <w:tcW w:w="30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3,622,632</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3,944,456</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3,994,390</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Write-offs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353,690</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356,115</w:t>
            </w:r>
          </w:p>
        </w:tc>
        <w:tc>
          <w:tcPr>
            <w:tcW w:w="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458,686</w:t>
            </w:r>
          </w:p>
        </w:tc>
        <w:tc>
          <w:tcPr>
            <w:tcW w:w="3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Internal overdue loans </w:t>
            </w:r>
            <w:r>
              <w:rPr>
                <w:rFonts w:ascii="Arial" w:cs="Arial" w:eastAsia="Arial" w:hAnsi="Arial"/>
                <w:sz w:val="27"/>
                <w:szCs w:val="27"/>
                <w:color w:val="auto"/>
                <w:vertAlign w:val="superscript"/>
              </w:rPr>
              <w:t>(2)</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2,275,380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2,475,526</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2,611,949</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695,539</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753,063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751,163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2,970,919</w:t>
            </w:r>
          </w:p>
        </w:tc>
        <w:tc>
          <w:tcPr>
            <w:tcW w:w="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3,228,589</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3,363,232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 bps</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Internal overdue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14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 bps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3.67%</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14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 bps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-641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 bps</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118.8%</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-340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0</wp:posOffset>
            </wp:positionV>
            <wp:extent cx="4570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Provision for loan losses net of recoveries and reversal increased +6.8% QoQ. This was mainly due to (i) higher provisions at BCP and Mibanco, which were in turn attributable to an increase in delinquency, mainly in the Consumer, Credit Card and Mortgage segments and; to a lesser extent, due to (ii) a decrease in recoveries and reversals, which posted higher levels in 1Q16 at Mibanco. The aforementioned, coupled with virtually no growth in loans, translated into an</w:t>
      </w:r>
    </w:p>
    <w:p>
      <w:pPr>
        <w:jc w:val="both"/>
        <w:spacing w:after="0" w:line="205" w:lineRule="auto"/>
        <w:rPr>
          <w:sz w:val="20"/>
          <w:szCs w:val="20"/>
          <w:color w:val="auto"/>
        </w:rPr>
      </w:pPr>
      <w:r>
        <w:rPr>
          <w:rFonts w:ascii="Arial" w:cs="Arial" w:eastAsia="Arial" w:hAnsi="Arial"/>
          <w:sz w:val="18"/>
          <w:szCs w:val="18"/>
          <w:color w:val="auto"/>
        </w:rPr>
        <w:t xml:space="preserve">increase of +13 bps QoQ, and only +4bps YoY in the </w:t>
      </w:r>
      <w:r>
        <w:rPr>
          <w:rFonts w:ascii="Arial" w:cs="Arial" w:eastAsia="Arial" w:hAnsi="Arial"/>
          <w:sz w:val="18"/>
          <w:szCs w:val="18"/>
          <w:b w:val="1"/>
          <w:bCs w:val="1"/>
          <w:color w:val="auto"/>
        </w:rPr>
        <w:t>cost of risk</w:t>
      </w:r>
      <w:r>
        <w:rPr>
          <w:rFonts w:ascii="Arial" w:cs="Arial" w:eastAsia="Arial" w:hAnsi="Arial"/>
          <w:sz w:val="30"/>
          <w:szCs w:val="30"/>
          <w:b w:val="1"/>
          <w:bCs w:val="1"/>
          <w:color w:val="auto"/>
          <w:vertAlign w:val="superscript"/>
        </w:rPr>
        <w:t>4</w:t>
      </w:r>
      <w:r>
        <w:rPr>
          <w:rFonts w:ascii="Arial" w:cs="Arial" w:eastAsia="Arial" w:hAnsi="Arial"/>
          <w:sz w:val="18"/>
          <w:szCs w:val="18"/>
          <w:color w:val="auto"/>
        </w:rPr>
        <w:t>. It is important to note that the increase in provisions to cover the aforementioned segments was partially offset by lower provisions requirements in segments such as SME-Pyme and SME-Business.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of internal overdue loans</w:t>
      </w:r>
      <w:r>
        <w:rPr>
          <w:rFonts w:ascii="Arial" w:cs="Arial" w:eastAsia="Arial" w:hAnsi="Arial"/>
          <w:sz w:val="18"/>
          <w:szCs w:val="18"/>
          <w:color w:val="auto"/>
        </w:rPr>
        <w:t xml:space="preserve"> fell QoQ and YoY due to lower growth in the </w:t>
      </w:r>
      <w:r>
        <w:rPr>
          <w:rFonts w:ascii="Arial" w:cs="Arial" w:eastAsia="Arial" w:hAnsi="Arial"/>
          <w:sz w:val="18"/>
          <w:szCs w:val="18"/>
          <w:b w:val="1"/>
          <w:bCs w:val="1"/>
          <w:color w:val="auto"/>
        </w:rPr>
        <w:t>allowance for loan losses</w:t>
      </w:r>
      <w:r>
        <w:rPr>
          <w:rFonts w:ascii="Arial" w:cs="Arial" w:eastAsia="Arial" w:hAnsi="Arial"/>
          <w:sz w:val="18"/>
          <w:szCs w:val="18"/>
          <w:color w:val="auto"/>
        </w:rPr>
        <w:t xml:space="preserve"> than in the internal overdue loan portfolio. Nevertheless, this ratio is still within the levels defined in the organization’s risk policy. The same behavior was seen in the coverage of </w:t>
      </w:r>
      <w:r>
        <w:rPr>
          <w:rFonts w:ascii="Arial" w:cs="Arial" w:eastAsia="Arial" w:hAnsi="Arial"/>
          <w:sz w:val="18"/>
          <w:szCs w:val="18"/>
          <w:b w:val="1"/>
          <w:bCs w:val="1"/>
          <w:color w:val="auto"/>
        </w:rPr>
        <w:t>NPLs,</w:t>
      </w:r>
      <w:r>
        <w:rPr>
          <w:rFonts w:ascii="Arial" w:cs="Arial" w:eastAsia="Arial" w:hAnsi="Arial"/>
          <w:sz w:val="18"/>
          <w:szCs w:val="18"/>
          <w:color w:val="auto"/>
        </w:rPr>
        <w:t xml:space="preserve"> which declined less QoQ and YoY due to lower growth in refinanced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Ratio of provisions for annualized doubtful collections over total loans.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46115" cy="1835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611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Cost of risk = Annualized provisions for loan losses / Total loans.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the YoY analysis, </w:t>
      </w:r>
      <w:r>
        <w:rPr>
          <w:rFonts w:ascii="Arial" w:cs="Arial" w:eastAsia="Arial" w:hAnsi="Arial"/>
          <w:sz w:val="16"/>
          <w:szCs w:val="16"/>
          <w:color w:val="auto"/>
        </w:rPr>
        <w:t>provisions for loan losses increased +12.1%. This was mainly attributable to Wholesale Banking, Credit Card and Consumer segments.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risk posted a slight increase of only +4 bps given that YoY, provisions increase in the aforementioned segments. Loans, measured in quarter-end balances, expanded +9.8%, which attenuated the effect of an increase in provisions.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loans are affected by seasonal factors, the YoY analysis shows relative stability in terms of the cost of risk. Nevertheless, delinquency ratios increased more due to the impact of loans with real estate collateral, which affect the SME-Business, SME-Pyme and Mortgage segments.</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analyzing the evolution of traditional delinquency indicators (internal overdue ratio and NPL ratio), it is important to note that these ratios continue to be distorted by the existence of real estate collateral (commercial properties). This means that a large percentage of loans that are more than 150 days overdue cannot be charged off even if adequate provisions are in place, because a judicial process must be followed to liquidate the guarantee, which takes 4 years on average.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more dynamic movements in loans, particularly in the SME-Pyme and Mibanco segments, which launch Christmas financing campaigns in the second semester of the year (2H). These short-term loans are paid in 1H of the following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context, the internal overdue ratio deteriorated +14 bps QoQ to situate at 2.85% in 2Q16. This was due to an increase of +5.5% QoQ in the internal overdue portfolio and the fact that total loans posted virtually no growth (+0.2% QoQ). Expansion in the internal overdue portfolio was mainly attributable to the SME-Pyme, Consumer, Mortgage and SME-Business sectors. An operating error led the bank to mistakenly include a loan of S/.32 million for a Wholesale Banking client as a past-due loan. After deducting the error, the internal overdue ratio reaches the level of 2.82%, -3 bps lower than that of 1Q16.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non-performing loan portfolio (which includes refinanced loans) increased +4.2% QoQ. This was primarily due to growth in the internal overdue loan portfolio, conversely to refinanced loans that fell (-0.3% QoQ). The aforementioned, coupled with low loan growth, led to a non-performing ratio of 3.67% (+14 bps QoQ). The YoY analysis shows an increase of +11 bps due to an increase in the internal overdue loans and, to a lesser extent, to a YoY increase in the refinanced loans.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figure shows the evolution of the delinquency ratio by business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overdue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154940</wp:posOffset>
            </wp:positionV>
            <wp:extent cx="5282565" cy="4648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8256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480" w:val="left"/>
        </w:tabs>
        <w:rPr>
          <w:sz w:val="20"/>
          <w:szCs w:val="20"/>
          <w:color w:val="auto"/>
        </w:rPr>
      </w:pPr>
      <w:r>
        <w:rPr>
          <w:rFonts w:ascii="Arial" w:cs="Arial" w:eastAsia="Arial" w:hAnsi="Arial"/>
          <w:sz w:val="18"/>
          <w:szCs w:val="18"/>
          <w:i w:val="1"/>
          <w:iCs w:val="1"/>
          <w:color w:val="auto"/>
        </w:rPr>
        <w:t>3.2.1</w:t>
      </w:r>
      <w:r>
        <w:rPr>
          <w:sz w:val="20"/>
          <w:szCs w:val="20"/>
          <w:color w:val="auto"/>
        </w:rPr>
        <w:tab/>
      </w:r>
      <w:r>
        <w:rPr>
          <w:rFonts w:ascii="Arial" w:cs="Arial" w:eastAsia="Arial" w:hAnsi="Arial"/>
          <w:sz w:val="16"/>
          <w:szCs w:val="16"/>
          <w:i w:val="1"/>
          <w:iCs w:val="1"/>
          <w:color w:val="auto"/>
        </w:rPr>
        <w:t>Delinquency ratios by business segment</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154940</wp:posOffset>
            </wp:positionV>
            <wp:extent cx="5746115" cy="1783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11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Non-Performing Loans, which excludes operating error of 2Q16.</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Internal Overdue Ratio, which excludes operating error of 2Q16</w:t>
      </w:r>
    </w:p>
    <w:p>
      <w:pPr>
        <w:spacing w:after="0" w:line="206" w:lineRule="exact"/>
        <w:rPr>
          <w:rFonts w:ascii="Arial" w:cs="Arial" w:eastAsia="Arial" w:hAnsi="Arial"/>
          <w:sz w:val="18"/>
          <w:szCs w:val="18"/>
          <w:color w:val="auto"/>
        </w:rPr>
      </w:pPr>
    </w:p>
    <w:p>
      <w:pPr>
        <w:jc w:val="both"/>
        <w:ind w:left="500" w:hanging="492"/>
        <w:spacing w:after="0" w:line="26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internal overdue ratio for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increased +5 bps QoQ to situate at 0.33%. This was due to an operating error that mistakenly reported a large quota as past due loan. After excluding the effect of this operating error, the internal overdue ratio and NPL ratio fell -6 bps and -3 bps, respectively, situating at 0.22% and 0.41%, respectively.</w:t>
      </w:r>
    </w:p>
    <w:p>
      <w:pPr>
        <w:spacing w:after="0" w:line="180"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the YoY analysis, the adjusted delinquency ratios remained stable and within the framework for anticipated risk. The cost of risk was situated at 0.35%, which was +2 bps higher than 1Q16’s level, which was mainly due to higher provisions for a specific client whose debt service capacity was negatively affected by global oil prices. Nevertheless, by quarter-end, this debt had already been charged-off.</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46115" cy="2058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611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500" w:hanging="492"/>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deterioration in its internal overdue and NPL ratios at the end of 2Q16 with increases of +11 and +9 bps, respectively QoQ.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delinquency ratios reflects higher growth in the internal overdue portfolio than in loans. Growth in this portfolio was mainly attributable to Retail Banking. Loan growth fell due to seasonal factors (higher growth in 2H every year). Delinquency levels were higher in the YoY analysis due to regulatory changes in 2014, which affected the SME-Pyme segment in particular. New regulations for SME-Pyme restrict loan renewals then clients have to become accustomed to new debt levels.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increase in delinquency also affected the cost of risk, which increased +16 bps QoQ and +53 bps YoY.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analysis of the evolution of delinquency by line and product within Retail Banking, it is important to consider longer time horizons and to focus on the YoY analysis to eliminate seasonal effects on the SME-Pyme and Consumer segments.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46115" cy="1792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11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right="20" w:hanging="492"/>
        <w:spacing w:after="0" w:line="26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 analysis of 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reveals a significant drop of -26 and -31 bps QoQ in the internal overdue and NPL ratios due to i) an improvement in the risk quality of the loan book , which was reflected in the contraction of internal overdue loans and NPLs QoQ; and this was strengthened by ii) loan growth.</w:t>
      </w:r>
    </w:p>
    <w:p>
      <w:pPr>
        <w:spacing w:after="0" w:line="18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All aforementioned was also reflected in the significant decreased of -67 bps QoQ in cost of risk, which posted its lowest level in 2 years.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903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611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500" w:hanging="492"/>
        <w:spacing w:after="0" w:line="258"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With regard to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loan book, it is important to analyze the early delinquency indicator that excludes loans that are less than 60 days overdue (volatile loans that have a very high probability of recovery), and those that are over 150 days past due (loans that are covered by provisions but cannot be written-off due to the existence of real estate collateral – commercial properties). Early delinquency began to improve in the second half of 2014 and has continued to follow a downward YoY every quarter, which was in line with on-going efforts to calibrate the risk models. In this context, early delinquency fell -10 bps YoY.</w:t>
      </w:r>
    </w:p>
    <w:p>
      <w:pPr>
        <w:spacing w:after="0" w:line="187"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this context, the cost of risk also fell -73 bps YoY due to an improvement in the quality of risk of post-adjustment vintages. In 2Q16, seasonal effects were reported due to the Independence Day holidays and provisions were set aside to cover 100% of some loans whose guarantees failed to offer significant backing.</w:t>
      </w:r>
    </w:p>
    <w:p>
      <w:pPr>
        <w:spacing w:after="0" w:line="181"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terms of the internal overdue and NPLS ratios, the YoY analysis of both revealed an increase of +181 bps and +29 bps respectively. As mentioned earlier in the report, these ratios continue to be distorted due to the presence of guarantees that impede charge-offs despite the existence of sufficient provisions.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766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611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left="500" w:hanging="492"/>
        <w:spacing w:after="0" w:line="258"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loans, it is important to note that the foreclosure process takes 4 years on average. As such, it is important to analyze the evolution of early delinquency. This ratio increased QoQ and YoY, +3 and + 25 bps respectively, which is still within the organization’s risk appetite. The YoY deterioration is attributable to 2013 vintages in FC that have started showing a higher level of delinquency. Nevertheless, it is important to note that the campaign to covert FC loans to LC continues and in some cases the client has obtained an extension of the tenure to accommodate to the new level of debt service.</w:t>
      </w:r>
    </w:p>
    <w:p>
      <w:pPr>
        <w:spacing w:after="0" w:line="187"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The cost of risk for this segment increased +10 bps QoQ and +2 bps YoY due to the need to set aside more provisions for these loans, which are experiencing a downturn. Higher provisions are due to: i) a slight deterioration in loan vintages in FC that are associated with FC loans in the traditional Mortgage segment, which were mainly disbursed in 2013; and ii) lastly, the debt service capacity of some clients that have other products in BCP has been affected, which has an impact on the provision requirement in the mortgage loan book.</w:t>
      </w:r>
    </w:p>
    <w:p>
      <w:pPr>
        <w:spacing w:after="0" w:line="187"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It is important to note that the Mortgage segment is divided into two products: Traditional Mortgage at BCP and Mivivienda. We continue to follow-up on both products in the overdue loan portfolio and pay particular attention to loans that are in the judicial process to improve the recovery strategy.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7665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611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5" w:lineRule="exact"/>
        <w:rPr>
          <w:sz w:val="20"/>
          <w:szCs w:val="20"/>
          <w:color w:val="auto"/>
        </w:rPr>
      </w:pPr>
    </w:p>
    <w:p>
      <w:pPr>
        <w:jc w:val="both"/>
        <w:ind w:left="660" w:hanging="652"/>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Consumer portfolio, the internal overdue and the NPL portfolios grew +25 bps and + 13 bps QoQ, respectively, while the YoY increase was +52 bps and +40 bps, respectively. This deterioration is due primarily to the maturity of vintages from 2014 and 1Q15, which reflect the impact of the economic downturn and an increase in the debt level of our clients, which generates problems with over-indebtedness. Adjustments made to acceptance models and pricing models were made in 2Q15. This may explain the slight drop in early delinquency in 2Q16.</w:t>
      </w:r>
    </w:p>
    <w:p>
      <w:pPr>
        <w:spacing w:after="0" w:line="15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cost of risk increased +29 bps QoQ and +64 bps YoY, which was attributable to higher levels of delinquency.</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826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611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jc w:val="both"/>
        <w:ind w:left="500" w:hanging="492"/>
        <w:spacing w:after="0" w:line="261"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book posted a QoQ increase in its internal overdue and NPL ratios (16 bps and 25 bps, respectively). This was mainly attributable to the maturity of vintages that originated in 2015 and to the slowdown in loan growth, which began in early 2016. It is important to note that i) the levels reported are within the organization risk appetite, and ii) the flexibility of this portfolio to adjust relatively quick pricing and credit lines based on the client’s risk quality.</w:t>
      </w:r>
    </w:p>
    <w:p>
      <w:pPr>
        <w:spacing w:after="0" w:line="184"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A QoQ and YoY analysis of the cost of risk shows an increase that was partially attributable to higher provisions this quarter due to deterioration in our clients’ debt capacity with other entities (this information is obtained through external sources, which are available to the Peruvian financial system), which triggers a provision requirement.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90170</wp:posOffset>
            </wp:positionV>
            <wp:extent cx="5746115" cy="2032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1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hanging="492"/>
        <w:spacing w:after="0" w:line="261"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posted stable internal overdue and NPL ratios, which continues to show the results of risk and commercial strategy rolled out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in March 2014 not only to improve the risk quality of the loan book, but also to ensure that loan origination is made within the organization’s risk appetite. In the YoY analysis, the internal overdue and NPL ratios post further improvement, falling -183 bps YoY and -165 bps YoY,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Mibancos’ cost of risk is calculated starting on 2Q14 since net provisions were consolidated on BAP’s results at the beginning of this period.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left="520" w:right="20"/>
        <w:spacing w:after="0" w:line="277" w:lineRule="auto"/>
        <w:rPr>
          <w:sz w:val="20"/>
          <w:szCs w:val="20"/>
          <w:color w:val="auto"/>
        </w:rPr>
      </w:pPr>
      <w:r>
        <w:rPr>
          <w:rFonts w:ascii="Arial" w:cs="Arial" w:eastAsia="Arial" w:hAnsi="Arial"/>
          <w:sz w:val="18"/>
          <w:szCs w:val="18"/>
          <w:color w:val="auto"/>
        </w:rPr>
        <w:t>The cost of risk increased +19 bps QoQ due to higher provisions, which is, nonetheless, considered a more normalized level for this business. In the YoY analysis, Mibanco’s on-going improvement and stability are evident given that the cost of risk dropped -151 bps.</w:t>
      </w:r>
    </w:p>
    <w:p>
      <w:pPr>
        <w:spacing w:after="0" w:line="16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NIM fell -14 bps QoQ and -51 bps YoY. This was mainly attributed to a drop in NII versus a slight increase in average IEA. The former was mainly generated by lower income from forwards and from dividend income on investments. In terms of the loan mix, higher growth in Wholesale Banking’s average daily balances (segment with smaller margins) continued to pressure Credicorp’s NIM. For the first time, NIM after provisions contracted significantly, falling -22 bps QoQ and -49 bps YoY due to an increase in provisions as a percentage of NII.</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00" w:type="dxa"/>
            <w:vAlign w:val="bottom"/>
            <w:gridSpan w:val="3"/>
          </w:tcPr>
          <w:p>
            <w:pPr>
              <w:spacing w:after="0"/>
              <w:rPr>
                <w:sz w:val="20"/>
                <w:szCs w:val="20"/>
                <w:color w:val="auto"/>
              </w:rPr>
            </w:pPr>
            <w:r>
              <w:rPr>
                <w:rFonts w:ascii="Arial" w:cs="Arial" w:eastAsia="Arial" w:hAnsi="Arial"/>
                <w:sz w:val="14"/>
                <w:szCs w:val="14"/>
                <w:color w:val="auto"/>
              </w:rPr>
              <w:t>S/ 000</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2Q15</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1Q16</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2Q16</w:t>
            </w: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1H15</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1H16</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1H16/1H15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2,457,520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2,664,565</w:t>
            </w:r>
          </w:p>
        </w:tc>
        <w:tc>
          <w:tcPr>
            <w:tcW w:w="26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2,613,338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6.3%</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4,834,737</w:t>
            </w:r>
          </w:p>
        </w:tc>
        <w:tc>
          <w:tcPr>
            <w:tcW w:w="260" w:type="dxa"/>
            <w:vAlign w:val="bottom"/>
            <w:vMerge w:val="continue"/>
            <w:shd w:val="clear" w:color="auto" w:fill="CCEEFF"/>
          </w:tcPr>
          <w:p>
            <w:pPr>
              <w:spacing w:after="0"/>
              <w:rPr>
                <w:sz w:val="12"/>
                <w:szCs w:val="12"/>
                <w:color w:val="auto"/>
              </w:rPr>
            </w:pPr>
          </w:p>
        </w:tc>
        <w:tc>
          <w:tcPr>
            <w:tcW w:w="84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5,277,903</w:t>
            </w:r>
          </w:p>
        </w:tc>
        <w:tc>
          <w:tcPr>
            <w:tcW w:w="24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2,123,643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2,311,996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2,331,491</w:t>
            </w:r>
          </w:p>
        </w:tc>
        <w:tc>
          <w:tcPr>
            <w:tcW w:w="260" w:type="dxa"/>
            <w:vAlign w:val="bottom"/>
          </w:tcPr>
          <w:p>
            <w:pPr>
              <w:spacing w:after="0"/>
              <w:rPr>
                <w:sz w:val="12"/>
                <w:szCs w:val="12"/>
                <w:color w:val="auto"/>
              </w:rPr>
            </w:pP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4,200,766</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4,643,487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30,348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39,808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6,146</w:t>
            </w:r>
          </w:p>
        </w:tc>
        <w:tc>
          <w:tcPr>
            <w:tcW w:w="10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-84.6%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-79.7%</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48,886</w:t>
            </w:r>
          </w:p>
        </w:tc>
        <w:tc>
          <w:tcPr>
            <w:tcW w:w="1080" w:type="dxa"/>
            <w:vAlign w:val="bottom"/>
            <w:tcBorders>
              <w:lef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45,954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11,030</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12,366</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11,758</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18,645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223,094</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254,223</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253,040</w:t>
            </w:r>
          </w:p>
        </w:tc>
        <w:tc>
          <w:tcPr>
            <w:tcW w:w="10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13.4%</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441,816</w:t>
            </w:r>
          </w:p>
        </w:tc>
        <w:tc>
          <w:tcPr>
            <w:tcW w:w="1080" w:type="dxa"/>
            <w:vAlign w:val="bottom"/>
            <w:tcBorders>
              <w:lef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507,263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69,405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46,172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10,903</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-76.4%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-84.3%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124,624</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57,075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620,320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717,875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709,119</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14.3%</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1,212,175</w:t>
            </w:r>
          </w:p>
        </w:tc>
        <w:tc>
          <w:tcPr>
            <w:tcW w:w="1080" w:type="dxa"/>
            <w:vAlign w:val="bottom"/>
            <w:tcBorders>
              <w:lef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1,426,994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209,408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256,690</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261,015</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24.6%</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418,225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517,705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185,203</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202,950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208,730</w:t>
            </w:r>
          </w:p>
        </w:tc>
        <w:tc>
          <w:tcPr>
            <w:tcW w:w="10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12.7%</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395,499</w:t>
            </w:r>
          </w:p>
        </w:tc>
        <w:tc>
          <w:tcPr>
            <w:tcW w:w="1080" w:type="dxa"/>
            <w:vAlign w:val="bottom"/>
            <w:tcBorders>
              <w:lef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411,680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180,087</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203,421</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187,600</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357,879</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391,021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interest expense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45,622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54,814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51,774</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40,572</w:t>
            </w:r>
          </w:p>
        </w:tc>
        <w:tc>
          <w:tcPr>
            <w:tcW w:w="108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106,588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1,837,200</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1,946,690</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1,904,219</w:t>
            </w: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4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3,622,562</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3,850,909</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interest income after provisions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1,405,437</w:t>
            </w:r>
          </w:p>
        </w:tc>
        <w:tc>
          <w:tcPr>
            <w:tcW w:w="2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1,493,453</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1,420,308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2,688,663</w:t>
            </w:r>
          </w:p>
        </w:tc>
        <w:tc>
          <w:tcPr>
            <w:tcW w:w="260" w:type="dxa"/>
            <w:vAlign w:val="bottom"/>
            <w:shd w:val="clear" w:color="auto" w:fill="CCEEFF"/>
          </w:tcPr>
          <w:p>
            <w:pPr>
              <w:spacing w:after="0"/>
              <w:rPr>
                <w:sz w:val="12"/>
                <w:szCs w:val="12"/>
                <w:color w:val="auto"/>
              </w:rPr>
            </w:pPr>
          </w:p>
        </w:tc>
        <w:tc>
          <w:tcPr>
            <w:tcW w:w="840" w:type="dxa"/>
            <w:vAlign w:val="bottom"/>
            <w:tcBorders>
              <w:left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2,913,761</w:t>
            </w:r>
          </w:p>
        </w:tc>
        <w:tc>
          <w:tcPr>
            <w:tcW w:w="2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interest earning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129,009,511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146,139,956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146,761,868</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126,749,301</w:t>
            </w:r>
          </w:p>
        </w:tc>
        <w:tc>
          <w:tcPr>
            <w:tcW w:w="108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144,725,643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2"/>
            <w:vMerge w:val="restart"/>
          </w:tcPr>
          <w:p>
            <w:pPr>
              <w:spacing w:after="0" w:line="189"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b w:val="1"/>
                <w:bCs w:val="1"/>
                <w:color w:val="auto"/>
                <w:vertAlign w:val="superscript"/>
              </w:rPr>
              <w:t>(1)</w:t>
            </w: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5.70%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5.19%</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-14bps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-51bps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5.72%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5.32%</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-39bps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Net interest margin after provisions </w:t>
            </w:r>
            <w:r>
              <w:rPr>
                <w:rFonts w:ascii="Arial" w:cs="Arial" w:eastAsia="Arial" w:hAnsi="Arial"/>
                <w:sz w:val="21"/>
                <w:szCs w:val="21"/>
                <w:b w:val="1"/>
                <w:bCs w:val="1"/>
                <w:color w:val="auto"/>
                <w:vertAlign w:val="superscript"/>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4.09%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3.87%</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-22bps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-49bps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4.24%</w:t>
            </w:r>
          </w:p>
        </w:tc>
        <w:tc>
          <w:tcPr>
            <w:tcW w:w="10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4.03%</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-22bps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Provisions / Net Interest Income</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23.50%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23.28%</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25.41%</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213bps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191bps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25.78%</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24.34%</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-144bps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-8890</wp:posOffset>
            </wp:positionV>
            <wp:extent cx="52482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Annualized</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Interest Income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Interest income fell -1.9% QoQ. This was primarily attributable to (i) a drop in </w:t>
      </w:r>
      <w:r>
        <w:rPr>
          <w:rFonts w:ascii="Arial" w:cs="Arial" w:eastAsia="Arial" w:hAnsi="Arial"/>
          <w:sz w:val="18"/>
          <w:szCs w:val="18"/>
          <w:b w:val="1"/>
          <w:bCs w:val="1"/>
          <w:color w:val="auto"/>
        </w:rPr>
        <w:t>Other interest income</w:t>
      </w:r>
      <w:r>
        <w:rPr>
          <w:rFonts w:ascii="Arial" w:cs="Arial" w:eastAsia="Arial" w:hAnsi="Arial"/>
          <w:sz w:val="18"/>
          <w:szCs w:val="18"/>
          <w:color w:val="auto"/>
        </w:rPr>
        <w:t xml:space="preserve"> due to lower gains on foreign exchange swaps (at BCP Stand-alone) due to a decrease in the difference between the rate in Soles and the rate in US Dollars; and (ii) lower </w:t>
      </w:r>
      <w:r>
        <w:rPr>
          <w:rFonts w:ascii="Arial" w:cs="Arial" w:eastAsia="Arial" w:hAnsi="Arial"/>
          <w:sz w:val="18"/>
          <w:szCs w:val="18"/>
          <w:b w:val="1"/>
          <w:bCs w:val="1"/>
          <w:color w:val="auto"/>
        </w:rPr>
        <w:t>Interest and Dividends on investments</w:t>
      </w:r>
      <w:r>
        <w:rPr>
          <w:rFonts w:ascii="Arial" w:cs="Arial" w:eastAsia="Arial" w:hAnsi="Arial"/>
          <w:sz w:val="18"/>
          <w:szCs w:val="18"/>
          <w:color w:val="auto"/>
        </w:rPr>
        <w:t xml:space="preserve"> associated with dividends from the equity position in BCI that were paid in 1Q16.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only partially offset by an increase in Interest income on loans, which grew but at a very low rate due to:</w:t>
      </w:r>
    </w:p>
    <w:p>
      <w:pPr>
        <w:spacing w:after="0" w:line="225"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very low loan growth (+0.5% QoQ in average daily balances); and</w:t>
      </w:r>
    </w:p>
    <w:p>
      <w:pPr>
        <w:spacing w:after="0" w:line="23" w:lineRule="exact"/>
        <w:rPr>
          <w:rFonts w:ascii="Arial" w:cs="Arial" w:eastAsia="Arial" w:hAnsi="Arial"/>
          <w:sz w:val="18"/>
          <w:szCs w:val="18"/>
          <w:color w:val="auto"/>
        </w:rPr>
      </w:pPr>
    </w:p>
    <w:p>
      <w:pPr>
        <w:ind w:left="980" w:hanging="648"/>
        <w:spacing w:after="0" w:line="261"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rates, which are part of the strategy to improve the risk profile, as well as pressure from a highly competitive environment, particularly in Wholesale Banking.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interest income on loans grew at Mibanco, which was in line with an improvement in the pace of portfolio growth measured in average daily balances of +2.2%.</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income rose +6.3%. This was mainly attributable to higher income from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(+9.8%) due to a +10.4% YoY expansion in average daily balances for Credicorp loans, which was in turn due to expansion in Wholesale Banking (+10.1%), the SME-Business segment (+24.1%) and Mortgages (+6.5%).</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aforementioned offset a drop in:</w:t>
      </w:r>
    </w:p>
    <w:p>
      <w:pPr>
        <w:spacing w:after="0" w:line="221" w:lineRule="exact"/>
        <w:rPr>
          <w:sz w:val="20"/>
          <w:szCs w:val="20"/>
          <w:color w:val="auto"/>
        </w:rPr>
      </w:pPr>
    </w:p>
    <w:p>
      <w:pPr>
        <w:jc w:val="both"/>
        <w:ind w:left="720" w:hanging="658"/>
        <w:spacing w:after="0" w:line="223"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Other interest income </w:t>
      </w:r>
      <w:r>
        <w:rPr>
          <w:rFonts w:ascii="Arial" w:cs="Arial" w:eastAsia="Arial" w:hAnsi="Arial"/>
          <w:sz w:val="18"/>
          <w:szCs w:val="18"/>
          <w:color w:val="auto"/>
        </w:rPr>
        <w:t>(-84.3%), mainly at BCP Stand-Alone. This was due to the fact that in 2Q15, this account reported significant net gains on</w:t>
      </w:r>
      <w:r>
        <w:rPr>
          <w:rFonts w:ascii="Arial" w:cs="Arial" w:eastAsia="Arial" w:hAnsi="Arial"/>
          <w:sz w:val="18"/>
          <w:szCs w:val="18"/>
          <w:b w:val="1"/>
          <w:bCs w:val="1"/>
          <w:color w:val="auto"/>
        </w:rPr>
        <w:t xml:space="preserve"> </w:t>
      </w:r>
      <w:r>
        <w:rPr>
          <w:rFonts w:ascii="Arial" w:cs="Arial" w:eastAsia="Arial" w:hAnsi="Arial"/>
          <w:sz w:val="18"/>
          <w:szCs w:val="18"/>
          <w:color w:val="auto"/>
        </w:rPr>
        <w:t>forwards with BCRP (foreign exchange swaps).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During 2016, the gains on this instruments were significantly lower since the volumes for this type of transaction have significantly decreased as expected; and</w:t>
      </w:r>
    </w:p>
    <w:p>
      <w:pPr>
        <w:spacing w:after="0" w:line="1" w:lineRule="exact"/>
        <w:rPr>
          <w:rFonts w:ascii="Arial" w:cs="Arial" w:eastAsia="Arial" w:hAnsi="Arial"/>
          <w:sz w:val="18"/>
          <w:szCs w:val="18"/>
          <w:color w:val="auto"/>
        </w:rPr>
      </w:pPr>
    </w:p>
    <w:p>
      <w:pPr>
        <w:ind w:left="720" w:right="20" w:hanging="658"/>
        <w:spacing w:after="0" w:line="261"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Interest and dividends on investments </w:t>
      </w:r>
      <w:r>
        <w:rPr>
          <w:rFonts w:ascii="Arial" w:cs="Arial" w:eastAsia="Arial" w:hAnsi="Arial"/>
          <w:sz w:val="18"/>
          <w:szCs w:val="18"/>
          <w:color w:val="auto"/>
        </w:rPr>
        <w:t>(-79.7%) given that dividends on the investment in BCI were paid in 1Q16, while last year they were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2Q15.</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Interest expenses fell -1.2% QoQ. This was mainly due to (i) lower expenses for Interest on Bonds and Subordinated Notes, which was attributable to maturities at BCP Stand Alone; and (ii) lower expenses on </w:t>
      </w:r>
      <w:r>
        <w:rPr>
          <w:rFonts w:ascii="Arial" w:cs="Arial" w:eastAsia="Arial" w:hAnsi="Arial"/>
          <w:sz w:val="18"/>
          <w:szCs w:val="18"/>
          <w:b w:val="1"/>
          <w:bCs w:val="1"/>
          <w:color w:val="auto"/>
        </w:rPr>
        <w:t>Other Interest Expenses</w:t>
      </w:r>
      <w:r>
        <w:rPr>
          <w:rFonts w:ascii="Arial" w:cs="Arial" w:eastAsia="Arial" w:hAnsi="Arial"/>
          <w:sz w:val="18"/>
          <w:szCs w:val="18"/>
          <w:color w:val="auto"/>
        </w:rPr>
        <w:t>, mainly at Credicorp Capital, given that in 2Q16, it posted some gains on derivatives, conversely to the losses registered in the previous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the increase in:</w:t>
      </w:r>
    </w:p>
    <w:p>
      <w:pPr>
        <w:spacing w:after="0" w:line="23" w:lineRule="exact"/>
        <w:rPr>
          <w:sz w:val="20"/>
          <w:szCs w:val="20"/>
          <w:color w:val="auto"/>
        </w:rPr>
      </w:pPr>
    </w:p>
    <w:p>
      <w:pPr>
        <w:ind w:left="980" w:right="20" w:hanging="648"/>
        <w:spacing w:after="0" w:line="250"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Interest expenses on loans </w:t>
      </w:r>
      <w:r>
        <w:rPr>
          <w:rFonts w:ascii="Arial" w:cs="Arial" w:eastAsia="Arial" w:hAnsi="Arial"/>
          <w:sz w:val="18"/>
          <w:szCs w:val="18"/>
          <w:color w:val="auto"/>
        </w:rPr>
        <w:t>due to an increase in the volume of transactions and interest rates set for REPO transactions with BCRP, which were</w:t>
      </w:r>
      <w:r>
        <w:rPr>
          <w:rFonts w:ascii="Arial" w:cs="Arial" w:eastAsia="Arial" w:hAnsi="Arial"/>
          <w:sz w:val="18"/>
          <w:szCs w:val="18"/>
          <w:b w:val="1"/>
          <w:bCs w:val="1"/>
          <w:color w:val="auto"/>
        </w:rPr>
        <w:t xml:space="preserve"> </w:t>
      </w:r>
      <w:r>
        <w:rPr>
          <w:rFonts w:ascii="Arial" w:cs="Arial" w:eastAsia="Arial" w:hAnsi="Arial"/>
          <w:sz w:val="18"/>
          <w:szCs w:val="18"/>
          <w:color w:val="auto"/>
        </w:rPr>
        <w:t>mainly at BCP Stand-alone and in foreign currency; and</w:t>
      </w:r>
    </w:p>
    <w:p>
      <w:pPr>
        <w:ind w:left="980" w:hanging="648"/>
        <w:spacing w:after="0" w:line="261"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Interest expenses on deposits</w:t>
      </w:r>
      <w:r>
        <w:rPr>
          <w:rFonts w:ascii="Arial" w:cs="Arial" w:eastAsia="Arial" w:hAnsi="Arial"/>
          <w:sz w:val="18"/>
          <w:szCs w:val="18"/>
          <w:color w:val="auto"/>
        </w:rPr>
        <w:t>, which was attributable to a higher deposit level at Mibanco and an increase in the average cost of deposits, as</w:t>
      </w:r>
      <w:r>
        <w:rPr>
          <w:rFonts w:ascii="Arial" w:cs="Arial" w:eastAsia="Arial" w:hAnsi="Arial"/>
          <w:sz w:val="18"/>
          <w:szCs w:val="18"/>
          <w:b w:val="1"/>
          <w:bCs w:val="1"/>
          <w:color w:val="auto"/>
        </w:rPr>
        <w:t xml:space="preserve"> </w:t>
      </w:r>
      <w:r>
        <w:rPr>
          <w:rFonts w:ascii="Arial" w:cs="Arial" w:eastAsia="Arial" w:hAnsi="Arial"/>
          <w:sz w:val="18"/>
          <w:szCs w:val="18"/>
          <w:color w:val="auto"/>
        </w:rPr>
        <w:t>explained in section “</w:t>
      </w:r>
      <w:r>
        <w:rPr>
          <w:rFonts w:ascii="Arial" w:cs="Arial" w:eastAsia="Arial" w:hAnsi="Arial"/>
          <w:sz w:val="18"/>
          <w:szCs w:val="18"/>
          <w:i w:val="1"/>
          <w:iCs w:val="1"/>
          <w:color w:val="auto"/>
        </w:rPr>
        <w:t>2.5 Funding Cost.”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expenses rose +14.3%, which was primarily due to higher interest expenses on deposits and interest expenses on loans at BCP Stand-Alone.</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Net Interest Margin (NIM)</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QoQ analysis, </w:t>
      </w:r>
      <w:r>
        <w:rPr>
          <w:rFonts w:ascii="Arial" w:cs="Arial" w:eastAsia="Arial" w:hAnsi="Arial"/>
          <w:sz w:val="18"/>
          <w:szCs w:val="18"/>
          <w:b w:val="1"/>
          <w:bCs w:val="1"/>
          <w:color w:val="auto"/>
        </w:rPr>
        <w:t>NIM</w:t>
      </w:r>
      <w:r>
        <w:rPr>
          <w:rFonts w:ascii="Arial" w:cs="Arial" w:eastAsia="Arial" w:hAnsi="Arial"/>
          <w:sz w:val="18"/>
          <w:szCs w:val="18"/>
          <w:color w:val="auto"/>
        </w:rPr>
        <w:t xml:space="preserve"> fell considerably due to a contraction in NII (-2.2% QoQ) and growth in average IEA (+0.4% QoQ). As in previous quarters, the main factors that generated pressure on NIM were (i) the increase in interest expenses; (ii) lower loan growth; and (iii) the strategy to improve the risk profile, which implied expanding in segments that offer lower margins.</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NIM after provisions </w:t>
      </w:r>
      <w:r>
        <w:rPr>
          <w:rFonts w:ascii="Arial" w:cs="Arial" w:eastAsia="Arial" w:hAnsi="Arial"/>
          <w:sz w:val="17"/>
          <w:szCs w:val="17"/>
          <w:color w:val="auto"/>
        </w:rPr>
        <w:t>registered a drop of -22 bps QoQ. This was attributable to an increase in provisions for loans losses in 2Q16 versus the level of 1Q16,</w:t>
      </w:r>
      <w:r>
        <w:rPr>
          <w:rFonts w:ascii="Arial" w:cs="Arial" w:eastAsia="Arial" w:hAnsi="Arial"/>
          <w:sz w:val="17"/>
          <w:szCs w:val="17"/>
          <w:b w:val="1"/>
          <w:bCs w:val="1"/>
          <w:color w:val="auto"/>
        </w:rPr>
        <w:t xml:space="preserve"> </w:t>
      </w:r>
      <w:r>
        <w:rPr>
          <w:rFonts w:ascii="Arial" w:cs="Arial" w:eastAsia="Arial" w:hAnsi="Arial"/>
          <w:sz w:val="17"/>
          <w:szCs w:val="17"/>
          <w:color w:val="auto"/>
        </w:rPr>
        <w:t>when more recoveries and reversals were reported. Provisions as percentage of NII increased from 23.28% in 1Q16 to 25.41% in 2Q16.</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the figure shows, NIM after provisions was more or less stable from 3Q15 to 1Q16 but posted a decline in 2Q16 due to an increase in provisions with regard to 1Q16’s level, as explained in the previous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jc w:val="both"/>
        <w:ind w:firstLine="8"/>
        <w:spacing w:after="0" w:line="224" w:lineRule="auto"/>
        <w:tabs>
          <w:tab w:leader="none" w:pos="15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Forwards with BCRP (foreign exchange swaps) provide financing in Soles that Credicorp covers with forwards with private institutional clients (the majority foreign). The increase in income from these foreign exchange swaps originated because the overbought position allowed the group to obtain gains due to the appreciation of the US Dollar that were higher than the payment made to obtain funding in Soles. These instruments are used mainly by BCP and are aligned with BCRP’s policy to reduce the excessive volatility that tends to arise in the exchange rate. It is important to consider that BCRP has set limits for the forward business that will begin to reduce this business’s levels.</w:t>
      </w:r>
    </w:p>
    <w:p>
      <w:pPr>
        <w:spacing w:after="0" w:line="200" w:lineRule="exact"/>
        <w:rPr>
          <w:sz w:val="20"/>
          <w:szCs w:val="20"/>
          <w:color w:val="auto"/>
        </w:rPr>
      </w:pPr>
    </w:p>
    <w:p>
      <w:pPr>
        <w:spacing w:after="0" w:line="211"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6"/>
          <w:szCs w:val="16"/>
          <w:b w:val="1"/>
          <w:bCs w:val="1"/>
          <w:color w:val="auto"/>
        </w:rPr>
        <w:t>Credicorp’s NIM and NIM after provisions</w:t>
      </w:r>
      <w:r>
        <w:rPr>
          <w:rFonts w:ascii="Arial" w:cs="Arial" w:eastAsia="Arial" w:hAnsi="Arial"/>
          <w:sz w:val="26"/>
          <w:szCs w:val="26"/>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119380</wp:posOffset>
            </wp:positionV>
            <wp:extent cx="5746115" cy="2298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6115" cy="229806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40"/>
        <w:spacing w:after="0" w:line="258"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was basically flat (+4 bps QoQ), which was in line with higher growth in NII</w:t>
      </w:r>
      <w:r>
        <w:rPr>
          <w:rFonts w:ascii="Arial" w:cs="Arial" w:eastAsia="Arial" w:hAnsi="Arial"/>
          <w:sz w:val="18"/>
          <w:szCs w:val="18"/>
          <w:b w:val="1"/>
          <w:bCs w:val="1"/>
          <w:color w:val="auto"/>
        </w:rPr>
        <w:t xml:space="preserve"> </w:t>
      </w:r>
      <w:r>
        <w:rPr>
          <w:rFonts w:ascii="Arial" w:cs="Arial" w:eastAsia="Arial" w:hAnsi="Arial"/>
          <w:sz w:val="18"/>
          <w:szCs w:val="18"/>
          <w:color w:val="auto"/>
        </w:rPr>
        <w:t>than in loans. In the YoY analysis, NIM on loans fell -11 bps due to higher growth in the average loan balance than in NII due to changes registered in the loan portfolio mix in 2015 due to higher pace of loan growth in low-margin business segments, which have also better risk profile.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169545</wp:posOffset>
            </wp:positionV>
            <wp:extent cx="1929765" cy="11404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9765" cy="1140460"/>
                    </a:xfrm>
                    <a:prstGeom prst="rect">
                      <a:avLst/>
                    </a:prstGeom>
                    <a:noFill/>
                  </pic:spPr>
                </pic:pic>
              </a:graphicData>
            </a:graphic>
          </wp:anchor>
        </w:drawing>
      </w:r>
    </w:p>
    <w:p>
      <w:pPr>
        <w:spacing w:after="0" w:line="1128" w:lineRule="exact"/>
        <w:rPr>
          <w:sz w:val="20"/>
          <w:szCs w:val="20"/>
          <w:color w:val="auto"/>
        </w:rPr>
      </w:pPr>
    </w:p>
    <w:p>
      <w:pPr>
        <w:sectPr>
          <w:pgSz w:w="11900" w:h="16838" w:orient="portrait"/>
          <w:cols w:equalWidth="0" w:num="2">
            <w:col w:w="7900" w:space="720"/>
            <w:col w:w="280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contains the interest margins at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88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BCP Stand-alone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Mibanco</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BCP Bolivia</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ASB</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Credicorp</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2Q15</w:t>
            </w:r>
          </w:p>
        </w:tc>
        <w:tc>
          <w:tcPr>
            <w:tcW w:w="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NIM for 1Q16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2Q16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Crédito and Eliminations for consolidation purposes.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(2)Figures differ from the ones reported last quarter. Please consider this report´s figures.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An analysis of the evolution of </w:t>
      </w:r>
      <w:r>
        <w:rPr>
          <w:rFonts w:ascii="Arial" w:cs="Arial" w:eastAsia="Arial" w:hAnsi="Arial"/>
          <w:sz w:val="18"/>
          <w:szCs w:val="18"/>
          <w:b w:val="1"/>
          <w:bCs w:val="1"/>
          <w:color w:val="auto"/>
        </w:rPr>
        <w:t>global NIM</w:t>
      </w:r>
      <w:r>
        <w:rPr>
          <w:rFonts w:ascii="Arial" w:cs="Arial" w:eastAsia="Arial" w:hAnsi="Arial"/>
          <w:sz w:val="18"/>
          <w:szCs w:val="18"/>
          <w:color w:val="auto"/>
        </w:rPr>
        <w:t xml:space="preserve"> by subsidiary shows that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accounts for the majority of variations in Credicorp’s NIM because it represents around 68% of the group’s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9" w:lineRule="exact"/>
        <w:rPr>
          <w:sz w:val="20"/>
          <w:szCs w:val="20"/>
          <w:color w:val="auto"/>
        </w:rPr>
      </w:pPr>
    </w:p>
    <w:p>
      <w:pPr>
        <w:ind w:left="120" w:hanging="112"/>
        <w:spacing w:after="0"/>
        <w:tabs>
          <w:tab w:leader="none" w:pos="12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137160</wp:posOffset>
            </wp:positionV>
            <wp:extent cx="448500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850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Accordingly, the QoQ and YoY drop in NIM at Credicorp is mainly explained by the lower NIM at BCP Stand-Alone. This decline was due to a drop in NII, which was, as discussed above, associated with loan growth in lower margin segments.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NIM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and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increased +40 bps QoQ and +27 bps QoQ respectively due to loan growth measured in average daily balances at both subsidiaries explained in section </w:t>
      </w:r>
      <w:r>
        <w:rPr>
          <w:rFonts w:ascii="Arial" w:cs="Arial" w:eastAsia="Arial" w:hAnsi="Arial"/>
          <w:sz w:val="18"/>
          <w:szCs w:val="18"/>
          <w:i w:val="1"/>
          <w:iCs w:val="1"/>
          <w:color w:val="auto"/>
        </w:rPr>
        <w:t>1.2 Credicorp Loans.</w:t>
      </w:r>
    </w:p>
    <w:p>
      <w:pPr>
        <w:spacing w:after="0" w:line="162"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Non-financial income increased +18.2% QoQ and +21.9% YoY. This was mainly due to higher Net gain on sales of securities that was generated by the sale of 50% of the investment in BCI. If we eliminate the effect of non-recurring income, the result indicates growth of +4.8% QoQ and +8.0% YoY due to an improvement in the evolution of Fee income and Net gains on foreign exchange transactions, which increased +1.8% and +7.2%, QoQ and +4.5% and +5.2% YoY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6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Jun 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16 / Jun 15</w:t>
            </w:r>
          </w:p>
        </w:tc>
        <w:tc>
          <w:tcPr>
            <w:tcW w:w="180" w:type="dxa"/>
            <w:vAlign w:val="bottom"/>
            <w:tcBorders>
              <w:bottom w:val="single" w:sz="8" w:color="CCEEFF"/>
            </w:tcBorders>
          </w:tcPr>
          <w:p>
            <w:pPr>
              <w:spacing w:after="0"/>
              <w:rPr>
                <w:sz w:val="20"/>
                <w:szCs w:val="20"/>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663,206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680,962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Net gain on foreign exchange</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168,285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165,143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177,065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368,731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342,208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176,169</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57"/>
        </w:trPr>
        <w:tc>
          <w:tcPr>
            <w:tcW w:w="2880" w:type="dxa"/>
            <w:vAlign w:val="bottom"/>
            <w:gridSpan w:val="2"/>
          </w:tcPr>
          <w:p>
            <w:pPr>
              <w:spacing w:after="0" w:line="256" w:lineRule="exact"/>
              <w:rPr>
                <w:sz w:val="20"/>
                <w:szCs w:val="20"/>
                <w:color w:val="auto"/>
              </w:rPr>
            </w:pPr>
            <w:r>
              <w:rPr>
                <w:rFonts w:ascii="Arial" w:cs="Arial" w:eastAsia="Arial" w:hAnsi="Arial"/>
                <w:sz w:val="18"/>
                <w:szCs w:val="18"/>
                <w:color w:val="auto"/>
              </w:rPr>
              <w:t>Net gain from associates</w:t>
            </w:r>
            <w:r>
              <w:rPr>
                <w:rFonts w:ascii="Arial" w:cs="Arial" w:eastAsia="Arial" w:hAnsi="Arial"/>
                <w:sz w:val="29"/>
                <w:szCs w:val="29"/>
                <w:color w:val="auto"/>
                <w:vertAlign w:val="superscript"/>
              </w:rPr>
              <w:t>(1)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3,537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-74.8%</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-491.8%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146,591</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37,724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62,487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37,438</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-40.1%</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79,375</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5"/>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889,730</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917,582</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1,084,748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1,947,157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2,002,330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-8890</wp:posOffset>
            </wp:positionV>
            <wp:extent cx="52997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Mainly includes the agreement between Grupo Pacífico and Banmédica.</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is the main source of non-financial income, registered an increase of +1.8% QoQ and +4.5% YoY due to an improvement in fee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at Credicorp Capital, which in turn reflected better level of activity in its Sales &amp; Trading (purchase and sales of fixed income and equity instruments for clients) and in asset management businesses.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YoY variation is mainly attributable to BCP’s miscellaneous accounts, credit cards, drafts and transfers.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gains on foreign exchange transactions </w:t>
      </w:r>
      <w:r>
        <w:rPr>
          <w:rFonts w:ascii="Arial" w:cs="Arial" w:eastAsia="Arial" w:hAnsi="Arial"/>
          <w:sz w:val="18"/>
          <w:szCs w:val="18"/>
          <w:color w:val="auto"/>
        </w:rPr>
        <w:t>increased +7.2% QoQ and +5.2% YoY. This exceeded expectations and was mainly due to relatively low</w:t>
      </w:r>
      <w:r>
        <w:rPr>
          <w:rFonts w:ascii="Arial" w:cs="Arial" w:eastAsia="Arial" w:hAnsi="Arial"/>
          <w:sz w:val="18"/>
          <w:szCs w:val="18"/>
          <w:b w:val="1"/>
          <w:bCs w:val="1"/>
          <w:color w:val="auto"/>
        </w:rPr>
        <w:t xml:space="preserve"> </w:t>
      </w:r>
      <w:r>
        <w:rPr>
          <w:rFonts w:ascii="Arial" w:cs="Arial" w:eastAsia="Arial" w:hAnsi="Arial"/>
          <w:sz w:val="18"/>
          <w:szCs w:val="18"/>
          <w:color w:val="auto"/>
        </w:rPr>
        <w:t>volatility in the exchange rate, which reduces arbitrage opportunities. The YoY increase was due to the fact that in 2015, the business posted significantly higher volumes from the de-dollarization process, which is a less significant factor in 2016.</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The net gain on sales of securities </w:t>
      </w:r>
      <w:r>
        <w:rPr>
          <w:rFonts w:ascii="Arial" w:cs="Arial" w:eastAsia="Arial" w:hAnsi="Arial"/>
          <w:sz w:val="16"/>
          <w:szCs w:val="16"/>
          <w:color w:val="auto"/>
        </w:rPr>
        <w:t>reported a significant increase due to the sale of 50% of the investment in BCI shares, which led to non-recurring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of approximately S/ 123 million. ASB posted a recovery in its investment business and posted a gain on sales of securities in its proprietary portfolio.</w:t>
      </w:r>
    </w:p>
    <w:p>
      <w:pPr>
        <w:spacing w:after="0" w:line="11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The QoQ drop in </w:t>
      </w:r>
      <w:r>
        <w:rPr>
          <w:rFonts w:ascii="Arial" w:cs="Arial" w:eastAsia="Arial" w:hAnsi="Arial"/>
          <w:sz w:val="17"/>
          <w:szCs w:val="17"/>
          <w:b w:val="1"/>
          <w:bCs w:val="1"/>
          <w:color w:val="auto"/>
        </w:rPr>
        <w:t>Other Income</w:t>
      </w:r>
      <w:r>
        <w:rPr>
          <w:rFonts w:ascii="Arial" w:cs="Arial" w:eastAsia="Arial" w:hAnsi="Arial"/>
          <w:sz w:val="17"/>
          <w:szCs w:val="17"/>
          <w:color w:val="auto"/>
        </w:rPr>
        <w:t xml:space="preserve"> was mainly due to the booking as an intangible asset in 1Q, which was related to IT development made by McKinsey for the digital banking project to open savings accounts; and for a reversal of provisions made for the payment of performance bonus.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Net gain from associates</w:t>
      </w:r>
      <w:r>
        <w:rPr>
          <w:rFonts w:ascii="Arial" w:cs="Arial" w:eastAsia="Arial" w:hAnsi="Arial"/>
          <w:sz w:val="18"/>
          <w:szCs w:val="18"/>
          <w:color w:val="auto"/>
        </w:rPr>
        <w:t xml:space="preserve"> which stems from the agreement between the Grupo Pacifico and Banmedica, is shown in the following table:</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660" w:type="dxa"/>
            <w:vAlign w:val="bottom"/>
            <w:gridSpan w:val="2"/>
          </w:tcPr>
          <w:p>
            <w:pPr>
              <w:ind w:left="2320"/>
              <w:spacing w:after="0"/>
              <w:rPr>
                <w:sz w:val="20"/>
                <w:szCs w:val="20"/>
                <w:color w:val="auto"/>
              </w:rPr>
            </w:pPr>
            <w:r>
              <w:rPr>
                <w:rFonts w:ascii="Arial" w:cs="Arial" w:eastAsia="Arial" w:hAnsi="Arial"/>
                <w:sz w:val="18"/>
                <w:szCs w:val="18"/>
                <w:color w:val="auto"/>
              </w:rPr>
              <w:t>Millions (S/)</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2Q15</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1Q16</w:t>
            </w: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2Q16</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 Net gain from associates excluding Non-recurring income/expense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Non-recurring income/expense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result was due to:</w:t>
      </w:r>
    </w:p>
    <w:p>
      <w:pPr>
        <w:spacing w:after="0" w:line="225" w:lineRule="exact"/>
        <w:rPr>
          <w:sz w:val="20"/>
          <w:szCs w:val="20"/>
          <w:color w:val="auto"/>
        </w:rPr>
      </w:pPr>
    </w:p>
    <w:p>
      <w:pPr>
        <w:jc w:val="both"/>
        <w:ind w:left="500" w:hanging="492"/>
        <w:spacing w:after="0" w:line="31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contribution of 50% of the net earnings generated by the corporate health insurance business and medical services that are now managed by Banmedica for S/6.6 million. This represented a drop QoQ that was due mainly to an increase in net claims, which offset the increase of net premiums and the decrease of acquisition cost. The higher net claims reflect the increase in respiratory diseases due to the start of the winter season.</w:t>
      </w:r>
    </w:p>
    <w:p>
      <w:pPr>
        <w:spacing w:after="0" w:line="146"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50% drop in net earnings in the private medical business, which is managed by Grupo Pacifico and totaled S/5.7 million in 2Q16. This represented an increase that was mainly due to higher net premiums for oncological products and a decrease in net claims, which resulted in a higher underwriting result.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Fee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below shows the contribution of each of the subsidiaries at Credicorp to growth in the group’s fee income in 2Q16. It is evident that fees for banking services grew slightly QoQ: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fee income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154940</wp:posOffset>
            </wp:positionV>
            <wp:extent cx="5034280" cy="2298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3428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YoY evolution shows growth of 4.5%: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fee income YoY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154940</wp:posOffset>
            </wp:positionV>
            <wp:extent cx="5008245" cy="2263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824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ind w:left="800"/>
              <w:spacing w:after="0"/>
              <w:rPr>
                <w:sz w:val="20"/>
                <w:szCs w:val="20"/>
                <w:color w:val="auto"/>
              </w:rPr>
            </w:pPr>
            <w:r>
              <w:rPr>
                <w:rFonts w:ascii="Arial" w:cs="Arial" w:eastAsia="Arial" w:hAnsi="Arial"/>
                <w:sz w:val="18"/>
                <w:szCs w:val="18"/>
                <w:b w:val="1"/>
                <w:bCs w:val="1"/>
                <w:color w:val="auto"/>
                <w:w w:val="97"/>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2Q15</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50"/>
        </w:trPr>
        <w:tc>
          <w:tcPr>
            <w:tcW w:w="33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155,499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165,928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165,084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65,090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70,750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74,019</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31,975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39,234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24,138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22,950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23,017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18,640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18,425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18,297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18,139</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38,704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42,557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41,785</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90,506</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93,987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95,047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17,599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16,758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16,471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11,221</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10,077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13,268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13,837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5,296</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70"/>
        </w:trPr>
        <w:tc>
          <w:tcPr>
            <w:tcW w:w="33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39,542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37,888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43,830</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537,120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564,336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572,624</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BCP</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b w:val="1"/>
          <w:bCs w:val="1"/>
          <w:i w:val="1"/>
          <w:iCs w:val="1"/>
          <w:color w:val="auto"/>
        </w:rPr>
        <w:t>insurance underwriting result</w:t>
      </w:r>
      <w:r>
        <w:rPr>
          <w:rFonts w:ascii="Arial" w:cs="Arial" w:eastAsia="Arial" w:hAnsi="Arial"/>
          <w:sz w:val="18"/>
          <w:szCs w:val="18"/>
          <w:i w:val="1"/>
          <w:iCs w:val="1"/>
          <w:color w:val="auto"/>
        </w:rPr>
        <w:t xml:space="preserve"> increased +13.3% QoQ due to a decrease in the acquisition cost in P&amp;C and life insurance lines, while the net earned premium and claims remained at levels very similar to those posted in 1Q16. In YoY terms, the underwriting result increased +12.0% due to expansion in net earned premiums that offset the higher claims and acquisition cost.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Insurance underwriting result </w:t>
            </w:r>
            <w:r>
              <w:rPr>
                <w:rFonts w:ascii="Arial" w:cs="Arial" w:eastAsia="Arial" w:hAnsi="Arial"/>
                <w:sz w:val="23"/>
                <w:szCs w:val="23"/>
                <w:b w:val="1"/>
                <w:bCs w:val="1"/>
                <w:color w:val="auto"/>
                <w:vertAlign w:val="superscript"/>
              </w:rPr>
              <w:t>(1)</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S/.000</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2Q16</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YoY</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15</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16</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16 / Jun 15</w:t>
            </w:r>
          </w:p>
        </w:tc>
        <w:tc>
          <w:tcPr>
            <w:tcW w:w="140" w:type="dxa"/>
            <w:vAlign w:val="bottom"/>
            <w:tcBorders>
              <w:bottom w:val="single" w:sz="8" w:color="CCEEFF"/>
            </w:tcBorders>
          </w:tcPr>
          <w:p>
            <w:pPr>
              <w:spacing w:after="0"/>
              <w:rPr>
                <w:sz w:val="14"/>
                <w:szCs w:val="14"/>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427,044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453,237</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453,647</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0.1%</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6.2%</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831,540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906,884</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(255,382)</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(263,923)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(265,815)</w:t>
            </w:r>
          </w:p>
        </w:tc>
        <w:tc>
          <w:tcPr>
            <w:tcW w:w="60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620" w:type="dxa"/>
            <w:vAlign w:val="bottom"/>
          </w:tcPr>
          <w:p>
            <w:pPr>
              <w:spacing w:after="0"/>
              <w:rPr>
                <w:sz w:val="12"/>
                <w:szCs w:val="12"/>
                <w:color w:val="auto"/>
              </w:rPr>
            </w:pPr>
          </w:p>
        </w:tc>
        <w:tc>
          <w:tcPr>
            <w:tcW w:w="5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(487,657)</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(529,738)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w:t>
            </w:r>
          </w:p>
        </w:tc>
      </w:tr>
      <w:tr>
        <w:trPr>
          <w:trHeight w:val="203"/>
        </w:trPr>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(51,314)</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(70,380)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(53,066)</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90"/>
              </w:rPr>
              <w:t>-24.6%</w:t>
            </w:r>
          </w:p>
        </w:tc>
        <w:tc>
          <w:tcPr>
            <w:tcW w:w="6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(127,285)</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(123,446)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57"/>
        </w:trPr>
        <w:tc>
          <w:tcPr>
            <w:tcW w:w="24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insurance underwriting result</w:t>
            </w: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120,348</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118,934</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134,766</w:t>
            </w: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13.3</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w w:val="95"/>
              </w:rPr>
              <w:t>12.0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216,598</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253,700</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17.1</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-8890</wp:posOffset>
            </wp:positionV>
            <wp:extent cx="56254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142875</wp:posOffset>
            </wp:positionV>
            <wp:extent cx="2933065" cy="1423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3306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Net 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154940</wp:posOffset>
            </wp:positionV>
            <wp:extent cx="5522595" cy="1466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259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premiums </w:t>
      </w:r>
      <w:r>
        <w:rPr>
          <w:rFonts w:ascii="Arial" w:cs="Arial" w:eastAsia="Arial" w:hAnsi="Arial"/>
          <w:sz w:val="18"/>
          <w:szCs w:val="18"/>
          <w:color w:val="auto"/>
        </w:rPr>
        <w:t>fell 4.1% QoQ due to a decrease in the premium turnover in the life insurance business and despite the increase reported by the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business:</w:t>
      </w:r>
    </w:p>
    <w:p>
      <w:pPr>
        <w:spacing w:after="0" w:line="166"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drop in the life insurance business was mainly due to annuities given that fewer retirement policies have been sold since the law was passed to release funds from the AFPs. Nevertheless, this effect was mitigated by higher premium turnover in Credit Life.</w:t>
      </w:r>
    </w:p>
    <w:p>
      <w:pPr>
        <w:spacing w:after="0" w:line="37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increase in property and casualty insurance was due to higher premiums from property and casualty insurance due to important account renewals in 2Q16; the improvement in private medical insurance was attributable to renewals of comprehensive individual products.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earned premiums remained at levels similar to those reported in 1Q16 due to the net effect generated by the increase in life insurance and the decrease in property and casualty insurance. Growth in life insurance was due to an improvement in premium turnover in credit life and to the fact that fewer reserves were set aside for the AFP and annuities businesses. The drop in property and casualty insurance, however, was attributable to moves to set aside more reserves for property and casualty risks.</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142875</wp:posOffset>
            </wp:positionV>
            <wp:extent cx="3070225" cy="141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7022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claims grew 0.7% QoQ due to an increase in the loss ratio in the property and casualty business, which was partially attenuated by a decrease in the loss ratio for the car insurance and private medical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ratio for the life insurance business fell primarily due to Complementary Insurance for High Risk Occupations, which offset the slight increase in the loss ratio posted by other lines.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142875</wp:posOffset>
            </wp:positionV>
            <wp:extent cx="3215640" cy="1663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1564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The acquisition cost fell 24.6% QoQ primarily as a result of a lower premium turnover in Life Insurance business. Also, the decrease in underwriting expense for Property and Casualty insurance was due to a release of uncollectible reinsurance reserves. This quarter, underwriting income increased in Property and Casualty and Life Insurance business.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720"/>
              <w:spacing w:after="0"/>
              <w:rPr>
                <w:sz w:val="20"/>
                <w:szCs w:val="20"/>
                <w:color w:val="auto"/>
              </w:rPr>
            </w:pPr>
            <w:r>
              <w:rPr>
                <w:rFonts w:ascii="Arial" w:cs="Arial" w:eastAsia="Arial" w:hAnsi="Arial"/>
                <w:sz w:val="18"/>
                <w:szCs w:val="18"/>
                <w:b w:val="1"/>
                <w:bCs w:val="1"/>
                <w:color w:val="auto"/>
                <w:w w:val="95"/>
              </w:rPr>
              <w:t>% change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Arial" w:cs="Arial" w:eastAsia="Arial" w:hAnsi="Arial"/>
                <w:sz w:val="18"/>
                <w:szCs w:val="18"/>
                <w:color w:val="auto"/>
              </w:rPr>
              <w:t>S/000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1Q16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2Q16</w:t>
            </w: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(39,181)</w:t>
            </w:r>
          </w:p>
        </w:tc>
        <w:tc>
          <w:tcPr>
            <w:tcW w:w="16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(54,921)</w:t>
            </w:r>
          </w:p>
        </w:tc>
        <w:tc>
          <w:tcPr>
            <w:tcW w:w="1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(46,223)</w:t>
            </w:r>
          </w:p>
        </w:tc>
        <w:tc>
          <w:tcPr>
            <w:tcW w:w="16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(24,732)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(29,928)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(22,430)</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(51,314</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(70,380</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(53,066</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3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The efficiency ratio</w:t>
      </w:r>
      <w:r>
        <w:rPr>
          <w:rFonts w:ascii="Arial" w:cs="Arial" w:eastAsia="Arial" w:hAnsi="Arial"/>
          <w:sz w:val="30"/>
          <w:szCs w:val="30"/>
          <w:b w:val="1"/>
          <w:bCs w:val="1"/>
          <w:i w:val="1"/>
          <w:iCs w:val="1"/>
          <w:color w:val="auto"/>
          <w:vertAlign w:val="superscript"/>
        </w:rPr>
        <w:t>8</w:t>
      </w:r>
      <w:r>
        <w:rPr>
          <w:rFonts w:ascii="Arial" w:cs="Arial" w:eastAsia="Arial" w:hAnsi="Arial"/>
          <w:sz w:val="18"/>
          <w:szCs w:val="18"/>
          <w:i w:val="1"/>
          <w:iCs w:val="1"/>
          <w:color w:val="auto"/>
        </w:rPr>
        <w:t xml:space="preserve"> reported an increase of 170 bps QoQ due to higher administrative expenses, which were accentuated by a slight contraction in operating income. YoY, the efficiency ratio posted an improvement of -16 bps, which was due primarily to a more significant increase in operating income than in operating expenses and, to a lesser extent, to improvements in efficient at Credicorp’s other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2Q15</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1Q16</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2Q16</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15</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16</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16 / Jun 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718,214</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735,970</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735,414</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2.4%</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1,433,409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1,471,384</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481,985</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453,686</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513,652</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913,152</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967,338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110,699</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111,770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113,910</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219,092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225,680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55,280</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47,033</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47,463</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-14.1%</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96,395</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94,496</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1,366,178</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1,348,459</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1,410,439</w:t>
            </w: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2,662,048</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2,758,898</w:t>
            </w: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308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3,095,507</w:t>
            </w:r>
          </w:p>
        </w:tc>
        <w:tc>
          <w:tcPr>
            <w:tcW w:w="2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3,249,569</w:t>
            </w:r>
          </w:p>
        </w:tc>
        <w:tc>
          <w:tcPr>
            <w:tcW w:w="780" w:type="dxa"/>
            <w:vAlign w:val="bottom"/>
          </w:tcPr>
          <w:p>
            <w:pPr>
              <w:jc w:val="right"/>
              <w:spacing w:after="0"/>
              <w:rPr>
                <w:sz w:val="20"/>
                <w:szCs w:val="20"/>
                <w:color w:val="auto"/>
              </w:rPr>
            </w:pPr>
            <w:r>
              <w:rPr>
                <w:rFonts w:ascii="Arial" w:cs="Arial" w:eastAsia="Arial" w:hAnsi="Arial"/>
                <w:sz w:val="14"/>
                <w:szCs w:val="14"/>
                <w:color w:val="auto"/>
              </w:rPr>
              <w:t>3,229,007</w:t>
            </w:r>
          </w:p>
        </w:tc>
        <w:tc>
          <w:tcPr>
            <w:tcW w:w="260" w:type="dxa"/>
            <w:vAlign w:val="bottom"/>
          </w:tcPr>
          <w:p>
            <w:pPr>
              <w:spacing w:after="0"/>
              <w:rPr>
                <w:sz w:val="14"/>
                <w:szCs w:val="14"/>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4.3%</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6,276,256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6,478,576</w:t>
            </w:r>
          </w:p>
        </w:tc>
        <w:tc>
          <w:tcPr>
            <w:tcW w:w="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1,362,212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1,371,806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1,416,042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2,692,938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2,787,848</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vMerge w:val="continue"/>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43.9%</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163 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-16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42.9%</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12 bps</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(4)</w:t>
            </w: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10 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-26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 bps</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Operating income = Net interest income + Fee income + Gain on foreign exchange transactions + Net gain from associates + Net premiums earned.</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are calculated with period-beginning and period-ending balances.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expenses increased 3.2% oQ. This was due primarily to an increase in administrative expenses and taxes at BCP Stand-Alone. The main accounts that generated this increase are:</w:t>
      </w:r>
    </w:p>
    <w:p>
      <w:pPr>
        <w:spacing w:after="0" w:line="166" w:lineRule="exact"/>
        <w:rPr>
          <w:sz w:val="20"/>
          <w:szCs w:val="20"/>
          <w:color w:val="auto"/>
        </w:rPr>
      </w:pPr>
    </w:p>
    <w:p>
      <w:pPr>
        <w:ind w:left="980" w:hanging="648"/>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Programming and systems, </w:t>
      </w:r>
      <w:r>
        <w:rPr>
          <w:rFonts w:ascii="Arial" w:cs="Arial" w:eastAsia="Arial" w:hAnsi="Arial"/>
          <w:sz w:val="18"/>
          <w:szCs w:val="18"/>
          <w:color w:val="auto"/>
        </w:rPr>
        <w:t>which was mainly attributable to license renewals, infrastructure management and IT;</w:t>
      </w:r>
    </w:p>
    <w:p>
      <w:pPr>
        <w:spacing w:after="0" w:line="27" w:lineRule="exact"/>
        <w:rPr>
          <w:rFonts w:ascii="Arial" w:cs="Arial" w:eastAsia="Arial" w:hAnsi="Arial"/>
          <w:sz w:val="18"/>
          <w:szCs w:val="18"/>
          <w:color w:val="auto"/>
        </w:rPr>
      </w:pPr>
    </w:p>
    <w:p>
      <w:pPr>
        <w:ind w:left="980" w:hanging="648"/>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Infrastructure, </w:t>
      </w:r>
      <w:r>
        <w:rPr>
          <w:rFonts w:ascii="Arial" w:cs="Arial" w:eastAsia="Arial" w:hAnsi="Arial"/>
          <w:sz w:val="18"/>
          <w:szCs w:val="18"/>
          <w:color w:val="auto"/>
        </w:rPr>
        <w:t>due to higher expenses for maintenance at offices and basic services (light, water and telephone);</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Channels</w:t>
      </w:r>
      <w:r>
        <w:rPr>
          <w:rFonts w:ascii="Arial" w:cs="Arial" w:eastAsia="Arial" w:hAnsi="Arial"/>
          <w:sz w:val="18"/>
          <w:szCs w:val="18"/>
          <w:color w:val="auto"/>
        </w:rPr>
        <w:t>, for cash transfers from ATMs and higher expenses for commissions for Agentes BCP;</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in line with recent campaigns for asset products (Lan Pass program) and liabilities (savings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operating expenses posted an increase due to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The efficiency ratio:</w:t>
      </w:r>
    </w:p>
    <w:p>
      <w:pPr>
        <w:spacing w:after="0" w:line="197" w:lineRule="exact"/>
        <w:rPr>
          <w:sz w:val="20"/>
          <w:szCs w:val="20"/>
          <w:color w:val="auto"/>
        </w:rPr>
      </w:pPr>
    </w:p>
    <w:p>
      <w:pPr>
        <w:jc w:val="center"/>
        <w:ind w:right="4020"/>
        <w:spacing w:after="0"/>
        <w:rPr>
          <w:sz w:val="20"/>
          <w:szCs w:val="20"/>
          <w:color w:val="auto"/>
        </w:rPr>
      </w:pPr>
      <w:r>
        <w:rPr>
          <w:rFonts w:ascii="Arial" w:cs="Arial" w:eastAsia="Arial" w:hAnsi="Arial"/>
          <w:sz w:val="14"/>
          <w:szCs w:val="14"/>
          <w:color w:val="auto"/>
        </w:rPr>
        <w:t>(Total expenses + acquisition cost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690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 w:lineRule="exact"/>
        <w:rPr>
          <w:sz w:val="20"/>
          <w:szCs w:val="20"/>
          <w:color w:val="auto"/>
        </w:rPr>
      </w:pPr>
    </w:p>
    <w:p>
      <w:pPr>
        <w:jc w:val="center"/>
        <w:ind w:right="4020"/>
        <w:spacing w:after="0"/>
        <w:rPr>
          <w:sz w:val="20"/>
          <w:szCs w:val="20"/>
          <w:color w:val="auto"/>
        </w:rPr>
      </w:pPr>
      <w:r>
        <w:rPr>
          <w:rFonts w:ascii="Arial" w:cs="Arial" w:eastAsia="Arial" w:hAnsi="Arial"/>
          <w:sz w:val="13"/>
          <w:szCs w:val="13"/>
          <w:color w:val="auto"/>
        </w:rPr>
        <w:t>(Net interest income + Fee income + Gain on foreign exchange transactions + Net gain from associates + Net earned premiums)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left="980" w:hanging="648"/>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Administrative and general expenses and taxes due to an increase in programming expenses and systems, outsourcing of Systems and Taxes and Contributions at BCP Stand-alone, which were partially offset by the drop in minor expenses at Mibanco and lower expenses for Channels at BCP Stand-Alone; and</w:t>
      </w:r>
    </w:p>
    <w:p>
      <w:pPr>
        <w:spacing w:after="0" w:line="181"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salaries and benefits, which was in line with an increase in the number of employees following the acquisition of Mibanco and organic business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w w:val="91"/>
              </w:rPr>
              <w:t>Administrative and general expenses</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2Q15</w:t>
            </w:r>
            <w:r>
              <w:rPr>
                <w:rFonts w:ascii="Arial" w:cs="Arial" w:eastAsia="Arial" w:hAnsi="Arial"/>
                <w:sz w:val="30"/>
                <w:szCs w:val="30"/>
                <w:b w:val="1"/>
                <w:bCs w:val="1"/>
                <w:color w:val="auto"/>
                <w:vertAlign w:val="superscript"/>
              </w:rPr>
              <w:t>(1)</w:t>
            </w:r>
          </w:p>
        </w:tc>
        <w:tc>
          <w:tcPr>
            <w:tcW w:w="200" w:type="dxa"/>
            <w:vAlign w:val="bottom"/>
            <w:vMerge w:val="restart"/>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ind w:left="6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vMerge w:val="continue"/>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55,488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50,488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61,801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56,586</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60,016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64,871</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66,331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46,885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53,803</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47,543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56,867</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48,720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47,575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60,743</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27,255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27,395</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Rent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40,610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45,167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44,506</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25,602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27,289</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44,687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36,963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44,254</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9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16,142</w:t>
            </w: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21,852</w:t>
            </w:r>
          </w:p>
        </w:tc>
        <w:tc>
          <w:tcPr>
            <w:tcW w:w="5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78"/>
        </w:trPr>
        <w:tc>
          <w:tcPr>
            <w:tcW w:w="29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administrative and general</w:t>
            </w: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481,985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453,686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100%</w:t>
            </w:r>
          </w:p>
        </w:tc>
        <w:tc>
          <w:tcPr>
            <w:tcW w:w="860" w:type="dxa"/>
            <w:vAlign w:val="bottom"/>
          </w:tcPr>
          <w:p>
            <w:pPr>
              <w:ind w:left="280"/>
              <w:spacing w:after="0"/>
              <w:rPr>
                <w:sz w:val="20"/>
                <w:szCs w:val="20"/>
                <w:color w:val="auto"/>
              </w:rPr>
            </w:pPr>
            <w:r>
              <w:rPr>
                <w:rFonts w:ascii="Arial" w:cs="Arial" w:eastAsia="Arial" w:hAnsi="Arial"/>
                <w:sz w:val="18"/>
                <w:szCs w:val="18"/>
                <w:b w:val="1"/>
                <w:bCs w:val="1"/>
                <w:color w:val="auto"/>
                <w:w w:val="86"/>
              </w:rPr>
              <w:t>513,652</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Slight growth of +10 bps was posted in the </w:t>
      </w:r>
      <w:r>
        <w:rPr>
          <w:rFonts w:ascii="Arial" w:cs="Arial" w:eastAsia="Arial" w:hAnsi="Arial"/>
          <w:sz w:val="18"/>
          <w:szCs w:val="18"/>
          <w:b w:val="1"/>
          <w:bCs w:val="1"/>
          <w:color w:val="auto"/>
        </w:rPr>
        <w:t>operating expenses/average total assets</w:t>
      </w:r>
      <w:r>
        <w:rPr>
          <w:rFonts w:ascii="Arial" w:cs="Arial" w:eastAsia="Arial" w:hAnsi="Arial"/>
          <w:sz w:val="18"/>
          <w:szCs w:val="18"/>
          <w:color w:val="auto"/>
        </w:rPr>
        <w:t xml:space="preserve"> indicator QoQ. This was due to lower growth in total assets than in operating expenses. In YoY terms, this indicator fell -20 bps due to a higher increase in total assets (+9.0% YoY).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efficiency ratio by subsidiary</w:t>
      </w:r>
      <w:r>
        <w:rPr>
          <w:rFonts w:ascii="Arial" w:cs="Arial" w:eastAsia="Arial" w:hAnsi="Arial"/>
          <w:sz w:val="30"/>
          <w:szCs w:val="30"/>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BCP Stand-alone</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Mibanco</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BCP Bolivia</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ASB</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Grupo Pacífico</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Prima</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Credicorp Capital</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jc w:val="center"/>
              <w:ind w:right="9"/>
              <w:spacing w:after="0" w:line="189" w:lineRule="exact"/>
              <w:rPr>
                <w:sz w:val="20"/>
                <w:szCs w:val="20"/>
                <w:color w:val="auto"/>
              </w:rPr>
            </w:pPr>
            <w:r>
              <w:rPr>
                <w:rFonts w:ascii="Arial" w:cs="Arial" w:eastAsia="Arial" w:hAnsi="Arial"/>
                <w:sz w:val="13"/>
                <w:szCs w:val="13"/>
                <w:b w:val="1"/>
                <w:bCs w:val="1"/>
                <w:color w:val="auto"/>
                <w:w w:val="93"/>
              </w:rPr>
              <w:t>2Q15</w:t>
            </w:r>
            <w:r>
              <w:rPr>
                <w:rFonts w:ascii="Arial" w:cs="Arial" w:eastAsia="Arial" w:hAnsi="Arial"/>
                <w:sz w:val="21"/>
                <w:szCs w:val="21"/>
                <w:b w:val="1"/>
                <w:bCs w:val="1"/>
                <w:color w:val="auto"/>
                <w:w w:val="93"/>
                <w:vertAlign w:val="superscript"/>
              </w:rPr>
              <w:t>(2)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114.5%</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5"/>
              </w:rPr>
              <w:t>44.0%</w:t>
            </w:r>
          </w:p>
        </w:tc>
        <w:tc>
          <w:tcPr>
            <w:tcW w:w="0" w:type="dxa"/>
            <w:vAlign w:val="bottom"/>
          </w:tcPr>
          <w:p>
            <w:pPr>
              <w:spacing w:after="0"/>
              <w:rPr>
                <w:sz w:val="1"/>
                <w:szCs w:val="1"/>
                <w:color w:val="auto"/>
              </w:rPr>
            </w:pPr>
          </w:p>
        </w:tc>
      </w:tr>
      <w:tr>
        <w:trPr>
          <w:trHeight w:val="149"/>
        </w:trPr>
        <w:tc>
          <w:tcPr>
            <w:tcW w:w="282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3"/>
              </w:rPr>
              <w:t>1Q16</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58.2%</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120.7%</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95"/>
              </w:rPr>
              <w:t>42.2%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3"/>
              </w:rPr>
              <w:t>2Q16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5"/>
              </w:rPr>
              <w:t>43.9%</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jc w:val="center"/>
              <w:ind w:right="9"/>
              <w:spacing w:after="0" w:line="142" w:lineRule="exact"/>
              <w:rPr>
                <w:sz w:val="20"/>
                <w:szCs w:val="20"/>
                <w:color w:val="auto"/>
              </w:rPr>
            </w:pPr>
            <w:r>
              <w:rPr>
                <w:rFonts w:ascii="Arial" w:cs="Arial" w:eastAsia="Arial" w:hAnsi="Arial"/>
                <w:sz w:val="14"/>
                <w:szCs w:val="14"/>
                <w:b w:val="1"/>
                <w:bCs w:val="1"/>
                <w:color w:val="auto"/>
                <w:w w:val="95"/>
              </w:rPr>
              <w:t>Var. QoQ</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w w:val="84"/>
              </w:rPr>
              <w:t>140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-340 bps</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-280 bps</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-3340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170 bps</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jc w:val="center"/>
              <w:ind w:right="9"/>
              <w:spacing w:after="0" w:line="142" w:lineRule="exact"/>
              <w:rPr>
                <w:sz w:val="20"/>
                <w:szCs w:val="20"/>
                <w:color w:val="auto"/>
              </w:rPr>
            </w:pPr>
            <w:r>
              <w:rPr>
                <w:rFonts w:ascii="Arial" w:cs="Arial" w:eastAsia="Arial" w:hAnsi="Arial"/>
                <w:sz w:val="14"/>
                <w:szCs w:val="14"/>
                <w:b w:val="1"/>
                <w:bCs w:val="1"/>
                <w:color w:val="auto"/>
                <w:w w:val="93"/>
              </w:rPr>
              <w:t>Var. YoY</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w w:val="84"/>
              </w:rPr>
              <w:t>320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-1950 bps</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 bps</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b w:val="1"/>
                <w:bCs w:val="1"/>
                <w:color w:val="auto"/>
                <w:w w:val="92"/>
              </w:rPr>
              <w:t>Acum . Jun 15</w:t>
            </w: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95"/>
              </w:rPr>
              <w:t>42.9%</w:t>
            </w:r>
          </w:p>
        </w:tc>
        <w:tc>
          <w:tcPr>
            <w:tcW w:w="0" w:type="dxa"/>
            <w:vAlign w:val="bottom"/>
          </w:tcPr>
          <w:p>
            <w:pPr>
              <w:spacing w:after="0"/>
              <w:rPr>
                <w:sz w:val="1"/>
                <w:szCs w:val="1"/>
                <w:color w:val="auto"/>
              </w:rPr>
            </w:pPr>
          </w:p>
        </w:tc>
      </w:tr>
      <w:tr>
        <w:trPr>
          <w:trHeight w:val="162"/>
        </w:trPr>
        <w:tc>
          <w:tcPr>
            <w:tcW w:w="282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Acum . Jun 16</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40.2%</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58.5%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56.5%</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24.7%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27.8%</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44.4%</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101.0%</w:t>
            </w:r>
          </w:p>
        </w:tc>
        <w:tc>
          <w:tcPr>
            <w:tcW w:w="920" w:type="dxa"/>
            <w:vAlign w:val="bottom"/>
            <w:gridSpan w:val="2"/>
          </w:tcPr>
          <w:p>
            <w:pPr>
              <w:ind w:left="520"/>
              <w:spacing w:after="0"/>
              <w:rPr>
                <w:sz w:val="20"/>
                <w:szCs w:val="20"/>
                <w:color w:val="auto"/>
              </w:rPr>
            </w:pPr>
            <w:r>
              <w:rPr>
                <w:rFonts w:ascii="Arial" w:cs="Arial" w:eastAsia="Arial" w:hAnsi="Arial"/>
                <w:sz w:val="14"/>
                <w:szCs w:val="14"/>
                <w:b w:val="1"/>
                <w:bCs w:val="1"/>
                <w:color w:val="auto"/>
                <w:w w:val="95"/>
              </w:rPr>
              <w:t>43.0%</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b w:val="1"/>
                <w:bCs w:val="1"/>
                <w:color w:val="auto"/>
                <w:w w:val="93"/>
              </w:rPr>
              <w:t>Var. Acum. Jun 16/ Acum . Jun 15</w:t>
            </w: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 bps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20 bps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-1340 bps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270 bps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140 bps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150 bps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-580 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10 bps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2Q15 differ from previously reported, please consider the data presented on this report.</w:t>
      </w:r>
    </w:p>
    <w:p>
      <w:pPr>
        <w:spacing w:after="0" w:line="9" w:lineRule="exact"/>
        <w:rPr>
          <w:rFonts w:ascii="Arial" w:cs="Arial" w:eastAsia="Arial" w:hAnsi="Arial"/>
          <w:sz w:val="18"/>
          <w:szCs w:val="18"/>
          <w:color w:val="auto"/>
        </w:rPr>
      </w:pPr>
    </w:p>
    <w:p>
      <w:pPr>
        <w:ind w:right="380" w:firstLine="8"/>
        <w:spacing w:after="0" w:line="261"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expenses + acquisition cost - other expenses) / (Net interest income + Fee income + Net gain on foreign exchange transactions + Net gain from associates + net earned premiums)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Operating income dropped QoQ due to lower net interest income, mainly at BCP Stand-Alone. YoY, there was a slight increase in operating expenses that was mainly due to higher net interest income, which was attributable to loan growth, particularly at BCP Stand-Alone and Mibanco. This line also posted growth due to an increase in banking service fees.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quarterly analysis, the efficiency ratio was situated at 43.9% at the end of 2Q16, which was + 170 bps higher than the 42.2% posted in 1Q16. This evolution was due to an increase in administrative and general expenses through:</w:t>
      </w:r>
    </w:p>
    <w:p>
      <w:pPr>
        <w:spacing w:after="0" w:line="170" w:lineRule="exact"/>
        <w:rPr>
          <w:sz w:val="20"/>
          <w:szCs w:val="20"/>
          <w:color w:val="auto"/>
        </w:rPr>
      </w:pPr>
    </w:p>
    <w:p>
      <w:pPr>
        <w:ind w:left="500" w:hanging="492"/>
        <w:spacing w:after="0" w:line="258"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BCP Stand-Alone, which reported an increase of +220 bps QoQ in the efficiency ratio, mainly due to higher expenses for programming and systems; and</w:t>
      </w:r>
    </w:p>
    <w:p>
      <w:pPr>
        <w:spacing w:after="0" w:line="1"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Mibanco increased its efficiency ratio from +140 bps QoQ due to higher expenses for employee salaries and benefits, which was attributable to organic growth.</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Credicorp’s efficiency ratio fell -10 bps due to higher growth in operating income, mainly at BCP and Mibanco, than in operating expenses. Nevertheless, it is important to note the YoY reduction in operating expenses at BCP Bolivia and Credicorp Capital, which was primarily attributable to a decrease in employee salaries and benefits.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efficiency ratio remained basically stable, increasing only +10 bps after slight growth in i) administrative and general expenses and taxes at the BCP subsidiary and ii) Employee salaries and benefits at Mibanco.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4840" w:type="dxa"/>
            <w:vAlign w:val="bottom"/>
            <w:gridSpan w:val="2"/>
          </w:tcPr>
          <w:p>
            <w:pPr>
              <w:ind w:left="120"/>
              <w:spacing w:after="0"/>
              <w:rPr>
                <w:sz w:val="20"/>
                <w:szCs w:val="20"/>
                <w:color w:val="auto"/>
              </w:rPr>
            </w:pPr>
            <w:r>
              <w:rPr>
                <w:rFonts w:ascii="Arial" w:cs="Arial" w:eastAsia="Arial" w:hAnsi="Arial"/>
                <w:sz w:val="18"/>
                <w:szCs w:val="18"/>
                <w:b w:val="1"/>
                <w:bCs w:val="1"/>
                <w:color w:val="auto"/>
              </w:rPr>
              <w:t>Regulatory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8.1</w:t>
            </w:r>
          </w:p>
        </w:tc>
        <w:tc>
          <w:tcPr>
            <w:tcW w:w="4840" w:type="dxa"/>
            <w:vAlign w:val="bottom"/>
            <w:gridSpan w:val="2"/>
          </w:tcPr>
          <w:p>
            <w:pPr>
              <w:ind w:left="120"/>
              <w:spacing w:after="0"/>
              <w:rPr>
                <w:sz w:val="20"/>
                <w:szCs w:val="20"/>
                <w:color w:val="auto"/>
              </w:rPr>
            </w:pPr>
            <w:r>
              <w:rPr>
                <w:rFonts w:ascii="Arial" w:cs="Arial" w:eastAsia="Arial" w:hAnsi="Arial"/>
                <w:sz w:val="18"/>
                <w:szCs w:val="18"/>
                <w:b w:val="1"/>
                <w:bCs w:val="1"/>
                <w:color w:val="auto"/>
              </w:rPr>
              <w:t>Regulatory Capital –BAP</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1Q16</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2Q16</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1,401,804</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1,392,615</w:t>
            </w:r>
          </w:p>
        </w:tc>
        <w:tc>
          <w:tcPr>
            <w:tcW w:w="2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1,392,750</w:t>
            </w:r>
          </w:p>
        </w:tc>
        <w:tc>
          <w:tcPr>
            <w:tcW w:w="2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Legal and Other capital reserves (1)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11,112,964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13,551,710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13,507,601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369,435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395,472</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Loan loss reserves (3)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1,195,446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1,313,185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1,285,561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831,500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822,250</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4,738,966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4,919,248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5,039,308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(924,035)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(903,412)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(728,148)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(751,253)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(630,420)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(633,611)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Deduction for Tier I Limit (50% of Regulatory capital) (4)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17,937,578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20,879,352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21,081,183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10,671,098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12,114,604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12,180,475</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Tier II (6) + Tier III (7)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7,266,480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8,764,749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8,900,708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4"/>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14,246,003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15,940,249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15,653,442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885,460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1,057,403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923,434</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FCG Capital Requirements related to operations with ICG (8)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(105,119)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(131,978)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(325,433)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 (9)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15,026,343</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16,865,674</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16,251,443</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Required Regulatory Capital Ratio (10)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9,321 million) and optional capital reserves (PEN 1,807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Minority interest includes Tier I (PEN 357.1 million) and Tier II (PEN 2.1 million) minority interests.</w:t>
      </w:r>
    </w:p>
    <w:p>
      <w:pPr>
        <w:spacing w:after="0" w:line="9" w:lineRule="exact"/>
        <w:rPr>
          <w:rFonts w:ascii="Arial" w:cs="Arial" w:eastAsia="Arial" w:hAnsi="Arial"/>
          <w:sz w:val="18"/>
          <w:szCs w:val="18"/>
          <w:color w:val="auto"/>
        </w:rPr>
      </w:pPr>
    </w:p>
    <w:p>
      <w:pPr>
        <w:ind w:right="140" w:firstLine="8"/>
        <w:spacing w:after="0" w:line="25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Tier III can not be more than 50% of total regulatory capital.</w:t>
      </w:r>
    </w:p>
    <w:p>
      <w:pPr>
        <w:spacing w:after="0" w:line="9" w:lineRule="exact"/>
        <w:rPr>
          <w:rFonts w:ascii="Arial" w:cs="Arial" w:eastAsia="Arial" w:hAnsi="Arial"/>
          <w:sz w:val="18"/>
          <w:szCs w:val="18"/>
          <w:color w:val="auto"/>
        </w:rPr>
      </w:pPr>
    </w:p>
    <w:p>
      <w:pPr>
        <w:ind w:right="560" w:firstLine="8"/>
        <w:spacing w:after="0" w:line="25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722"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At the end of June 2016, Credicorp reported a very comfortable capitalization level that was 1.30 times higher than the capital required by the regulating entity in Peru. This ratio increased QoQ due to the expansion Credicorp’s regulatory capital (+1.0%) while the regulatory capital requirement dropped -3.6% QoQ.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growth in regulatory capital was due primarily to the net income generated in 2Q16.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drop in the regulatory capital requirement was due mainly to the lower capital requirement from the consolidated financial group, which in turn reflected the slowdown in loan growth at BCP Stand-alone.</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w w:val="95"/>
              </w:rPr>
              <w:t>8.2   Regulatory Capital –BCP Stand-alone based on Peru GAAP</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Arial" w:cs="Arial" w:eastAsia="Arial" w:hAnsi="Arial"/>
                <w:sz w:val="18"/>
                <w:szCs w:val="18"/>
                <w:color w:val="auto"/>
              </w:rPr>
              <w:t>S/ 000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2Q15</w:t>
            </w: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1Q16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2Q16</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7,066,346</w:t>
            </w:r>
          </w:p>
        </w:tc>
        <w:tc>
          <w:tcPr>
            <w:tcW w:w="28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3,157,900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3,582,209</w:t>
            </w:r>
          </w:p>
        </w:tc>
        <w:tc>
          <w:tcPr>
            <w:tcW w:w="1020" w:type="dxa"/>
            <w:vAlign w:val="bottom"/>
          </w:tcPr>
          <w:p>
            <w:pPr>
              <w:jc w:val="right"/>
              <w:spacing w:after="0"/>
              <w:rPr>
                <w:sz w:val="20"/>
                <w:szCs w:val="20"/>
                <w:color w:val="auto"/>
              </w:rPr>
            </w:pPr>
            <w:r>
              <w:rPr>
                <w:rFonts w:ascii="Arial" w:cs="Arial" w:eastAsia="Arial" w:hAnsi="Arial"/>
                <w:sz w:val="18"/>
                <w:szCs w:val="18"/>
                <w:color w:val="auto"/>
              </w:rPr>
              <w:t>3,582,218</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1,055,082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1,166,266</w:t>
            </w:r>
          </w:p>
        </w:tc>
        <w:tc>
          <w:tcPr>
            <w:tcW w:w="1020" w:type="dxa"/>
            <w:vAlign w:val="bottom"/>
          </w:tcPr>
          <w:p>
            <w:pPr>
              <w:jc w:val="right"/>
              <w:spacing w:after="0"/>
              <w:rPr>
                <w:sz w:val="20"/>
                <w:szCs w:val="20"/>
                <w:color w:val="auto"/>
              </w:rPr>
            </w:pPr>
            <w:r>
              <w:rPr>
                <w:rFonts w:ascii="Arial" w:cs="Arial" w:eastAsia="Arial" w:hAnsi="Arial"/>
                <w:sz w:val="18"/>
                <w:szCs w:val="18"/>
                <w:color w:val="auto"/>
              </w:rPr>
              <w:t>1,140,215</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794,250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822,250</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4,307,757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4,486,420</w:t>
            </w:r>
          </w:p>
        </w:tc>
        <w:tc>
          <w:tcPr>
            <w:tcW w:w="1020" w:type="dxa"/>
            <w:vAlign w:val="bottom"/>
          </w:tcPr>
          <w:p>
            <w:pPr>
              <w:jc w:val="right"/>
              <w:spacing w:after="0"/>
              <w:rPr>
                <w:sz w:val="20"/>
                <w:szCs w:val="20"/>
                <w:color w:val="auto"/>
              </w:rPr>
            </w:pPr>
            <w:r>
              <w:rPr>
                <w:rFonts w:ascii="Arial" w:cs="Arial" w:eastAsia="Arial" w:hAnsi="Arial"/>
                <w:sz w:val="18"/>
                <w:szCs w:val="18"/>
                <w:color w:val="auto"/>
              </w:rPr>
              <w:t>4,442,054</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w w:val="94"/>
              </w:rPr>
              <w:t>Investment in subsidiaries and others, net of unrealized profit and net</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4"/>
          </w:tcPr>
          <w:p>
            <w:pPr>
              <w:spacing w:after="0"/>
              <w:rPr>
                <w:sz w:val="20"/>
                <w:szCs w:val="20"/>
                <w:color w:val="auto"/>
              </w:rPr>
            </w:pPr>
            <w:r>
              <w:rPr>
                <w:rFonts w:ascii="Arial" w:cs="Arial" w:eastAsia="Arial" w:hAnsi="Arial"/>
                <w:sz w:val="18"/>
                <w:szCs w:val="18"/>
                <w:color w:val="auto"/>
              </w:rPr>
              <w:t>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(1,692,746)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(1,637,195)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(1,228,010)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1,889,914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1,852,010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(1,347,105)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197,168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214,815</w:t>
            </w:r>
          </w:p>
        </w:tc>
        <w:tc>
          <w:tcPr>
            <w:tcW w:w="1020" w:type="dxa"/>
            <w:vAlign w:val="bottom"/>
          </w:tcPr>
          <w:p>
            <w:pPr>
              <w:jc w:val="right"/>
              <w:spacing w:after="0"/>
              <w:rPr>
                <w:sz w:val="20"/>
                <w:szCs w:val="20"/>
                <w:color w:val="auto"/>
              </w:rPr>
            </w:pPr>
            <w:r>
              <w:rPr>
                <w:rFonts w:ascii="Arial" w:cs="Arial" w:eastAsia="Arial" w:hAnsi="Arial"/>
                <w:sz w:val="18"/>
                <w:szCs w:val="18"/>
                <w:color w:val="auto"/>
              </w:rPr>
              <w:t>119,095</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13,354,210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15,373,464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15,702,990</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Off-balance sheet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29,044,483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33,068,225</w:t>
            </w:r>
          </w:p>
        </w:tc>
        <w:tc>
          <w:tcPr>
            <w:tcW w:w="1020" w:type="dxa"/>
            <w:vAlign w:val="bottom"/>
          </w:tcPr>
          <w:p>
            <w:pPr>
              <w:jc w:val="right"/>
              <w:spacing w:after="0"/>
              <w:rPr>
                <w:sz w:val="20"/>
                <w:szCs w:val="20"/>
                <w:color w:val="auto"/>
              </w:rPr>
            </w:pPr>
            <w:r>
              <w:rPr>
                <w:rFonts w:ascii="Arial" w:cs="Arial" w:eastAsia="Arial" w:hAnsi="Arial"/>
                <w:sz w:val="18"/>
                <w:szCs w:val="18"/>
                <w:color w:val="auto"/>
              </w:rPr>
              <w:t>31,913,377</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8,936,328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10,646,783</w:t>
            </w:r>
          </w:p>
        </w:tc>
        <w:tc>
          <w:tcPr>
            <w:tcW w:w="1020" w:type="dxa"/>
            <w:vAlign w:val="bottom"/>
          </w:tcPr>
          <w:p>
            <w:pPr>
              <w:jc w:val="right"/>
              <w:spacing w:after="0"/>
              <w:rPr>
                <w:sz w:val="20"/>
                <w:szCs w:val="20"/>
                <w:color w:val="auto"/>
              </w:rPr>
            </w:pPr>
            <w:r>
              <w:rPr>
                <w:rFonts w:ascii="Arial" w:cs="Arial" w:eastAsia="Arial" w:hAnsi="Arial"/>
                <w:sz w:val="18"/>
                <w:szCs w:val="18"/>
                <w:color w:val="auto"/>
              </w:rPr>
              <w:t>10,794,274</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4,417,882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4,726,681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4,908,716</w:t>
            </w:r>
          </w:p>
        </w:tc>
        <w:tc>
          <w:tcPr>
            <w:tcW w:w="260" w:type="dxa"/>
            <w:vAlign w:val="bottom"/>
            <w:tcBorders>
              <w:left w:val="single" w:sz="8" w:color="CCEEFF"/>
            </w:tcBorders>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92,873,376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102,488,839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99,612,081</w:t>
            </w:r>
          </w:p>
        </w:tc>
        <w:tc>
          <w:tcPr>
            <w:tcW w:w="260" w:type="dxa"/>
            <w:vAlign w:val="bottom"/>
            <w:tcBorders>
              <w:left w:val="single" w:sz="8" w:color="CCEEFF"/>
            </w:tcBorders>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1,734,216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1,673,168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707,066</w:t>
            </w:r>
          </w:p>
        </w:tc>
        <w:tc>
          <w:tcPr>
            <w:tcW w:w="2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-57.7%</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84,406,557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93,301,253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91,217,162</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Operational risk-weighted assets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6,732,602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7,514,419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7,687,852</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Adjusted Risk-Weighted Assets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92,873,376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102,008,703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99,124,208</w:t>
            </w: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92,873,376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102,488,839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99,612,081</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480,136</w:t>
            </w:r>
          </w:p>
        </w:tc>
        <w:tc>
          <w:tcPr>
            <w:tcW w:w="1020" w:type="dxa"/>
            <w:vAlign w:val="bottom"/>
          </w:tcPr>
          <w:p>
            <w:pPr>
              <w:jc w:val="right"/>
              <w:spacing w:after="0"/>
              <w:rPr>
                <w:sz w:val="20"/>
                <w:szCs w:val="20"/>
                <w:color w:val="auto"/>
              </w:rPr>
            </w:pPr>
            <w:r>
              <w:rPr>
                <w:rFonts w:ascii="Arial" w:cs="Arial" w:eastAsia="Arial" w:hAnsi="Arial"/>
                <w:sz w:val="18"/>
                <w:szCs w:val="18"/>
                <w:color w:val="auto"/>
              </w:rPr>
              <w:t>487,873</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 RWA Deferred tax assets generated as a result of temporary</w:t>
            </w: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differences in income tax, in excess of 10% of CET1</w:t>
            </w:r>
          </w:p>
        </w:tc>
        <w:tc>
          <w:tcPr>
            <w:tcW w:w="11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w w:val="97"/>
              </w:rPr>
              <w:t>(-) RWA Deferred tax assets generated as a result of past losses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11,076,962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12,405,547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12,060,046</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173,422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167,317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70,707</w:t>
            </w: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Credit risk capital requirement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8,440,656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9,330,125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9,121,716</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673,260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751,442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768,785</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Additional capital requirements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1,789,625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2,156,663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2,098,838</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Capital ratios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0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114"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At the end of 2Q16, BCP Stand-Alone (Peru GAAP) registered a significant increase in its capital ratios.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sense, the BIS ratio was situated at 15.76%, which represented an increase over the figures posted in 1Q16 and 2Q15. This was due to the decrease in Risk-Weighted Assets (RWAs) in general and credit risk RWAs in particular, which reflect the fact that loan growth was virtually inexistent at BCP Stand-Alone.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continued to follow an upward trend due to the aforementioned effects and at 2Q16, was situated at 10.84%.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Common equity tier 1 (CET1) ratio, which is considered the most rigorous in terms of measuring capitalization levels, reported a significant increase and situated at 10.20% at the end of June. This was mainly due to:</w:t>
      </w:r>
    </w:p>
    <w:p>
      <w:pPr>
        <w:spacing w:after="0" w:line="170" w:lineRule="exact"/>
        <w:rPr>
          <w:sz w:val="20"/>
          <w:szCs w:val="20"/>
          <w:color w:val="auto"/>
        </w:rPr>
      </w:pPr>
    </w:p>
    <w:p>
      <w:pPr>
        <w:ind w:left="980" w:hanging="648"/>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income generated in 2Q16, which helped us build around 70 bps of CET1;</w:t>
      </w:r>
    </w:p>
    <w:p>
      <w:pPr>
        <w:spacing w:after="0" w:line="23" w:lineRule="exact"/>
        <w:rPr>
          <w:rFonts w:ascii="Arial" w:cs="Arial" w:eastAsia="Arial" w:hAnsi="Arial"/>
          <w:sz w:val="18"/>
          <w:szCs w:val="18"/>
          <w:color w:val="auto"/>
        </w:rPr>
      </w:pPr>
    </w:p>
    <w:p>
      <w:pPr>
        <w:ind w:left="980" w:hanging="648"/>
        <w:spacing w:after="0" w:line="250"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 of BCP Bolivia from BCP to a Bolivian Holding that is subsidiary of Credicorp (ICBSA), which reduced the deduction for investments in financial subsidiaries in approximately 60 bps; and</w:t>
      </w:r>
    </w:p>
    <w:p>
      <w:pPr>
        <w:ind w:left="980" w:hanging="648"/>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contraction in RWAs that generated an increase of approximately 29 bps of CET1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BCP Stand-alone</w:t>
      </w:r>
    </w:p>
    <w:p>
      <w:pPr>
        <w:spacing w:after="0" w:line="18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 xml:space="preserve">March 2016                          </w:t>
      </w:r>
      <w:r>
        <w:rPr>
          <w:sz w:val="1"/>
          <w:szCs w:val="1"/>
          <w:color w:val="auto"/>
        </w:rPr>
        <w:drawing>
          <wp:inline distT="0" distB="0" distL="0" distR="0">
            <wp:extent cx="34290" cy="1625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162560"/>
                    </a:xfrm>
                    <a:prstGeom prst="rect">
                      <a:avLst/>
                    </a:prstGeom>
                    <a:noFill/>
                    <a:ln>
                      <a:noFill/>
                    </a:ln>
                  </pic:spPr>
                </pic:pic>
              </a:graphicData>
            </a:graphic>
          </wp:inline>
        </w:drawing>
      </w:r>
      <w:r>
        <w:rPr>
          <w:rFonts w:ascii="Arial" w:cs="Arial" w:eastAsia="Arial" w:hAnsi="Arial"/>
          <w:sz w:val="18"/>
          <w:szCs w:val="18"/>
          <w:b w:val="1"/>
          <w:bCs w:val="1"/>
          <w:color w:val="auto"/>
        </w:rPr>
        <w:t xml:space="preserve">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-24765</wp:posOffset>
            </wp:positionV>
            <wp:extent cx="6715125" cy="127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1512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30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Until March 2016 the account investments in subsidiaries includes BCP Bolivia investment and others. At June 2016, Investments in subsidiaries does not include BCP Bolivia investment.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4020" w:type="dxa"/>
            <w:vAlign w:val="bottom"/>
            <w:gridSpan w:val="2"/>
          </w:tcPr>
          <w:p>
            <w:pPr>
              <w:ind w:left="180"/>
              <w:spacing w:after="0"/>
              <w:rPr>
                <w:sz w:val="20"/>
                <w:szCs w:val="20"/>
                <w:color w:val="auto"/>
              </w:rPr>
            </w:pPr>
            <w:r>
              <w:rPr>
                <w:rFonts w:ascii="Arial" w:cs="Arial" w:eastAsia="Arial" w:hAnsi="Arial"/>
                <w:sz w:val="18"/>
                <w:szCs w:val="18"/>
                <w:b w:val="1"/>
                <w:bCs w:val="1"/>
                <w:color w:val="auto"/>
              </w:rPr>
              <w:t>Distribution channels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2Q15</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1Q16</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2Q16</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8,343</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Mibanco's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7,952</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8,785</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8,667</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BCP Consolidated's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8,311</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9,189</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20" w:firstLine="9"/>
        <w:spacing w:after="0" w:line="277" w:lineRule="auto"/>
        <w:tabs>
          <w:tab w:leader="none" w:pos="12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2Q15, 1Q16 and 2Q16 were 38.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distribution channels at BCP, Mibanco and BCP Bolivia posted a total of 9,068 points of contact at the end of 2Q16. This level represented a decline of -121 points QoQ, which was due to efforts to seek out efficiency by eliminating points of contact that are in non-strategic locations.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BCP had 8,343 points of contact at the end of 2Q16, which represented a decline of -118 YoY. The aforementioned was due mainly to a decrease in Agentes BCP (-118 QoQ), mainly in the Provinces (-139 QoQ). With this result, 56% of the BCP’s total points of contact are located in Lima.</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Mibanco maintained the same number of branches in 2Q16: 324. It is important to note that Mibanco has an agreement with the Banco de la Nacion that allows it to use its offices around the country to reduce operating costs. At the end of 2Q16, these offices represented 12% of total locations (38 offices).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Bolivia increased its number of ATMs (+3 QoQ) and reduced the number of Agents (-6 QoQ). This drop was no attributable to the company’s strategy and instead reflects pressure from external factors.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YoY analysis, the total number of points of contract at BCP increased by 719 due to growth in Agentes BCP (+655) and in ATMs (+57), which was in line with the strategy for banking penetration and expansion. BCP Bolivia increased its points of contact (+42 YoY), which was mainly due to an increase in Agentes and ATMs. This was in keeping with the bank’s growth strategy, which contemplates having 150 agents in place by the end of 2016. Mibanco posted a drop in branches (-4 YoY) that reflects its application of criteria for proximity and client concentration.</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Points of Contact by Locality – BCP stand-alone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ind w:left="58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8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2Q15</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1Q16</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2Q16</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QoQ</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YoY</w:t>
            </w:r>
          </w:p>
        </w:tc>
      </w:tr>
      <w:tr>
        <w:trPr>
          <w:trHeight w:val="210"/>
        </w:trPr>
        <w:tc>
          <w:tcPr>
            <w:tcW w:w="88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Provinces</w:t>
            </w: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Lima</w:t>
            </w: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Total ATM's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2,254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2,307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2,311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Provinces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4,918</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5,691</w:t>
            </w:r>
          </w:p>
        </w:tc>
        <w:tc>
          <w:tcPr>
            <w:tcW w:w="2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5,573</w:t>
            </w:r>
          </w:p>
        </w:tc>
        <w:tc>
          <w:tcPr>
            <w:tcW w:w="2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drop in points of contact QoQ that has been registered in the provinces is due to efforts to increase efficiency in terms of maintenance costs after an aggressive campaign to drive growth. On the contrary, Lima reported growth QoQ after having followed and culminated a similar process.</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YoY analysis shows aggressive growth in Agentes BCP in Lima (+326) and the Provinces (+329) throughout 2016. The number of ATMs in Lima has also growth (+88) along with branches (+17). On the contrary, the number of ATMs in the provinces has fallen (-31) along with the number of branches (-10).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i w:val="1"/>
                <w:iCs w:val="1"/>
                <w:color w:val="auto"/>
                <w:w w:val="93"/>
              </w:rPr>
              <w:t>Transactions per channel – BCP stand-alone</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 of Transactions per channel</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8"/>
          </w:tcPr>
          <w:p>
            <w:pPr>
              <w:ind w:left="500"/>
              <w:spacing w:after="0"/>
              <w:rPr>
                <w:sz w:val="20"/>
                <w:szCs w:val="20"/>
                <w:color w:val="auto"/>
              </w:rPr>
            </w:pPr>
            <w:r>
              <w:rPr>
                <w:rFonts w:ascii="Arial" w:cs="Arial" w:eastAsia="Arial" w:hAnsi="Arial"/>
                <w:sz w:val="18"/>
                <w:szCs w:val="18"/>
                <w:b w:val="1"/>
                <w:bCs w:val="1"/>
                <w:color w:val="auto"/>
              </w:rPr>
              <w:t>Monthly average in each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4"/>
          </w:tcPr>
          <w:p>
            <w:pPr>
              <w:jc w:val="right"/>
              <w:ind w:right="645"/>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2Q15</w:t>
            </w: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1Q16</w:t>
            </w: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2Q16</w:t>
            </w: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9,265,849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8,622,883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8,669,772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17,903,189</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20.3%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18,797,333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20.2%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19,255,754</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19.6%</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2,880,307</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2,405,842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2,544,960</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920" w:type="dxa"/>
            <w:vAlign w:val="bottom"/>
          </w:tcPr>
          <w:p>
            <w:pPr>
              <w:jc w:val="right"/>
              <w:spacing w:after="0"/>
              <w:rPr>
                <w:sz w:val="20"/>
                <w:szCs w:val="20"/>
                <w:color w:val="auto"/>
              </w:rPr>
            </w:pPr>
            <w:r>
              <w:rPr>
                <w:rFonts w:ascii="Arial" w:cs="Arial" w:eastAsia="Arial" w:hAnsi="Arial"/>
                <w:sz w:val="18"/>
                <w:szCs w:val="18"/>
                <w:color w:val="auto"/>
              </w:rPr>
              <w:t>2,366,180</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3,119,883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19,200,181</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19,695,825</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20,126,606</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13,256,954</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15.0%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14,088,496</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15.1%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14,660,153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8,041,782</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8,278,380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8,839,570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5,954,819</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920" w:type="dxa"/>
            <w:vAlign w:val="bottom"/>
          </w:tcPr>
          <w:p>
            <w:pPr>
              <w:jc w:val="right"/>
              <w:spacing w:after="0"/>
              <w:rPr>
                <w:sz w:val="20"/>
                <w:szCs w:val="20"/>
                <w:color w:val="auto"/>
              </w:rPr>
            </w:pPr>
            <w:r>
              <w:rPr>
                <w:rFonts w:ascii="Arial" w:cs="Arial" w:eastAsia="Arial" w:hAnsi="Arial"/>
                <w:sz w:val="18"/>
                <w:szCs w:val="18"/>
                <w:color w:val="auto"/>
              </w:rPr>
              <w:t>8,776,892</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10,553,955</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757,648</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690,740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681,891</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8,231,483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920" w:type="dxa"/>
            <w:vAlign w:val="bottom"/>
          </w:tcPr>
          <w:p>
            <w:pPr>
              <w:jc w:val="right"/>
              <w:spacing w:after="0"/>
              <w:rPr>
                <w:sz w:val="20"/>
                <w:szCs w:val="20"/>
                <w:color w:val="auto"/>
              </w:rPr>
            </w:pPr>
            <w:r>
              <w:rPr>
                <w:rFonts w:ascii="Arial" w:cs="Arial" w:eastAsia="Arial" w:hAnsi="Arial"/>
                <w:sz w:val="18"/>
                <w:szCs w:val="18"/>
                <w:color w:val="auto"/>
              </w:rPr>
              <w:t>9,224,731</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9.9%</w:t>
            </w:r>
          </w:p>
        </w:tc>
        <w:tc>
          <w:tcPr>
            <w:tcW w:w="920" w:type="dxa"/>
            <w:vAlign w:val="bottom"/>
          </w:tcPr>
          <w:p>
            <w:pPr>
              <w:jc w:val="right"/>
              <w:spacing w:after="0"/>
              <w:rPr>
                <w:sz w:val="20"/>
                <w:szCs w:val="20"/>
                <w:color w:val="auto"/>
              </w:rPr>
            </w:pPr>
            <w:r>
              <w:rPr>
                <w:rFonts w:ascii="Arial" w:cs="Arial" w:eastAsia="Arial" w:hAnsi="Arial"/>
                <w:sz w:val="18"/>
                <w:szCs w:val="18"/>
                <w:color w:val="auto"/>
              </w:rPr>
              <w:t>9,595,055</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218,502</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219,849</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201,560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88,255,676</w:t>
            </w:r>
          </w:p>
        </w:tc>
        <w:tc>
          <w:tcPr>
            <w:tcW w:w="1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92,997,130</w:t>
            </w:r>
          </w:p>
        </w:tc>
        <w:tc>
          <w:tcPr>
            <w:tcW w:w="1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98,110,042</w:t>
            </w:r>
          </w:p>
        </w:tc>
        <w:tc>
          <w:tcPr>
            <w:tcW w:w="1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monthly average of transactions increased QoQ. This was due mainly to a larger volume via Mobile Banking, Telephone Banking and Agentes BCP, which reflects the upward trend in the transactions volume seen throughout the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which excludes the seasonal effect, shows an increase in the monthly average of transactions (+11.2%). The aforementioned was due mainly to an increase in the volume of transactions reported through cost-efficient channels such as:</w:t>
      </w:r>
    </w:p>
    <w:p>
      <w:pPr>
        <w:spacing w:after="0" w:line="170" w:lineRule="exact"/>
        <w:rPr>
          <w:sz w:val="20"/>
          <w:szCs w:val="20"/>
          <w:color w:val="auto"/>
        </w:rPr>
      </w:pPr>
    </w:p>
    <w:p>
      <w:pPr>
        <w:ind w:left="660" w:hanging="328"/>
        <w:spacing w:after="0" w:line="25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Mobile banking (+77.2% YoY), which continues to increase its share due to mobile applications such as “Banca Celular BCP” and “Tus Beneficios BCP”.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Agente BCP (+10.6% YoY) due to a 600+ increase in points of contact YoY.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Points of sale P.O.S (+16.6% YoY) thanks to a campaign to install cost-free P.O.S Visanet for SME-PYMEs with a BCP Current Account.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ATMs (+7.6% YoY) in line with an YoY increase in points of contact.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channels that posted a drop in transactions YoY were: Tellers (-6.4 YoY) and Balance Inquiries (-16.5% YoY), which reflects migration to cost-efficient channels.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future growth in banking in the region will be channeled primarily through digital venues. As such, Credicorp is seeking to increase its strategic positions in these cost-efficient channels.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10.   Economic outlook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3"/>
          </w:tcPr>
          <w:p>
            <w:pPr>
              <w:ind w:left="340"/>
              <w:spacing w:after="0"/>
              <w:rPr>
                <w:sz w:val="20"/>
                <w:szCs w:val="20"/>
                <w:color w:val="auto"/>
              </w:rPr>
            </w:pPr>
            <w:r>
              <w:rPr>
                <w:rFonts w:ascii="Arial" w:cs="Arial" w:eastAsia="Arial" w:hAnsi="Arial"/>
                <w:sz w:val="18"/>
                <w:szCs w:val="18"/>
                <w:b w:val="1"/>
                <w:bCs w:val="1"/>
                <w:color w:val="auto"/>
              </w:rPr>
              <w:t>10.1  Peru: Economic Outlook</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40" w:type="dxa"/>
            <w:vAlign w:val="bottom"/>
          </w:tcPr>
          <w:p>
            <w:pPr>
              <w:spacing w:after="0"/>
              <w:rPr>
                <w:sz w:val="24"/>
                <w:szCs w:val="24"/>
                <w:color w:val="auto"/>
              </w:rPr>
            </w:pPr>
          </w:p>
        </w:tc>
        <w:tc>
          <w:tcPr>
            <w:tcW w:w="3180" w:type="dxa"/>
            <w:vAlign w:val="bottom"/>
            <w:gridSpan w:val="2"/>
          </w:tcPr>
          <w:p>
            <w:pPr>
              <w:ind w:left="1360"/>
              <w:spacing w:after="0"/>
              <w:rPr>
                <w:sz w:val="20"/>
                <w:szCs w:val="20"/>
                <w:color w:val="auto"/>
              </w:rPr>
            </w:pPr>
            <w:r>
              <w:rPr>
                <w:rFonts w:ascii="Arial" w:cs="Arial" w:eastAsia="Arial" w:hAnsi="Arial"/>
                <w:sz w:val="18"/>
                <w:szCs w:val="18"/>
                <w:b w:val="1"/>
                <w:bCs w:val="1"/>
                <w:color w:val="auto"/>
              </w:rPr>
              <w:t>Peru</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202,944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192,134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194,898</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6,501</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consumption (% change)</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Gross fixed investment (as % GDP)</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Debt (as % GDP)</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3180" w:type="dxa"/>
            <w:vAlign w:val="bottom"/>
            <w:gridSpan w:val="2"/>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(2)</w:t>
            </w: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Pr>
          <w:p>
            <w:pPr>
              <w:spacing w:after="0"/>
              <w:rPr>
                <w:sz w:val="21"/>
                <w:szCs w:val="21"/>
                <w:color w:val="auto"/>
              </w:rPr>
            </w:pPr>
          </w:p>
        </w:tc>
        <w:tc>
          <w:tcPr>
            <w:tcW w:w="3180" w:type="dxa"/>
            <w:vAlign w:val="bottom"/>
            <w:gridSpan w:val="2"/>
            <w:vMerge w:val="continue"/>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Reference Rate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end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3.38 - 3.43</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3.45 - 3.50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Exchange rate, (% change)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balance (% GDP)</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Trade balance (US$ 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Exports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39,533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34,236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34,703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37,410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Imports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41,042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37,385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35,804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Current account balance (US$ Millions)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-8,196</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-8,373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-6,756</w:t>
            </w:r>
          </w:p>
        </w:tc>
        <w:tc>
          <w:tcPr>
            <w:tcW w:w="1180" w:type="dxa"/>
            <w:vAlign w:val="bottom"/>
          </w:tcPr>
          <w:p>
            <w:pPr>
              <w:jc w:val="right"/>
              <w:spacing w:after="0"/>
              <w:rPr>
                <w:sz w:val="20"/>
                <w:szCs w:val="20"/>
                <w:color w:val="auto"/>
              </w:rPr>
            </w:pPr>
            <w:r>
              <w:rPr>
                <w:rFonts w:ascii="Arial" w:cs="Arial" w:eastAsia="Arial" w:hAnsi="Arial"/>
                <w:sz w:val="18"/>
                <w:szCs w:val="18"/>
                <w:color w:val="auto"/>
              </w:rPr>
              <w:t>-6,115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8"/>
              </w:rPr>
              <w:t>Net international reserves (US$ Millions)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62,308</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61,485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60,241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59,333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(As months of imports)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Source: Estimates by BCP Economic Research as of August, 2016; INEI, BCRP, and SBS</w:t>
      </w:r>
    </w:p>
    <w:p>
      <w:pPr>
        <w:spacing w:after="0" w:line="23" w:lineRule="exact"/>
        <w:rPr>
          <w:sz w:val="20"/>
          <w:szCs w:val="20"/>
          <w:color w:val="auto"/>
        </w:rPr>
      </w:pPr>
    </w:p>
    <w:p>
      <w:pPr>
        <w:ind w:left="1280" w:hanging="251"/>
        <w:spacing w:after="0"/>
        <w:tabs>
          <w:tab w:leader="none" w:pos="12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Multiple Banking, Current Exchange Rates</w:t>
      </w:r>
    </w:p>
    <w:p>
      <w:pPr>
        <w:spacing w:after="0" w:line="9" w:lineRule="exact"/>
        <w:rPr>
          <w:rFonts w:ascii="Arial" w:cs="Arial" w:eastAsia="Arial" w:hAnsi="Arial"/>
          <w:sz w:val="18"/>
          <w:szCs w:val="18"/>
          <w:color w:val="auto"/>
        </w:rPr>
      </w:pPr>
    </w:p>
    <w:p>
      <w:pPr>
        <w:ind w:left="1280" w:hanging="251"/>
        <w:spacing w:after="0"/>
        <w:tabs>
          <w:tab w:leader="none" w:pos="12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6" w:lineRule="exact"/>
        <w:rPr>
          <w:rFonts w:ascii="Arial" w:cs="Arial" w:eastAsia="Arial" w:hAnsi="Arial"/>
          <w:sz w:val="18"/>
          <w:szCs w:val="18"/>
          <w:color w:val="auto"/>
        </w:rPr>
      </w:pPr>
    </w:p>
    <w:p>
      <w:pPr>
        <w:ind w:left="620" w:hanging="301"/>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for this year and the next, forecasts situate GDP growth at 3.7% and 4.2%, respectively.</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inflation at year-end 2016 will be around 3.0%, which falls below the 3.5% previously expected. The decrease in inflation will be due</w:t>
      </w:r>
      <w:r>
        <w:rPr>
          <w:rFonts w:ascii="Arial" w:cs="Arial" w:eastAsia="Arial" w:hAnsi="Arial"/>
          <w:sz w:val="18"/>
          <w:szCs w:val="18"/>
          <w:b w:val="1"/>
          <w:bCs w:val="1"/>
          <w:color w:val="auto"/>
        </w:rPr>
        <w:t xml:space="preserve"> </w:t>
      </w:r>
      <w:r>
        <w:rPr>
          <w:rFonts w:ascii="Arial" w:cs="Arial" w:eastAsia="Arial" w:hAnsi="Arial"/>
          <w:sz w:val="18"/>
          <w:szCs w:val="18"/>
          <w:color w:val="auto"/>
        </w:rPr>
        <w:t>mainly to a drop in upward supply-side pressures on food prices and less depreciation of the Sol. For 2017, the forecast has been revised from 2.7% to 2.5% but remains within BCRP’s range.</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BCRP is expected to keep the reference rate at 4.25% for the next few months.</w:t>
      </w:r>
    </w:p>
    <w:p>
      <w:pPr>
        <w:spacing w:after="0" w:line="225"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the forecast for the exchange rate has been revised downward from US$/SOL 3.50 to a range between US$/SOL 3.38-3.43 for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3.45-3.50 for 2017. Expectations for depreciation are lower due to external factors (capital flows to emerging markets in search of higher returns given that international interest rates are expected to remain low) and local factors (higher demand in Soles to cover fund withdrawals for AFPs after regulatory changes).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10.2 Main macroeconomic variables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(real annual percentage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154940</wp:posOffset>
            </wp:positionV>
            <wp:extent cx="4356735" cy="1243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5673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Source: INEI</w:t>
      </w:r>
    </w:p>
    <w:p>
      <w:pPr>
        <w:spacing w:after="0" w:line="225" w:lineRule="exact"/>
        <w:rPr>
          <w:sz w:val="20"/>
          <w:szCs w:val="20"/>
          <w:color w:val="auto"/>
        </w:rPr>
      </w:pPr>
    </w:p>
    <w:p>
      <w:pPr>
        <w:ind w:left="760" w:right="360" w:hanging="131"/>
        <w:spacing w:after="0" w:line="274" w:lineRule="auto"/>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2Q16, GDP is expected to grow 3.5%. Lower growth with regard to 1Q16 is due to (i) a decrease in fishing production (-59% YoY) due to a delay in the start of the first fishing season, and (ii) less drive for public investment, mainly at the government level (-9.3% YoY).</w:t>
      </w:r>
    </w:p>
    <w:p>
      <w:pPr>
        <w:ind w:left="760" w:right="240" w:hanging="131"/>
        <w:spacing w:after="0" w:line="261"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first semester, the economy grew approximately 4% YoY. Nevertheless, if we deduct growth in the mining sector (copper production grew 51%), the economy posted growth of just 1.5% YoY (approximately).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Inflation and the reference rate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154940</wp:posOffset>
            </wp:positionV>
            <wp:extent cx="4210685" cy="18865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1068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Source: INEI, BCRP</w:t>
      </w:r>
    </w:p>
    <w:p>
      <w:pPr>
        <w:spacing w:after="0" w:line="225" w:lineRule="exact"/>
        <w:rPr>
          <w:sz w:val="20"/>
          <w:szCs w:val="20"/>
          <w:color w:val="auto"/>
        </w:rPr>
      </w:pPr>
    </w:p>
    <w:p>
      <w:pPr>
        <w:ind w:left="760" w:hanging="131"/>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the end of 2Q16, 12-month inflation fell to 3.3%.</w:t>
      </w:r>
    </w:p>
    <w:p>
      <w:pPr>
        <w:spacing w:after="0" w:line="23" w:lineRule="exact"/>
        <w:rPr>
          <w:rFonts w:ascii="Arial" w:cs="Arial" w:eastAsia="Arial" w:hAnsi="Arial"/>
          <w:sz w:val="18"/>
          <w:szCs w:val="18"/>
          <w:color w:val="auto"/>
        </w:rPr>
      </w:pPr>
    </w:p>
    <w:p>
      <w:pPr>
        <w:ind w:left="760" w:hanging="131"/>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Since February 2016, BCRP has maintained the reference rate at 4.25%.</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308"/>
        <w:spacing w:after="0"/>
        <w:rPr>
          <w:sz w:val="20"/>
          <w:szCs w:val="20"/>
          <w:color w:val="auto"/>
        </w:rPr>
      </w:pPr>
      <w:r>
        <w:rPr>
          <w:rFonts w:ascii="Arial" w:cs="Arial" w:eastAsia="Arial" w:hAnsi="Arial"/>
          <w:sz w:val="18"/>
          <w:szCs w:val="18"/>
          <w:b w:val="1"/>
          <w:bCs w:val="1"/>
          <w:color w:val="auto"/>
        </w:rPr>
        <w:t xml:space="preserve">Fiscal result and Current Account Balance Account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154940</wp:posOffset>
            </wp:positionV>
            <wp:extent cx="4056380" cy="2040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5638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8" w:right="6280" w:firstLine="2"/>
        <w:spacing w:after="0" w:line="277" w:lineRule="auto"/>
        <w:tabs>
          <w:tab w:leader="none" w:pos="7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Only the Current Balance Account for 2Q16 is estimated Source: Banco Central de Reserva</w:t>
      </w:r>
    </w:p>
    <w:p>
      <w:pPr>
        <w:spacing w:after="0" w:line="170" w:lineRule="exact"/>
        <w:rPr>
          <w:rFonts w:ascii="Arial" w:cs="Arial" w:eastAsia="Arial" w:hAnsi="Arial"/>
          <w:sz w:val="18"/>
          <w:szCs w:val="18"/>
          <w:color w:val="auto"/>
        </w:rPr>
      </w:pPr>
    </w:p>
    <w:p>
      <w:pPr>
        <w:jc w:val="both"/>
        <w:ind w:left="328" w:right="300" w:hanging="328"/>
        <w:spacing w:after="0" w:line="264"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2Q16, the annualized fiscal deficit was 3.0% of GDP. Forecasts indicate that the deficit in the current account will continue to decline in 2Q16 based on the fact that the YoY analysis of the trade balance from January to June 2016 posted a more favorable result: US$ -840 million vs 2015: US$ -2,162 million. The trade balance registered a USD -201 million deficit in 2Q16.</w:t>
      </w:r>
    </w:p>
    <w:p>
      <w:pPr>
        <w:spacing w:after="0" w:line="177" w:lineRule="exact"/>
        <w:rPr>
          <w:rFonts w:ascii="Arial" w:cs="Arial" w:eastAsia="Arial" w:hAnsi="Arial"/>
          <w:sz w:val="18"/>
          <w:szCs w:val="18"/>
          <w:color w:val="auto"/>
        </w:rPr>
      </w:pPr>
    </w:p>
    <w:p>
      <w:pPr>
        <w:ind w:left="308"/>
        <w:spacing w:after="0"/>
        <w:rPr>
          <w:rFonts w:ascii="Arial" w:cs="Arial" w:eastAsia="Arial" w:hAnsi="Arial"/>
          <w:sz w:val="18"/>
          <w:szCs w:val="18"/>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154940</wp:posOffset>
            </wp:positionV>
            <wp:extent cx="3387725" cy="2195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8772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8"/>
        <w:spacing w:after="0"/>
        <w:rPr>
          <w:sz w:val="20"/>
          <w:szCs w:val="20"/>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428" w:right="20" w:hanging="131"/>
        <w:spacing w:after="0" w:line="277" w:lineRule="auto"/>
        <w:tabs>
          <w:tab w:leader="none" w:pos="4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the end of 2Q16, the exchange rate was situated at 3.288. In June 2016, BCRP bought USD 461 million, which represents the highest level since April 2013.</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10.3 Presidential Address on July 28th</w:t>
      </w:r>
    </w:p>
    <w:p>
      <w:pPr>
        <w:spacing w:after="0" w:line="229" w:lineRule="exact"/>
        <w:rPr>
          <w:sz w:val="20"/>
          <w:szCs w:val="20"/>
          <w:color w:val="auto"/>
        </w:rPr>
      </w:pPr>
    </w:p>
    <w:p>
      <w:pPr>
        <w:ind w:left="660" w:hanging="328"/>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his inaugural speech, PPK summarized his government’s goals as entailing the following six points: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Water and sewage systems for all Peruvians,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high-quality public education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public health system that meets the needs of the population,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Formalize the country to the extent possible,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Build infrastructure for the development that the country needs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Make progress toward eliminating corruption, discrimination, public safety problems and others.</w:t>
      </w:r>
    </w:p>
    <w:p>
      <w:pPr>
        <w:spacing w:after="0" w:line="21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president hopes that by 2021, at the end of his term and the date of the country’s bicentennial, Peru will be a member of the OCDE (if his government plan advances as hoped).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presidential message does not include specific details on the measures that will be adopted to achieve this ambitious agenda. Nevertheless, the President did mention:</w:t>
      </w:r>
    </w:p>
    <w:p>
      <w:pPr>
        <w:spacing w:after="0" w:line="170" w:lineRule="exact"/>
        <w:rPr>
          <w:sz w:val="20"/>
          <w:szCs w:val="20"/>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Reducing VAT from 18% to 17% beginning in January 2017.</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Salary increase for the police and armed forces beginning in September.</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Premier, Fernando Zavala, will go before the Congress, along with the Cabinet of Ministers, on August 15th to request a vote of confidence and explain the main measures of the new government. After obtaining the vote of confidence, the Premier intends to request powers to deal with 4 central points: (i) economic growth (includes measures to drive infrastructure projects and unblock large projects), (ii) public safety, (iii) fight against corruption, and (iv) improvement in the sanitation system.</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important to note that PPK’s party is a minority in Congress with only 18 of 130 seats. The opposition, Fuerza Popular, has the majority with 73 members of congress. In this context, the political negotiation process will be key to determining the economic measures that will actually be implemented.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Minister of Economy and Finance, Alfredo Thorne, said that he has been working on a series of tax measures that include:</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Evaluating going ahead with the scheduled income tax reduction (from 30% in 2014 to 28% in 2015 and a scheduled reduction to 27% in 2017).</w:t>
      </w: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Amnesty for Peruvians who have money outside the country and have not paid taxes so that can bring in these funds.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Review of tax avoidance law.</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Limiting the use of cash to buy cars and homes.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Modifying tax regimes applied to micro and small businesses among others.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right"/>
        <w:ind w:right="10120" w:firstLine="8"/>
        <w:spacing w:after="0" w:line="530" w:lineRule="auto"/>
        <w:tabs>
          <w:tab w:leader="none" w:pos="50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Appendix 11.1  Credicorp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8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1Q16</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2Q16</w:t>
            </w: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3,818,604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3,850,170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3,751,246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24,789,029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28,342,439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27,831,888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28,607,633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32,192,609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31,583,134</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2,130,997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3,491,092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3,383,545</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83,503,212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91,501,079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91,655,366</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81,227,832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89,025,553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89,043,417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2,275,380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2,475,526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2,611,949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(3,622,632)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(3,944,456)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(3,994,390)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79,880,580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87,556,623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87,660,976</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17,772,153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20,837,924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18,188,377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020" w:type="dxa"/>
            <w:vAlign w:val="bottom"/>
          </w:tcPr>
          <w:p>
            <w:pPr>
              <w:jc w:val="right"/>
              <w:spacing w:after="0"/>
              <w:rPr>
                <w:sz w:val="20"/>
                <w:szCs w:val="20"/>
                <w:color w:val="auto"/>
              </w:rPr>
            </w:pPr>
            <w:r>
              <w:rPr>
                <w:rFonts w:ascii="Arial" w:cs="Arial" w:eastAsia="Arial" w:hAnsi="Arial"/>
                <w:sz w:val="18"/>
                <w:szCs w:val="18"/>
                <w:color w:val="auto"/>
              </w:rPr>
              <w:t>2,970,260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4,003,646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4,288,379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402,426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412,175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470,148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020" w:type="dxa"/>
            <w:vAlign w:val="bottom"/>
          </w:tcPr>
          <w:p>
            <w:pPr>
              <w:jc w:val="right"/>
              <w:spacing w:after="0"/>
              <w:rPr>
                <w:sz w:val="20"/>
                <w:szCs w:val="20"/>
                <w:color w:val="auto"/>
              </w:rPr>
            </w:pPr>
            <w:r>
              <w:rPr>
                <w:rFonts w:ascii="Arial" w:cs="Arial" w:eastAsia="Arial" w:hAnsi="Arial"/>
                <w:sz w:val="18"/>
                <w:szCs w:val="18"/>
                <w:color w:val="auto"/>
              </w:rPr>
              <w:t>571,066</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600,355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561,630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1,878,261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1,797,179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1,761,123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020" w:type="dxa"/>
            <w:vAlign w:val="bottom"/>
          </w:tcPr>
          <w:p>
            <w:pPr>
              <w:jc w:val="right"/>
              <w:spacing w:after="0"/>
              <w:rPr>
                <w:sz w:val="20"/>
                <w:szCs w:val="20"/>
                <w:color w:val="auto"/>
              </w:rPr>
            </w:pPr>
            <w:r>
              <w:rPr>
                <w:rFonts w:ascii="Arial" w:cs="Arial" w:eastAsia="Arial" w:hAnsi="Arial"/>
                <w:sz w:val="18"/>
                <w:szCs w:val="18"/>
                <w:color w:val="auto"/>
              </w:rPr>
              <w:t>151,952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321,829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264,235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544,257</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610,525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630,584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8,329,829</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7,985,842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7,404,603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Total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143,239,414</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159,809,799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156,196,734</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23,707,385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24,712,319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23,194,081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57,203,238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68,046,115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66,742,900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80,910,623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92,758,434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89,936,981</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10,012,756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11,181,320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11,305,771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20" w:type="dxa"/>
            <w:vAlign w:val="bottom"/>
          </w:tcPr>
          <w:p>
            <w:pPr>
              <w:jc w:val="right"/>
              <w:spacing w:after="0"/>
              <w:rPr>
                <w:sz w:val="20"/>
                <w:szCs w:val="20"/>
                <w:color w:val="auto"/>
              </w:rPr>
            </w:pPr>
            <w:r>
              <w:rPr>
                <w:rFonts w:ascii="Arial" w:cs="Arial" w:eastAsia="Arial" w:hAnsi="Arial"/>
                <w:sz w:val="18"/>
                <w:szCs w:val="18"/>
                <w:color w:val="auto"/>
              </w:rPr>
              <w:t>9,180,228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8,688,933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8,931,350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15,601,653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15,295,655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15,255,588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020" w:type="dxa"/>
            <w:vAlign w:val="bottom"/>
          </w:tcPr>
          <w:p>
            <w:pPr>
              <w:jc w:val="right"/>
              <w:spacing w:after="0"/>
              <w:rPr>
                <w:sz w:val="20"/>
                <w:szCs w:val="20"/>
                <w:color w:val="auto"/>
              </w:rPr>
            </w:pPr>
            <w:r>
              <w:rPr>
                <w:rFonts w:ascii="Arial" w:cs="Arial" w:eastAsia="Arial" w:hAnsi="Arial"/>
                <w:sz w:val="18"/>
                <w:szCs w:val="18"/>
                <w:color w:val="auto"/>
              </w:rPr>
              <w:t>151,952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321,829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264,235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818,570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884,601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925,495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020" w:type="dxa"/>
            <w:vAlign w:val="bottom"/>
          </w:tcPr>
          <w:p>
            <w:pPr>
              <w:jc w:val="right"/>
              <w:spacing w:after="0"/>
              <w:rPr>
                <w:sz w:val="20"/>
                <w:szCs w:val="20"/>
                <w:color w:val="auto"/>
              </w:rPr>
            </w:pPr>
            <w:r>
              <w:rPr>
                <w:rFonts w:ascii="Arial" w:cs="Arial" w:eastAsia="Arial" w:hAnsi="Arial"/>
                <w:sz w:val="18"/>
                <w:szCs w:val="18"/>
                <w:color w:val="auto"/>
              </w:rPr>
              <w:t>4,993,508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5,541,371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5,591,173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404,316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5,836,077</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7,543,338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5,334,465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127,833,748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142,596,709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137,949,374</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14,803,711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16,613,237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17,656,273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(208,667)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(209,050)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(209,228)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Capital surplus</w:t>
            </w:r>
          </w:p>
        </w:tc>
        <w:tc>
          <w:tcPr>
            <w:tcW w:w="1020" w:type="dxa"/>
            <w:vAlign w:val="bottom"/>
          </w:tcPr>
          <w:p>
            <w:pPr>
              <w:jc w:val="right"/>
              <w:spacing w:after="0"/>
              <w:rPr>
                <w:sz w:val="20"/>
                <w:szCs w:val="20"/>
                <w:color w:val="auto"/>
              </w:rPr>
            </w:pPr>
            <w:r>
              <w:rPr>
                <w:rFonts w:ascii="Arial" w:cs="Arial" w:eastAsia="Arial" w:hAnsi="Arial"/>
                <w:sz w:val="18"/>
                <w:szCs w:val="18"/>
                <w:color w:val="auto"/>
              </w:rPr>
              <w:t>291,479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282,673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282,985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11,112,964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13,551,710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13,507,601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Unrealized gains or losses</w:t>
            </w:r>
          </w:p>
        </w:tc>
        <w:tc>
          <w:tcPr>
            <w:tcW w:w="1020" w:type="dxa"/>
            <w:vAlign w:val="bottom"/>
          </w:tcPr>
          <w:p>
            <w:pPr>
              <w:jc w:val="right"/>
              <w:spacing w:after="0"/>
              <w:rPr>
                <w:sz w:val="20"/>
                <w:szCs w:val="20"/>
                <w:color w:val="auto"/>
              </w:rPr>
            </w:pPr>
            <w:r>
              <w:rPr>
                <w:rFonts w:ascii="Arial" w:cs="Arial" w:eastAsia="Arial" w:hAnsi="Arial"/>
                <w:sz w:val="18"/>
                <w:szCs w:val="18"/>
                <w:color w:val="auto"/>
              </w:rPr>
              <w:t>685,935</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756,608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978,575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1,603,007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912,303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1,777,347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601,955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599,853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591,087</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15,405,666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17,213,090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18,247,360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0"/>
              </w:rPr>
              <w:t>Total liabilities and total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143,239,414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159,809,799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156,196,734</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Off balance sheet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60,310,434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68,121,131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63,364,922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38" w:orient="portrait"/>
          <w:cols w:equalWidth="0" w:num="1">
            <w:col w:w="11420"/>
          </w:cols>
          <w:pgMar w:left="240" w:top="905" w:right="239" w:bottom="0" w:gutter="0" w:footer="0" w:header="0"/>
        </w:sectPr>
      </w:pPr>
    </w:p>
    <w:bookmarkStart w:id="54" w:name="page55"/>
    <w:bookmarkEnd w:id="54"/>
    <w:p>
      <w:pPr>
        <w:ind w:left="1000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80"/>
              <w:spacing w:after="0"/>
              <w:rPr>
                <w:sz w:val="20"/>
                <w:szCs w:val="20"/>
                <w:color w:val="auto"/>
              </w:rPr>
            </w:pPr>
            <w:r>
              <w:rPr>
                <w:rFonts w:ascii="Arial" w:cs="Arial" w:eastAsia="Arial" w:hAnsi="Arial"/>
                <w:sz w:val="18"/>
                <w:szCs w:val="18"/>
                <w:b w:val="1"/>
                <w:bCs w:val="1"/>
                <w:color w:val="auto"/>
                <w:w w:val="99"/>
              </w:rPr>
              <w:t>YTD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1Q16</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2Q16</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YoY</w:t>
            </w:r>
          </w:p>
        </w:tc>
        <w:tc>
          <w:tcPr>
            <w:tcW w:w="116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 15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Jun 16</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Jun 16 / Jun 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2,457,521</w:t>
            </w:r>
          </w:p>
        </w:tc>
        <w:tc>
          <w:tcPr>
            <w:tcW w:w="880" w:type="dxa"/>
            <w:vAlign w:val="bottom"/>
          </w:tcPr>
          <w:p>
            <w:pPr>
              <w:jc w:val="right"/>
              <w:spacing w:after="0"/>
              <w:rPr>
                <w:sz w:val="20"/>
                <w:szCs w:val="20"/>
                <w:color w:val="auto"/>
              </w:rPr>
            </w:pPr>
            <w:r>
              <w:rPr>
                <w:rFonts w:ascii="Arial" w:cs="Arial" w:eastAsia="Arial" w:hAnsi="Arial"/>
                <w:sz w:val="18"/>
                <w:szCs w:val="18"/>
                <w:color w:val="auto"/>
              </w:rPr>
              <w:t>2,664,565</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2,613,338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80" w:type="dxa"/>
            <w:vAlign w:val="bottom"/>
          </w:tcPr>
          <w:p>
            <w:pPr>
              <w:jc w:val="right"/>
              <w:spacing w:after="0"/>
              <w:rPr>
                <w:sz w:val="20"/>
                <w:szCs w:val="20"/>
                <w:color w:val="auto"/>
              </w:rPr>
            </w:pPr>
            <w:r>
              <w:rPr>
                <w:rFonts w:ascii="Arial" w:cs="Arial" w:eastAsia="Arial" w:hAnsi="Arial"/>
                <w:sz w:val="18"/>
                <w:szCs w:val="18"/>
                <w:color w:val="auto"/>
              </w:rPr>
              <w:t>4,834,737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5,277,903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(620,321)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(717,875)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(1,212,175)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(1,426,994)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1,837,200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1,946,690</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1,904,219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3,622,562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3,850,909</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(431,763)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(453,237)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(483,911)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(933,899)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(937,148)</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663,206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693,185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1,374,147</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ind w:left="160"/>
              <w:spacing w:after="0" w:line="201" w:lineRule="exact"/>
              <w:rPr>
                <w:sz w:val="20"/>
                <w:szCs w:val="20"/>
                <w:color w:val="auto"/>
              </w:rPr>
            </w:pPr>
            <w:r>
              <w:rPr>
                <w:rFonts w:ascii="Arial" w:cs="Arial" w:eastAsia="Arial" w:hAnsi="Arial"/>
                <w:sz w:val="18"/>
                <w:szCs w:val="18"/>
                <w:color w:val="auto"/>
              </w:rPr>
              <w:t>Net gain on foreign exchange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transactions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168,285</w:t>
            </w:r>
          </w:p>
        </w:tc>
        <w:tc>
          <w:tcPr>
            <w:tcW w:w="880" w:type="dxa"/>
            <w:vAlign w:val="bottom"/>
          </w:tcPr>
          <w:p>
            <w:pPr>
              <w:jc w:val="right"/>
              <w:spacing w:after="0"/>
              <w:rPr>
                <w:sz w:val="20"/>
                <w:szCs w:val="20"/>
                <w:color w:val="auto"/>
              </w:rPr>
            </w:pPr>
            <w:r>
              <w:rPr>
                <w:rFonts w:ascii="Arial" w:cs="Arial" w:eastAsia="Arial" w:hAnsi="Arial"/>
                <w:sz w:val="18"/>
                <w:szCs w:val="18"/>
                <w:color w:val="auto"/>
              </w:rPr>
              <w:t>165,143</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177,065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368,731</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342,208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176,169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181,622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 from subsidiaries </w:t>
            </w:r>
            <w:r>
              <w:rPr>
                <w:rFonts w:ascii="Arial" w:cs="Arial" w:eastAsia="Arial" w:hAnsi="Arial"/>
                <w:sz w:val="29"/>
                <w:szCs w:val="29"/>
                <w:color w:val="auto"/>
                <w:vertAlign w:val="superscript"/>
              </w:rPr>
              <w:t>(1)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880" w:type="dxa"/>
            <w:vAlign w:val="bottom"/>
          </w:tcPr>
          <w:p>
            <w:pPr>
              <w:jc w:val="right"/>
              <w:spacing w:after="0"/>
              <w:rPr>
                <w:sz w:val="20"/>
                <w:szCs w:val="20"/>
                <w:color w:val="auto"/>
              </w:rPr>
            </w:pPr>
            <w:r>
              <w:rPr>
                <w:rFonts w:ascii="Arial" w:cs="Arial" w:eastAsia="Arial" w:hAnsi="Arial"/>
                <w:sz w:val="18"/>
                <w:szCs w:val="18"/>
                <w:color w:val="auto"/>
              </w:rPr>
              <w:t>3,537</w:t>
            </w:r>
          </w:p>
        </w:tc>
        <w:tc>
          <w:tcPr>
            <w:tcW w:w="20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891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-491.9%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146,591</w:t>
            </w:r>
          </w:p>
        </w:tc>
        <w:tc>
          <w:tcPr>
            <w:tcW w:w="1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non-financial fincome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37,724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62,487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37,438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99,925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889,730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917,582</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1,084,748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1,947,158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2,002,330</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427,044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453,237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453,647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831,540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906,884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Net claims incurred</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(255,382)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(263,923)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(265,815)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(487,657)</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(529,738)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(70,380)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(123,446)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w w:val="93"/>
              </w:rPr>
              <w:t>Total insurance services technical</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result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120,348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118,934</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134,766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216,599</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253,700</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employees benefits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(718,214)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(735,970)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(735,414)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(1,433,409)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(1,471,384)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ind w:left="160"/>
              <w:spacing w:after="0" w:line="201" w:lineRule="exact"/>
              <w:rPr>
                <w:sz w:val="20"/>
                <w:szCs w:val="20"/>
                <w:color w:val="auto"/>
              </w:rPr>
            </w:pPr>
            <w:r>
              <w:rPr>
                <w:rFonts w:ascii="Arial" w:cs="Arial" w:eastAsia="Arial" w:hAnsi="Arial"/>
                <w:sz w:val="18"/>
                <w:szCs w:val="18"/>
                <w:color w:val="auto"/>
              </w:rPr>
              <w:t>Administrative, general and tax</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(481,985)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(453,686)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(513,652)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(913,152)</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(967,338)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(110,699)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(111,770)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(225,680)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(55,280)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(47,033)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(47,463)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(96,395)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(94,496)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(1,366,178)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(1,348,459)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(1,410,439)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(2,662,048)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(2,758,898)</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1,049,336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1,181,510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1,229,383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2,410,893</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result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(57,134)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(289,389)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(324,804)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(311,932)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(598,820)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(636,736)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769,271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819,581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897,442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1,602,442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1,717,023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19,976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23,950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w w:val="97"/>
              </w:rPr>
              <w:t>Net income attributed to Credicorp</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749,295</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795,631</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874,192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1,554,030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1,669,823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joint venture between Grupo Pacifico and Banmedica.</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2Q15</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1Q16</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2Q16</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27,971,752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29,654,051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29,595,262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24,818,711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27,257,232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26,232,023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3,151,401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2,395,626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3,362,115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1,566,051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1,210,986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1,761,542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81,477,245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85,066,355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84,121,534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79,203,919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82,680,218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81,608,387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2,273,326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2,386,137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2,513,147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(3,621,117)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(3,755,337)</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(3,793,544)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77,856,128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81,311,018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80,327,990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7,768,324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9,523,060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7,042,344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2,970,259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3,688,925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3,977,471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1,746,215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1,628,041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1,595,504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151,952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264,235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4,105,467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11,557,906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3,865,263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-66.6%</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124,136,148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138,895,816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128,429,611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shd w:val="clear" w:color="auto" w:fill="CCEEFF"/>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76,540,620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81,846,712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78,407,712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26,574,657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29,176,005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26,713,043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21,995,366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23,627,802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23,338,183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20,576,575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22,318,699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21,205,896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7,173,252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6,563,463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6,997,706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220,770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160,743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152,884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10,012,756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11,181,320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10,870,471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10,583,720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9,533,338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10,000,688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13,522,815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13,523,675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13,656,079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151,952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264,235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2,415,437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10,698,559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2,846,204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-73.4%</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113,227,300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127,105,433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116,045,389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10,755,017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11,630,731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12,242,857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5,560,671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6,772,966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6,772,966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2,939,038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3,363,347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3,363,356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87,938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672,147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704,547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703,655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1,479,268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701,933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1,410,121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159,653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141,365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Total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10,908,848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11,790,384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12,384,222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124,136,148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138,895,817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128,429,611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59,199,912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58,360,744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52,935,640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hanging="318"/>
        <w:spacing w:after="0" w:line="271" w:lineRule="auto"/>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Mainly includes intangible assets, other receivable accounts and tax credit. The increase in Other assets in 1Q16 is due mainly to the reclassification of Assets (S/7.4 million) from Banco de Crédito de Bolivia (BCB Bolivia) as an investment available for sale. The aforementioned is a result of the approval of Banco de Credito del Peru’s management to transfer the shares of BCP Bolivia to other Credicorp’s subsidiary.</w:t>
      </w:r>
    </w:p>
    <w:p>
      <w:pPr>
        <w:ind w:left="380" w:hanging="318"/>
        <w:spacing w:after="0"/>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Mainly includes other payable accounts. Also the increase in 1Q16 is due mainly to the reclassification of Assets (S/6.8 million) from BCB Bolivia.</w:t>
      </w:r>
    </w:p>
    <w:p>
      <w:pPr>
        <w:sectPr>
          <w:pgSz w:w="11900" w:h="16838" w:orient="portrait"/>
          <w:cols w:equalWidth="0" w:num="1">
            <w:col w:w="11420"/>
          </w:cols>
          <w:pgMar w:left="240" w:top="1121" w:right="239" w:bottom="0" w:gutter="0" w:footer="0" w:header="0"/>
        </w:sectPr>
      </w:pPr>
    </w:p>
    <w:bookmarkStart w:id="57" w:name="page58"/>
    <w:bookmarkEnd w:id="57"/>
    <w:p>
      <w:pPr>
        <w:ind w:left="1000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2Q15</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1Q16</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2Q16</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15</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16</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Jun 16 / Jun 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2,182,733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2,348,010</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2,472,793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4,320,351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4,820,803</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(551,784)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(638,912)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(686,004)</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(1,078,765)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(1,324,916)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1,630,949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1,709,098</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1,786,789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3,241,586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3,495,887</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(424,797)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(437,335)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(484,044)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(921,820)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(921,379)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508,191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538,302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572,092</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1,002,563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1,110,394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163,207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158,684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172,591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347,893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331,275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3,261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27,229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735.0%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-2698.2%</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407,083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30,490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15,537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28,811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15,206</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-47.2%</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35,419</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44,017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685,887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729,058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787,118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1,792,958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1,516,176</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(552,747)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(569,773)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(607,429)</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(1,111,849)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(1,177,202)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(374,684)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(358,103)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(441,136)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(716,963)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(799,239)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(84,517)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(85,395)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(91,690)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(168,385)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(177,085)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(32,818)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(20,947)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(33,739)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(60,315)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(54,686)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(1,044,766)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(1,034,218)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(1,173,994)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13.5%</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(2,057,512)</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(2,208,212)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847,273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966,603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915,869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2,055,212</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1,882,472</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7,036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(30,445)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72,442</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5,841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41,997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(247,714)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(250,164)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(256,621)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(610,355)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(506,785)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(3,461)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(2,670)</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(4,937)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(7,563)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603,134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681,101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729,020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1,445,761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1,410,121</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discontinuing operations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16,903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20,830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(20,830)</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33,507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620,037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701,931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708,190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0.9%</w:t>
            </w: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1,479,268</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1,410,121</w:t>
            </w:r>
          </w:p>
        </w:tc>
        <w:tc>
          <w:tcPr>
            <w:tcW w:w="2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Figures differ from previously reported due to the reclassification of of BCB Bolivia as a discontinuing operation.</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2Q15</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1Q16</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2Q16</w:t>
            </w: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 15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Jun 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Profitability</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18"/>
                <w:szCs w:val="18"/>
                <w:color w:val="auto"/>
              </w:rPr>
              <w:t>EPS</w:t>
            </w:r>
            <w:r>
              <w:rPr>
                <w:rFonts w:ascii="Arial" w:cs="Arial" w:eastAsia="Arial" w:hAnsi="Arial"/>
                <w:sz w:val="29"/>
                <w:szCs w:val="29"/>
                <w:color w:val="auto"/>
                <w:vertAlign w:val="superscript"/>
              </w:rPr>
              <w:t>(1)</w:t>
            </w:r>
          </w:p>
        </w:tc>
        <w:tc>
          <w:tcPr>
            <w:tcW w:w="5520" w:type="dxa"/>
            <w:vAlign w:val="bottom"/>
            <w:tcBorders>
              <w:top w:val="single" w:sz="8" w:color="CCEEFF"/>
            </w:tcBorders>
            <w:gridSpan w:val="4"/>
          </w:tcPr>
          <w:p>
            <w:pPr>
              <w:spacing w:after="0"/>
              <w:rPr>
                <w:sz w:val="22"/>
                <w:szCs w:val="22"/>
                <w:color w:val="auto"/>
              </w:rPr>
            </w:pPr>
          </w:p>
        </w:tc>
        <w:tc>
          <w:tcPr>
            <w:tcW w:w="10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0.088</w:t>
            </w:r>
          </w:p>
        </w:tc>
        <w:tc>
          <w:tcPr>
            <w:tcW w:w="10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w:t>
            </w:r>
          </w:p>
        </w:tc>
        <w:tc>
          <w:tcPr>
            <w:tcW w:w="10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0.100</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0.209</w:t>
            </w: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interest margin (2)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7,066.35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 of risk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Operating efficiency</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18"/>
                <w:szCs w:val="18"/>
                <w:color w:val="auto"/>
              </w:rPr>
              <w:t>Oper. expenses as a percent. of total income - including all other items</w:t>
            </w:r>
            <w:r>
              <w:rPr>
                <w:rFonts w:ascii="Arial" w:cs="Arial" w:eastAsia="Arial" w:hAnsi="Arial"/>
                <w:sz w:val="29"/>
                <w:szCs w:val="29"/>
                <w:color w:val="auto"/>
                <w:vertAlign w:val="superscript"/>
              </w:rPr>
              <w:t>(5)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Capital adequacy</w:t>
            </w:r>
          </w:p>
        </w:tc>
        <w:tc>
          <w:tcPr>
            <w:tcW w:w="5100" w:type="dxa"/>
            <w:vAlign w:val="bottom"/>
            <w:tcBorders>
              <w:bottom w:val="single" w:sz="8" w:color="CCEEFF"/>
            </w:tcBorders>
            <w:gridSpan w:val="3"/>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Total regulatory capital (S/.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13,354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15,373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15,703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13,354</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Tier 1 capital (S/. Million)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Common equity tier 1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BIS ratio</w:t>
            </w:r>
            <w:r>
              <w:rPr>
                <w:rFonts w:ascii="Arial" w:cs="Arial" w:eastAsia="Arial" w:hAnsi="Arial"/>
                <w:sz w:val="29"/>
                <w:szCs w:val="29"/>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Figures differ from those previously reported, because they have been replaced with audited financial data.</w:t>
      </w:r>
    </w:p>
    <w:p>
      <w:pPr>
        <w:spacing w:after="0" w:line="23"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outstanding of 7,066 million are used for all periods since shares have been issued only for capitalization of profits.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right="640" w:firstLine="8"/>
        <w:spacing w:after="0" w:line="265"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net gain on sales of securities and other income. Operating expenses includes personnel expenses, administrative expenses, depreciation and amortization and other expenses.</w:t>
      </w: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11.3 Mibanco</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MIBANCO</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9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w w:val="93"/>
              </w:rPr>
              <w:t>(In S/. thousands, IFRS )</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ind w:left="780"/>
              <w:spacing w:after="0"/>
              <w:rPr>
                <w:sz w:val="20"/>
                <w:szCs w:val="20"/>
                <w:color w:val="auto"/>
              </w:rPr>
            </w:pPr>
            <w:r>
              <w:rPr>
                <w:rFonts w:ascii="Arial" w:cs="Arial" w:eastAsia="Arial" w:hAnsi="Arial"/>
                <w:sz w:val="18"/>
                <w:szCs w:val="18"/>
                <w:b w:val="1"/>
                <w:bCs w:val="1"/>
                <w:color w:val="auto"/>
                <w:w w:val="92"/>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2Q15</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2Q16</w:t>
            </w: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1"/>
              </w:rPr>
              <w:t>ASSETS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1,271,286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1,068,395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962,874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1,408,921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1,617,629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1,671,097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7,525,329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8,060,545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8,244,004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6,969,787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7,598,087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7,771,118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Past-due</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489,135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377,159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385,018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Refinanced</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66,407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85,298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87,868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Allowance for loan losses</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(820,673)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(722,368)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(725,431)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6,704,656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7,338,177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7,518,573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238,194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234,244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230,721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640,535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579,223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571,578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Total assets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10,263,592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10,837,666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10,954,843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LIABILITIES AND NET SHAREHOLDERS' EQUITY</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4,997,266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5,863,753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5,933,981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3,072,494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2,568,640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1,989,301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652,047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650,348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842,164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323,894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447,347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807,363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1"/>
              </w:rPr>
              <w:t>Total liabilities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9,045,702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9,530,087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9,572,809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1,217,890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1,307,579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1,382,034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10,263,592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10,837,666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10,954,843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354,212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385,602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394,179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(91,743)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(64,165)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(69,493)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9,452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(209,347)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(231,877)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(242,282)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62,574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98,266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91,085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Translation results</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(430)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(12,847)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(21,268)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49,297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74,908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69,457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L/D ratio</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150.6%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137.5%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140 bps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-1170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Inernal overdue ratio</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 bps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NPL ratio</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0 bps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-310 bps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2060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Coverage of NPLs</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147.7%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153.4%</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-280 bps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-190 bps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ROAE inc, goodwill</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-170 bps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 bps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328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9,925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10,490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11.4 BCP Bolivia</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BCP BOLIVIA</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w w:val="94"/>
              </w:rPr>
              <w:t>(In S/. thousands, IFRS)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ind w:left="860"/>
              <w:spacing w:after="0"/>
              <w:rPr>
                <w:sz w:val="20"/>
                <w:szCs w:val="20"/>
                <w:color w:val="auto"/>
              </w:rPr>
            </w:pPr>
            <w:r>
              <w:rPr>
                <w:rFonts w:ascii="Arial" w:cs="Arial" w:eastAsia="Arial" w:hAnsi="Arial"/>
                <w:sz w:val="18"/>
                <w:szCs w:val="18"/>
                <w:b w:val="1"/>
                <w:bCs w:val="1"/>
                <w:color w:val="auto"/>
                <w:w w:val="96"/>
              </w:rPr>
              <w:t>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2Q15</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2Q16</w:t>
            </w: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1,063,752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1,412,355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1,102,200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1,266,648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1,153,495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1,060,803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4,007,861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4,877,385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5,033,204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3,926,075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4,772,310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4,920,573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64,020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86,927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95,207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17,766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17,425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-150,654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-186,021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-196,311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3,857,207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4,691,363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4,836,894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39,903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41,022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32,546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70,069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113,460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84,802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Total assets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6,297,579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7,411,694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7,117,245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center"/>
              <w:ind w:left="150"/>
              <w:spacing w:after="0"/>
              <w:rPr>
                <w:sz w:val="20"/>
                <w:szCs w:val="20"/>
                <w:color w:val="auto"/>
              </w:rPr>
            </w:pPr>
            <w:r>
              <w:rPr>
                <w:rFonts w:ascii="Arial" w:cs="Arial" w:eastAsia="Arial" w:hAnsi="Arial"/>
                <w:sz w:val="18"/>
                <w:szCs w:val="18"/>
                <w:b w:val="1"/>
                <w:bCs w:val="1"/>
                <w:color w:val="auto"/>
              </w:rPr>
              <w:t>LIABILITIES AND NET SHAREHOLDERS' EQUITY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5,545,300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6,501,871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6,245,188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30,351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24,736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27,508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33,185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104,274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102,890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liabilities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177,006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215,647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162,352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1"/>
              </w:rPr>
              <w:t>Total liabilities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5,785,842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6,846,527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6,537,937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511,737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565,167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579,308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6,297,579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7,411,694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7,117,245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57,281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72,473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-8,724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-15,135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-17,662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48,557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56,509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54,811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 financial income</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30,878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31,731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31,337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-61,750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-56,066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-55,105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Translation result</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-636.6%</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-6,199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-10,209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11,427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20,830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20,740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L/D ratio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72.3%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80.6%</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557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832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NPL ratio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9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206.2%</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-781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-2913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Coverage of NPLs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184.2%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174.3%</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-275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-991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-339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-1948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ROAE</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-4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534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Agentes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Employees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1708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1679</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-451.8%</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118,146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128,629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127,192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79,105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94,628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5,568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192.9%</w:t>
            </w:r>
          </w:p>
        </w:tc>
      </w:tr>
      <w:tr>
        <w:trPr>
          <w:trHeight w:val="216"/>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24,843</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2,153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5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-100,580</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18,191</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28,476</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40,110</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5,427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-104.0%</w:t>
            </w:r>
          </w:p>
        </w:tc>
      </w:tr>
      <w:tr>
        <w:trPr>
          <w:trHeight w:val="270"/>
        </w:trPr>
        <w:tc>
          <w:tcPr>
            <w:tcW w:w="5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-3,224</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17,804</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16,808</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26,367</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340" w:firstLine="8"/>
        <w:spacing w:after="0" w:line="250"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11.6 Atlantic Security Bank</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ASB</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Millions</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2Q15</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1Q16</w:t>
            </w: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2Q16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908.1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872.5</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1,618.6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1,685.1</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-1380.6</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26"/>
        </w:trPr>
        <w:tc>
          <w:tcPr>
            <w:tcW w:w="5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2Q15</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1Q16</w:t>
            </w: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2Q16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82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280" w:type="dxa"/>
            <w:vAlign w:val="bottom"/>
            <w:gridSpan w:val="3"/>
          </w:tcPr>
          <w:p>
            <w:pPr>
              <w:ind w:left="980"/>
              <w:spacing w:after="0"/>
              <w:rPr>
                <w:sz w:val="20"/>
                <w:szCs w:val="20"/>
                <w:color w:val="auto"/>
              </w:rPr>
            </w:pPr>
            <w:r>
              <w:rPr>
                <w:rFonts w:ascii="Arial" w:cs="Arial" w:eastAsia="Arial" w:hAnsi="Arial"/>
                <w:sz w:val="18"/>
                <w:szCs w:val="18"/>
                <w:color w:val="auto"/>
              </w:rPr>
              <w:t>* Excludes investments in equities and mutual funds.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2Q15</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1Q16</w:t>
            </w: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2Q16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Assets under management and Deposits (US$ Millions)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Assets Under Management and Deposits (US$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154940</wp:posOffset>
            </wp:positionV>
            <wp:extent cx="3858895" cy="2461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5889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151765</wp:posOffset>
            </wp:positionV>
            <wp:extent cx="4330700" cy="24872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3070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11.7 Grupo Pacifico</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4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rPr>
              <w:t>GRUPO PACÍFICO*</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(S/ in thousands )</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ind w:left="300"/>
              <w:spacing w:after="0"/>
              <w:rPr>
                <w:sz w:val="20"/>
                <w:szCs w:val="20"/>
                <w:color w:val="auto"/>
              </w:rPr>
            </w:pPr>
            <w:r>
              <w:rPr>
                <w:rFonts w:ascii="Arial" w:cs="Arial" w:eastAsia="Arial" w:hAnsi="Arial"/>
                <w:sz w:val="18"/>
                <w:szCs w:val="18"/>
                <w:b w:val="1"/>
                <w:bCs w:val="1"/>
                <w:color w:val="auto"/>
              </w:rPr>
              <w:t>2Q15</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1Q16</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2Q16</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89"/>
              </w:rPr>
              <w:t>Balance</w:t>
            </w:r>
          </w:p>
        </w:tc>
        <w:tc>
          <w:tcPr>
            <w:tcW w:w="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8,719,342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9,696,097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9,940,238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6,415,552</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6,986,860</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7,221,832</w:t>
            </w: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Technical reserves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5,819,066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6,437,189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6,527,028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equity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1,745,821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1,941,579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2,242,417</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0"/>
              </w:rPr>
              <w:t>Quarterly income statement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earned premiums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434,266</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459,797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461,628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255,383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263,924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265,815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fees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101,964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105,481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108,884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17,764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64,785</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72,629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78,477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financial income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97,425</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99,235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108,796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97,758</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103,244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95,868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12,197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5,288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Gain (loss) from Grupo Pacífico and Banmédica agreement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3,537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7,520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11,031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66,976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68,357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84,464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7,747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9,199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59,966</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60,610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75,265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2200"/>
              <w:spacing w:after="0"/>
              <w:rPr>
                <w:sz w:val="20"/>
                <w:szCs w:val="20"/>
                <w:color w:val="auto"/>
              </w:rPr>
            </w:pPr>
            <w:r>
              <w:rPr>
                <w:rFonts w:ascii="Arial" w:cs="Arial" w:eastAsia="Arial" w:hAnsi="Arial"/>
                <w:sz w:val="18"/>
                <w:szCs w:val="18"/>
                <w:b w:val="1"/>
                <w:bCs w:val="1"/>
                <w:color w:val="auto"/>
              </w:rPr>
              <w:t>Ratios</w:t>
            </w: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17.8%</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16.6%</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18.7%</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18"/>
                <w:szCs w:val="18"/>
                <w:color w:val="auto"/>
              </w:rPr>
              <w:t>Loss ratio</w:t>
            </w:r>
            <w:r>
              <w:rPr>
                <w:rFonts w:ascii="Arial" w:cs="Arial" w:eastAsia="Arial" w:hAnsi="Arial"/>
                <w:sz w:val="29"/>
                <w:szCs w:val="29"/>
                <w:color w:val="auto"/>
                <w:vertAlign w:val="superscript"/>
              </w:rPr>
              <w:t>(2)</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58.8%</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57.4%</w:t>
            </w:r>
          </w:p>
        </w:tc>
        <w:tc>
          <w:tcPr>
            <w:tcW w:w="1140" w:type="dxa"/>
            <w:vAlign w:val="bottom"/>
          </w:tcPr>
          <w:p>
            <w:pPr>
              <w:ind w:left="400"/>
              <w:spacing w:after="0"/>
              <w:rPr>
                <w:sz w:val="20"/>
                <w:szCs w:val="20"/>
                <w:color w:val="auto"/>
              </w:rPr>
            </w:pPr>
            <w:r>
              <w:rPr>
                <w:rFonts w:ascii="Arial" w:cs="Arial" w:eastAsia="Arial" w:hAnsi="Arial"/>
                <w:sz w:val="18"/>
                <w:szCs w:val="18"/>
                <w:color w:val="auto"/>
              </w:rPr>
              <w:t>57.6%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Fees + underwriting expenses, net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26.3%</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26.8%</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25.4%</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 bps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14.9%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15.8%</w:t>
            </w:r>
          </w:p>
        </w:tc>
        <w:tc>
          <w:tcPr>
            <w:tcW w:w="1140" w:type="dxa"/>
            <w:vAlign w:val="bottom"/>
          </w:tcPr>
          <w:p>
            <w:pPr>
              <w:ind w:left="400"/>
              <w:spacing w:after="0"/>
              <w:rPr>
                <w:sz w:val="20"/>
                <w:szCs w:val="20"/>
                <w:color w:val="auto"/>
              </w:rPr>
            </w:pPr>
            <w:r>
              <w:rPr>
                <w:rFonts w:ascii="Arial" w:cs="Arial" w:eastAsia="Arial" w:hAnsi="Arial"/>
                <w:sz w:val="18"/>
                <w:szCs w:val="18"/>
                <w:color w:val="auto"/>
              </w:rPr>
              <w:t>17.0%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120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210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22.5%</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22.5%</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(3)(4)</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13.2%</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13.0%</w:t>
            </w:r>
          </w:p>
        </w:tc>
        <w:tc>
          <w:tcPr>
            <w:tcW w:w="1140" w:type="dxa"/>
            <w:vAlign w:val="bottom"/>
          </w:tcPr>
          <w:p>
            <w:pPr>
              <w:ind w:left="400"/>
              <w:spacing w:after="0"/>
              <w:rPr>
                <w:sz w:val="20"/>
                <w:szCs w:val="20"/>
                <w:color w:val="auto"/>
              </w:rPr>
            </w:pPr>
            <w:r>
              <w:rPr>
                <w:rFonts w:ascii="Arial" w:cs="Arial" w:eastAsia="Arial" w:hAnsi="Arial"/>
                <w:sz w:val="18"/>
                <w:szCs w:val="18"/>
                <w:color w:val="auto"/>
              </w:rPr>
              <w:t>14.4%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140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8.6%</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11.2%</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 bps</w:t>
            </w:r>
          </w:p>
        </w:tc>
      </w:tr>
      <w:tr>
        <w:trPr>
          <w:trHeight w:val="390"/>
        </w:trPr>
        <w:tc>
          <w:tcPr>
            <w:tcW w:w="4900" w:type="dxa"/>
            <w:vAlign w:val="bottom"/>
          </w:tcPr>
          <w:p>
            <w:pPr>
              <w:spacing w:after="0"/>
              <w:rPr>
                <w:sz w:val="20"/>
                <w:szCs w:val="20"/>
                <w:color w:val="auto"/>
              </w:rPr>
            </w:pPr>
            <w:r>
              <w:rPr>
                <w:rFonts w:ascii="Arial" w:cs="Arial" w:eastAsia="Arial" w:hAnsi="Arial"/>
                <w:sz w:val="18"/>
                <w:szCs w:val="18"/>
                <w:color w:val="auto"/>
              </w:rPr>
              <w:t>Combined ratio of P&amp;C</w:t>
            </w:r>
            <w:r>
              <w:rPr>
                <w:rFonts w:ascii="Arial" w:cs="Arial" w:eastAsia="Arial" w:hAnsi="Arial"/>
                <w:sz w:val="30"/>
                <w:szCs w:val="30"/>
                <w:color w:val="auto"/>
                <w:vertAlign w:val="superscript"/>
              </w:rPr>
              <w:t>(5)</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90.2%</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90.7%</w:t>
            </w:r>
          </w:p>
        </w:tc>
        <w:tc>
          <w:tcPr>
            <w:tcW w:w="1140" w:type="dxa"/>
            <w:vAlign w:val="bottom"/>
          </w:tcPr>
          <w:p>
            <w:pPr>
              <w:ind w:left="400"/>
              <w:spacing w:after="0"/>
              <w:rPr>
                <w:sz w:val="20"/>
                <w:szCs w:val="20"/>
                <w:color w:val="auto"/>
              </w:rPr>
            </w:pPr>
            <w:r>
              <w:rPr>
                <w:rFonts w:ascii="Arial" w:cs="Arial" w:eastAsia="Arial" w:hAnsi="Arial"/>
                <w:sz w:val="18"/>
                <w:szCs w:val="18"/>
                <w:b w:val="1"/>
                <w:bCs w:val="1"/>
                <w:color w:val="auto"/>
              </w:rPr>
              <w:t>88.8%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-140 bps</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participate as equal partners, 50/50). This partnership includes:</w:t>
      </w:r>
    </w:p>
    <w:p>
      <w:pPr>
        <w:spacing w:after="0" w:line="170" w:lineRule="exact"/>
        <w:rPr>
          <w:sz w:val="20"/>
          <w:szCs w:val="20"/>
          <w:color w:val="auto"/>
        </w:rPr>
      </w:pPr>
    </w:p>
    <w:p>
      <w:pPr>
        <w:ind w:left="720" w:hanging="658"/>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660" w:hanging="65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3" w:lineRule="exact"/>
        <w:rPr>
          <w:rFonts w:ascii="Arial" w:cs="Arial" w:eastAsia="Arial" w:hAnsi="Arial"/>
          <w:sz w:val="18"/>
          <w:szCs w:val="18"/>
          <w:color w:val="auto"/>
        </w:rPr>
      </w:pPr>
    </w:p>
    <w:p>
      <w:pPr>
        <w:ind w:left="660" w:hanging="65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(Soles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2Q15</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1Q16</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2Q16</w:t>
            </w: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Results</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tcPr>
          <w:p>
            <w:pPr>
              <w:jc w:val="right"/>
              <w:spacing w:after="0"/>
              <w:rPr>
                <w:sz w:val="20"/>
                <w:szCs w:val="20"/>
                <w:color w:val="auto"/>
              </w:rPr>
            </w:pPr>
            <w:r>
              <w:rPr>
                <w:rFonts w:ascii="Arial" w:cs="Arial" w:eastAsia="Arial" w:hAnsi="Arial"/>
                <w:sz w:val="18"/>
                <w:szCs w:val="18"/>
                <w:color w:val="auto"/>
              </w:rPr>
              <w:t>201,498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213,448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214,537</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-168,690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-183,864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fees</w:t>
            </w:r>
          </w:p>
        </w:tc>
        <w:tc>
          <w:tcPr>
            <w:tcW w:w="960" w:type="dxa"/>
            <w:vAlign w:val="bottom"/>
          </w:tcPr>
          <w:p>
            <w:pPr>
              <w:jc w:val="right"/>
              <w:spacing w:after="0"/>
              <w:rPr>
                <w:sz w:val="20"/>
                <w:szCs w:val="20"/>
                <w:color w:val="auto"/>
              </w:rPr>
            </w:pPr>
            <w:r>
              <w:rPr>
                <w:rFonts w:ascii="Arial" w:cs="Arial" w:eastAsia="Arial" w:hAnsi="Arial"/>
                <w:sz w:val="18"/>
                <w:szCs w:val="18"/>
                <w:color w:val="auto"/>
              </w:rPr>
              <w:t>-9,130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-9,593</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20,984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23,751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18,087</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tax</w:t>
            </w:r>
          </w:p>
        </w:tc>
        <w:tc>
          <w:tcPr>
            <w:tcW w:w="960" w:type="dxa"/>
            <w:vAlign w:val="bottom"/>
          </w:tcPr>
          <w:p>
            <w:pPr>
              <w:jc w:val="right"/>
              <w:spacing w:after="0"/>
              <w:rPr>
                <w:sz w:val="20"/>
                <w:szCs w:val="20"/>
                <w:color w:val="auto"/>
              </w:rPr>
            </w:pPr>
            <w:r>
              <w:rPr>
                <w:rFonts w:ascii="Arial" w:cs="Arial" w:eastAsia="Arial" w:hAnsi="Arial"/>
                <w:sz w:val="18"/>
                <w:szCs w:val="18"/>
                <w:color w:val="auto"/>
              </w:rPr>
              <w:t>-3,473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5,704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2,992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9,372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11,090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6,005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15,076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13,204</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119.9%</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11.8 Prima AFP</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112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YTD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1Q16</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15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Jun 16</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Jun 16 / Jun 15</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775,713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860,244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1,746,925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1,620,626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267,060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396,046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245,468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776,736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641,514</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508,653</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464,198</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970,189</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979,112</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Income from commissions</w:t>
            </w: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101,928</w:t>
            </w:r>
          </w:p>
        </w:tc>
        <w:tc>
          <w:tcPr>
            <w:tcW w:w="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100,929</w:t>
            </w:r>
          </w:p>
        </w:tc>
        <w:tc>
          <w:tcPr>
            <w:tcW w:w="2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101,314</w:t>
            </w:r>
          </w:p>
        </w:tc>
        <w:tc>
          <w:tcPr>
            <w:tcW w:w="280" w:type="dxa"/>
            <w:vAlign w:val="bottom"/>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820" w:type="dxa"/>
            <w:vAlign w:val="bottom"/>
          </w:tcPr>
          <w:p>
            <w:pPr>
              <w:jc w:val="right"/>
              <w:spacing w:after="0"/>
              <w:rPr>
                <w:sz w:val="20"/>
                <w:szCs w:val="20"/>
                <w:color w:val="auto"/>
              </w:rPr>
            </w:pPr>
            <w:r>
              <w:rPr>
                <w:rFonts w:ascii="Arial" w:cs="Arial" w:eastAsia="Arial" w:hAnsi="Arial"/>
                <w:sz w:val="18"/>
                <w:szCs w:val="18"/>
                <w:color w:val="auto"/>
              </w:rPr>
              <w:t>201,765</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202,243</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(40,079)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-79,702</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(4,742)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-10,195</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57,107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55,548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56,797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113,925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112,345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924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-32,217</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42,400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40,308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82,782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80,448</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43,338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39,770</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39,846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83,624</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79,615</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line="285"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80" w:type="dxa"/>
            <w:vAlign w:val="bottom"/>
            <w:gridSpan w:val="2"/>
            <w:vMerge w:val="continue"/>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w:t>
            </w: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-8890</wp:posOffset>
            </wp:positionV>
            <wp:extent cx="1672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Funds under management</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Mar 16</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 share</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Jun 16</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4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Fund 1</w:t>
            </w:r>
          </w:p>
        </w:tc>
        <w:tc>
          <w:tcPr>
            <w:tcW w:w="740" w:type="dxa"/>
            <w:vAlign w:val="bottom"/>
          </w:tcPr>
          <w:p>
            <w:pPr>
              <w:spacing w:after="0"/>
              <w:rPr>
                <w:sz w:val="18"/>
                <w:szCs w:val="18"/>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5"/>
          </w:tcPr>
          <w:p>
            <w:pPr>
              <w:jc w:val="right"/>
              <w:ind w:right="10"/>
              <w:spacing w:after="0"/>
              <w:rPr>
                <w:sz w:val="20"/>
                <w:szCs w:val="20"/>
                <w:color w:val="auto"/>
              </w:rPr>
            </w:pPr>
            <w:r>
              <w:rPr>
                <w:rFonts w:ascii="Arial" w:cs="Arial" w:eastAsia="Arial" w:hAnsi="Arial"/>
                <w:sz w:val="18"/>
                <w:szCs w:val="18"/>
                <w:color w:val="auto"/>
                <w:w w:val="86"/>
              </w:rPr>
              <w:t>13.4%</w:t>
            </w:r>
          </w:p>
        </w:tc>
        <w:tc>
          <w:tcPr>
            <w:tcW w:w="4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40" w:type="dxa"/>
            <w:vAlign w:val="bottom"/>
            <w:shd w:val="clear" w:color="auto" w:fill="CCEEFF"/>
          </w:tcPr>
          <w:p>
            <w:pPr>
              <w:spacing w:after="0"/>
              <w:rPr>
                <w:sz w:val="18"/>
                <w:szCs w:val="18"/>
                <w:color w:val="auto"/>
              </w:rPr>
            </w:pPr>
          </w:p>
        </w:tc>
        <w:tc>
          <w:tcPr>
            <w:tcW w:w="24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27,448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w w:val="86"/>
              </w:rPr>
              <w:t>68.5%</w:t>
            </w:r>
          </w:p>
        </w:tc>
        <w:tc>
          <w:tcPr>
            <w:tcW w:w="4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28,451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Fund 3</w:t>
            </w:r>
          </w:p>
        </w:tc>
        <w:tc>
          <w:tcPr>
            <w:tcW w:w="740" w:type="dxa"/>
            <w:vAlign w:val="bottom"/>
          </w:tcPr>
          <w:p>
            <w:pPr>
              <w:spacing w:after="0"/>
              <w:rPr>
                <w:sz w:val="19"/>
                <w:szCs w:val="19"/>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7,259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5"/>
          </w:tcPr>
          <w:p>
            <w:pPr>
              <w:jc w:val="right"/>
              <w:ind w:right="10"/>
              <w:spacing w:after="0"/>
              <w:rPr>
                <w:sz w:val="20"/>
                <w:szCs w:val="20"/>
                <w:color w:val="auto"/>
              </w:rPr>
            </w:pPr>
            <w:r>
              <w:rPr>
                <w:rFonts w:ascii="Arial" w:cs="Arial" w:eastAsia="Arial" w:hAnsi="Arial"/>
                <w:sz w:val="18"/>
                <w:szCs w:val="18"/>
                <w:color w:val="auto"/>
                <w:w w:val="86"/>
              </w:rPr>
              <w:t>18.1%</w:t>
            </w:r>
          </w:p>
        </w:tc>
        <w:tc>
          <w:tcPr>
            <w:tcW w:w="48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7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41,165</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5500" w:type="dxa"/>
            <w:vAlign w:val="bottom"/>
            <w:gridSpan w:val="9"/>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11"/>
          </w:tcPr>
          <w:p>
            <w:pPr>
              <w:jc w:val="right"/>
              <w:ind w:right="160"/>
              <w:spacing w:after="0"/>
              <w:rPr>
                <w:sz w:val="20"/>
                <w:szCs w:val="20"/>
                <w:color w:val="auto"/>
              </w:rPr>
            </w:pPr>
            <w:r>
              <w:rPr>
                <w:rFonts w:ascii="Arial" w:cs="Arial" w:eastAsia="Arial" w:hAnsi="Arial"/>
                <w:sz w:val="18"/>
                <w:szCs w:val="18"/>
                <w:b w:val="1"/>
                <w:bCs w:val="1"/>
                <w:color w:val="auto"/>
              </w:rPr>
              <w:t>Mar 16 / Mar 15</w:t>
            </w:r>
          </w:p>
        </w:tc>
        <w:tc>
          <w:tcPr>
            <w:tcW w:w="60" w:type="dxa"/>
            <w:vAlign w:val="bottom"/>
          </w:tcPr>
          <w:p>
            <w:pPr>
              <w:spacing w:after="0"/>
              <w:rPr>
                <w:sz w:val="24"/>
                <w:szCs w:val="24"/>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w w:val="89"/>
              </w:rPr>
              <w:t>Jun 16 / Jun 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 0</w:t>
            </w:r>
          </w:p>
        </w:tc>
        <w:tc>
          <w:tcPr>
            <w:tcW w:w="7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Fund 1</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Fund 3</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AFP commissions</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300" w:type="dxa"/>
            <w:vAlign w:val="bottom"/>
          </w:tcPr>
          <w:p>
            <w:pPr>
              <w:spacing w:after="0"/>
              <w:rPr>
                <w:sz w:val="20"/>
                <w:szCs w:val="20"/>
                <w:color w:val="auto"/>
              </w:rPr>
            </w:pPr>
            <w:r>
              <w:rPr>
                <w:rFonts w:ascii="Arial" w:cs="Arial" w:eastAsia="Arial" w:hAnsi="Arial"/>
                <w:sz w:val="18"/>
                <w:szCs w:val="18"/>
                <w:b w:val="1"/>
                <w:bCs w:val="1"/>
                <w:color w:val="auto"/>
              </w:rPr>
              <w:t>AFP commissions</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3560" w:type="dxa"/>
            <w:vAlign w:val="bottom"/>
            <w:gridSpan w:val="13"/>
          </w:tcPr>
          <w:p>
            <w:pPr>
              <w:ind w:left="60"/>
              <w:spacing w:after="0"/>
              <w:rPr>
                <w:sz w:val="20"/>
                <w:szCs w:val="20"/>
                <w:color w:val="auto"/>
              </w:rPr>
            </w:pPr>
            <w:r>
              <w:rPr>
                <w:rFonts w:ascii="Arial" w:cs="Arial" w:eastAsia="Arial" w:hAnsi="Arial"/>
                <w:sz w:val="18"/>
                <w:szCs w:val="18"/>
                <w:color w:val="auto"/>
                <w:w w:val="94"/>
              </w:rPr>
              <w:t>Applied to the affiliates' monthly remuneration.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Flow</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6560" w:type="dxa"/>
            <w:vAlign w:val="bottom"/>
            <w:gridSpan w:val="27"/>
          </w:tcPr>
          <w:p>
            <w:pPr>
              <w:ind w:left="60"/>
              <w:spacing w:after="0"/>
              <w:rPr>
                <w:sz w:val="20"/>
                <w:szCs w:val="20"/>
                <w:color w:val="auto"/>
              </w:rPr>
            </w:pPr>
            <w:r>
              <w:rPr>
                <w:rFonts w:ascii="Arial" w:cs="Arial" w:eastAsia="Arial" w:hAnsi="Arial"/>
                <w:sz w:val="18"/>
                <w:szCs w:val="18"/>
                <w:color w:val="auto"/>
                <w:w w:val="91"/>
              </w:rPr>
              <w:t>Applied to the affiliates' monthly remuneration since February 2015, before it was 1.51%.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2300" w:type="dxa"/>
            <w:vAlign w:val="bottom"/>
          </w:tcPr>
          <w:p>
            <w:pPr>
              <w:spacing w:after="0"/>
              <w:rPr>
                <w:sz w:val="20"/>
                <w:szCs w:val="20"/>
                <w:color w:val="auto"/>
              </w:rPr>
            </w:pPr>
            <w:r>
              <w:rPr>
                <w:rFonts w:ascii="Arial" w:cs="Arial" w:eastAsia="Arial" w:hAnsi="Arial"/>
                <w:sz w:val="18"/>
                <w:szCs w:val="18"/>
                <w:color w:val="auto"/>
              </w:rPr>
              <w:t>Balance</w:t>
            </w: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8380" w:type="dxa"/>
            <w:vAlign w:val="bottom"/>
            <w:gridSpan w:val="31"/>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r>
      <w:tr>
        <w:trPr>
          <w:trHeight w:val="230"/>
        </w:trPr>
        <w:tc>
          <w:tcPr>
            <w:tcW w:w="2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20" w:type="dxa"/>
            <w:vAlign w:val="bottom"/>
            <w:gridSpan w:val="19"/>
          </w:tcPr>
          <w:p>
            <w:pPr>
              <w:ind w:left="6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Prima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System</w:t>
            </w:r>
          </w:p>
        </w:tc>
        <w:tc>
          <w:tcPr>
            <w:tcW w:w="220" w:type="dxa"/>
            <w:vAlign w:val="bottom"/>
          </w:tcPr>
          <w:p>
            <w:pPr>
              <w:spacing w:after="0"/>
              <w:rPr>
                <w:sz w:val="24"/>
                <w:szCs w:val="24"/>
                <w:color w:val="auto"/>
              </w:rPr>
            </w:pPr>
          </w:p>
        </w:tc>
        <w:tc>
          <w:tcPr>
            <w:tcW w:w="9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5"/>
          </w:tcPr>
          <w:p>
            <w:pPr>
              <w:ind w:left="180"/>
              <w:spacing w:after="0"/>
              <w:rPr>
                <w:sz w:val="20"/>
                <w:szCs w:val="20"/>
                <w:color w:val="auto"/>
              </w:rPr>
            </w:pPr>
            <w:r>
              <w:rPr>
                <w:rFonts w:ascii="Arial" w:cs="Arial" w:eastAsia="Arial" w:hAnsi="Arial"/>
                <w:sz w:val="18"/>
                <w:szCs w:val="18"/>
                <w:b w:val="1"/>
                <w:bCs w:val="1"/>
                <w:color w:val="auto"/>
              </w:rPr>
              <w:t>Prima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System</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1Q16</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5"/>
              </w:rPr>
              <w:t>1Q16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1Q16</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2Q16</w:t>
            </w:r>
          </w:p>
        </w:tc>
        <w:tc>
          <w:tcPr>
            <w:tcW w:w="160" w:type="dxa"/>
            <w:vAlign w:val="bottom"/>
            <w:tcBorders>
              <w:bottom w:val="single" w:sz="8" w:color="CCEEFF"/>
            </w:tcBorders>
          </w:tcPr>
          <w:p>
            <w:pPr>
              <w:spacing w:after="0"/>
              <w:rPr>
                <w:sz w:val="20"/>
                <w:szCs w:val="20"/>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1,455,599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6,033,932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24.1%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1,458,616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6,103,073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80,060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75,888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Funds under management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40,086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125,912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31.8%</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41,165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2,256</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31.7%</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42.6%</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r>
      <w:tr>
        <w:trPr>
          <w:trHeight w:val="390"/>
        </w:trPr>
        <w:tc>
          <w:tcPr>
            <w:tcW w:w="230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6,686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31.4%</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6,786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898"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11.9 Table of calculations</w:t>
            </w:r>
          </w:p>
        </w:tc>
        <w:tc>
          <w:tcPr>
            <w:tcW w:w="7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40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18"/>
                <w:szCs w:val="18"/>
                <w:b w:val="1"/>
                <w:bCs w:val="1"/>
                <w:color w:val="auto"/>
              </w:rPr>
              <w:t xml:space="preserve">Table of calculations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95"/>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Margin (NIM)</w:t>
            </w:r>
          </w:p>
        </w:tc>
        <w:tc>
          <w:tcPr>
            <w:tcW w:w="7280" w:type="dxa"/>
            <w:vAlign w:val="bottom"/>
          </w:tcPr>
          <w:p>
            <w:pPr>
              <w:jc w:val="center"/>
              <w:ind w:right="3770"/>
              <w:spacing w:after="0"/>
              <w:rPr>
                <w:sz w:val="20"/>
                <w:szCs w:val="20"/>
                <w:color w:val="auto"/>
              </w:rPr>
            </w:pPr>
            <w:r>
              <w:rPr>
                <w:rFonts w:ascii="Arial" w:cs="Arial" w:eastAsia="Arial" w:hAnsi="Arial"/>
                <w:sz w:val="18"/>
                <w:szCs w:val="18"/>
                <w:b w:val="1"/>
                <w:bCs w:val="1"/>
                <w:color w:val="auto"/>
                <w:w w:val="94"/>
              </w:rPr>
              <w:t>Profitability</w:t>
            </w:r>
          </w:p>
        </w:tc>
        <w:tc>
          <w:tcPr>
            <w:tcW w:w="0" w:type="dxa"/>
            <w:vAlign w:val="bottom"/>
          </w:tcPr>
          <w:p>
            <w:pPr>
              <w:spacing w:after="0"/>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Annualized net interest income/ Average* interest earning assets</w:t>
            </w: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0"/>
                <w:szCs w:val="20"/>
                <w:color w:val="auto"/>
              </w:rPr>
            </w:pPr>
            <w:r>
              <w:rPr>
                <w:rFonts w:ascii="Arial" w:cs="Arial" w:eastAsia="Arial" w:hAnsi="Arial"/>
                <w:sz w:val="18"/>
                <w:szCs w:val="18"/>
                <w:b w:val="1"/>
                <w:bCs w:val="1"/>
                <w:color w:val="auto"/>
              </w:rPr>
              <w:t>Net Interest Margin on loans</w:t>
            </w:r>
          </w:p>
        </w:tc>
        <w:tc>
          <w:tcPr>
            <w:tcW w:w="7280" w:type="dxa"/>
            <w:vAlign w:val="bottom"/>
          </w:tcPr>
          <w:p>
            <w:pPr>
              <w:ind w:left="800"/>
              <w:spacing w:after="0"/>
              <w:rPr>
                <w:sz w:val="20"/>
                <w:szCs w:val="20"/>
                <w:color w:val="auto"/>
              </w:rPr>
            </w:pPr>
            <w:r>
              <w:rPr>
                <w:rFonts w:ascii="Arial" w:cs="Arial" w:eastAsia="Arial" w:hAnsi="Arial"/>
                <w:sz w:val="18"/>
                <w:szCs w:val="18"/>
                <w:color w:val="auto"/>
              </w:rPr>
              <w:t>[Interest on loans–(Interest expense x (Average* total loans /Average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(NIM on loans)</w:t>
            </w:r>
          </w:p>
        </w:tc>
        <w:tc>
          <w:tcPr>
            <w:tcW w:w="7280" w:type="dxa"/>
            <w:vAlign w:val="bottom"/>
          </w:tcPr>
          <w:p>
            <w:pPr>
              <w:ind w:left="800"/>
              <w:spacing w:after="0"/>
              <w:rPr>
                <w:sz w:val="20"/>
                <w:szCs w:val="20"/>
                <w:color w:val="auto"/>
              </w:rPr>
            </w:pPr>
            <w:r>
              <w:rPr>
                <w:rFonts w:ascii="Arial" w:cs="Arial" w:eastAsia="Arial" w:hAnsi="Arial"/>
                <w:sz w:val="18"/>
                <w:szCs w:val="18"/>
                <w:color w:val="auto"/>
              </w:rPr>
              <w:t>interest earning assets))] x 4/Average total loans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Funding cost</w:t>
            </w:r>
          </w:p>
        </w:tc>
        <w:tc>
          <w:tcPr>
            <w:tcW w:w="7280" w:type="dxa"/>
            <w:vAlign w:val="bottom"/>
          </w:tcPr>
          <w:p>
            <w:pPr>
              <w:ind w:left="800"/>
              <w:spacing w:after="0"/>
              <w:rPr>
                <w:sz w:val="20"/>
                <w:szCs w:val="20"/>
                <w:color w:val="auto"/>
              </w:rPr>
            </w:pPr>
            <w:r>
              <w:rPr>
                <w:rFonts w:ascii="Arial" w:cs="Arial" w:eastAsia="Arial" w:hAnsi="Arial"/>
                <w:sz w:val="18"/>
                <w:szCs w:val="18"/>
                <w:color w:val="auto"/>
              </w:rPr>
              <w:t>Annualized interest expense / Average* of total liabilities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Return on average assets (ROAA)</w:t>
            </w:r>
          </w:p>
        </w:tc>
        <w:tc>
          <w:tcPr>
            <w:tcW w:w="7280" w:type="dxa"/>
            <w:vAlign w:val="bottom"/>
          </w:tcPr>
          <w:p>
            <w:pPr>
              <w:ind w:left="800"/>
              <w:spacing w:after="0"/>
              <w:rPr>
                <w:sz w:val="20"/>
                <w:szCs w:val="20"/>
                <w:color w:val="auto"/>
              </w:rPr>
            </w:pPr>
            <w:r>
              <w:rPr>
                <w:rFonts w:ascii="Arial" w:cs="Arial" w:eastAsia="Arial" w:hAnsi="Arial"/>
                <w:sz w:val="18"/>
                <w:szCs w:val="18"/>
                <w:color w:val="auto"/>
              </w:rPr>
              <w:t>Annualized net income / Average* assets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Return on average equity (ROAE)</w:t>
            </w:r>
          </w:p>
        </w:tc>
        <w:tc>
          <w:tcPr>
            <w:tcW w:w="7280" w:type="dxa"/>
            <w:vAlign w:val="bottom"/>
          </w:tcPr>
          <w:p>
            <w:pPr>
              <w:ind w:left="800"/>
              <w:spacing w:after="0"/>
              <w:rPr>
                <w:sz w:val="20"/>
                <w:szCs w:val="20"/>
                <w:color w:val="auto"/>
              </w:rPr>
            </w:pPr>
            <w:r>
              <w:rPr>
                <w:rFonts w:ascii="Arial" w:cs="Arial" w:eastAsia="Arial" w:hAnsi="Arial"/>
                <w:sz w:val="18"/>
                <w:szCs w:val="18"/>
                <w:color w:val="auto"/>
              </w:rPr>
              <w:t>Annualized net income / Average* net equity</w:t>
            </w:r>
          </w:p>
        </w:tc>
        <w:tc>
          <w:tcPr>
            <w:tcW w:w="0" w:type="dxa"/>
            <w:vAlign w:val="bottom"/>
          </w:tcPr>
          <w:p>
            <w:pPr>
              <w:spacing w:after="0"/>
              <w:rPr>
                <w:sz w:val="1"/>
                <w:szCs w:val="1"/>
                <w:color w:val="auto"/>
              </w:rPr>
            </w:pPr>
          </w:p>
        </w:tc>
      </w:tr>
      <w:tr>
        <w:trPr>
          <w:trHeight w:val="418"/>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Internal overdue ratio</w:t>
            </w:r>
          </w:p>
        </w:tc>
        <w:tc>
          <w:tcPr>
            <w:tcW w:w="7280" w:type="dxa"/>
            <w:vAlign w:val="bottom"/>
          </w:tcPr>
          <w:p>
            <w:pPr>
              <w:jc w:val="center"/>
              <w:ind w:right="3770"/>
              <w:spacing w:after="0"/>
              <w:rPr>
                <w:sz w:val="20"/>
                <w:szCs w:val="20"/>
                <w:color w:val="auto"/>
              </w:rPr>
            </w:pPr>
            <w:r>
              <w:rPr>
                <w:rFonts w:ascii="Arial" w:cs="Arial" w:eastAsia="Arial" w:hAnsi="Arial"/>
                <w:sz w:val="18"/>
                <w:szCs w:val="18"/>
                <w:b w:val="1"/>
                <w:bCs w:val="1"/>
                <w:color w:val="auto"/>
                <w:w w:val="91"/>
              </w:rPr>
              <w:t>Portfolio quality</w:t>
            </w:r>
          </w:p>
        </w:tc>
        <w:tc>
          <w:tcPr>
            <w:tcW w:w="0" w:type="dxa"/>
            <w:vAlign w:val="bottom"/>
          </w:tcPr>
          <w:p>
            <w:pPr>
              <w:spacing w:after="0"/>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Internal overdue loans / Total loans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Non – performing loans ratio (NPL ratio)</w:t>
            </w:r>
          </w:p>
        </w:tc>
        <w:tc>
          <w:tcPr>
            <w:tcW w:w="7280" w:type="dxa"/>
            <w:vAlign w:val="bottom"/>
          </w:tcPr>
          <w:p>
            <w:pPr>
              <w:ind w:left="800"/>
              <w:spacing w:after="0"/>
              <w:rPr>
                <w:sz w:val="20"/>
                <w:szCs w:val="20"/>
                <w:color w:val="auto"/>
              </w:rPr>
            </w:pPr>
            <w:r>
              <w:rPr>
                <w:rFonts w:ascii="Arial" w:cs="Arial" w:eastAsia="Arial" w:hAnsi="Arial"/>
                <w:sz w:val="18"/>
                <w:szCs w:val="18"/>
                <w:color w:val="auto"/>
              </w:rPr>
              <w:t>Non-performing loans / Total loans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Coverage ratio of internal overdue loans</w:t>
            </w:r>
          </w:p>
        </w:tc>
        <w:tc>
          <w:tcPr>
            <w:tcW w:w="7280" w:type="dxa"/>
            <w:vAlign w:val="bottom"/>
          </w:tcPr>
          <w:p>
            <w:pPr>
              <w:ind w:left="800"/>
              <w:spacing w:after="0"/>
              <w:rPr>
                <w:sz w:val="20"/>
                <w:szCs w:val="20"/>
                <w:color w:val="auto"/>
              </w:rPr>
            </w:pPr>
            <w:r>
              <w:rPr>
                <w:rFonts w:ascii="Arial" w:cs="Arial" w:eastAsia="Arial" w:hAnsi="Arial"/>
                <w:sz w:val="18"/>
                <w:szCs w:val="18"/>
                <w:color w:val="auto"/>
              </w:rPr>
              <w:t>Allowance for loan losses / Internal overdue loans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Coverage ratio of non – performing loans</w:t>
            </w:r>
          </w:p>
        </w:tc>
        <w:tc>
          <w:tcPr>
            <w:tcW w:w="7280" w:type="dxa"/>
            <w:vAlign w:val="bottom"/>
          </w:tcPr>
          <w:p>
            <w:pPr>
              <w:ind w:left="800"/>
              <w:spacing w:after="0"/>
              <w:rPr>
                <w:sz w:val="20"/>
                <w:szCs w:val="20"/>
                <w:color w:val="auto"/>
              </w:rPr>
            </w:pPr>
            <w:r>
              <w:rPr>
                <w:rFonts w:ascii="Arial" w:cs="Arial" w:eastAsia="Arial" w:hAnsi="Arial"/>
                <w:sz w:val="18"/>
                <w:szCs w:val="18"/>
                <w:color w:val="auto"/>
              </w:rPr>
              <w:t>Allowance for loan losses / Non-performing loans</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Cost of risk</w:t>
            </w:r>
          </w:p>
        </w:tc>
        <w:tc>
          <w:tcPr>
            <w:tcW w:w="7280" w:type="dxa"/>
            <w:vAlign w:val="bottom"/>
          </w:tcPr>
          <w:p>
            <w:pPr>
              <w:ind w:left="800"/>
              <w:spacing w:after="0"/>
              <w:rPr>
                <w:sz w:val="20"/>
                <w:szCs w:val="20"/>
                <w:color w:val="auto"/>
              </w:rPr>
            </w:pPr>
            <w:r>
              <w:rPr>
                <w:rFonts w:ascii="Arial" w:cs="Arial" w:eastAsia="Arial" w:hAnsi="Arial"/>
                <w:sz w:val="18"/>
                <w:szCs w:val="18"/>
                <w:color w:val="auto"/>
              </w:rPr>
              <w:t>Annualized net provisions for loan losses / Total loans</w:t>
            </w: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4"/>
                <w:szCs w:val="24"/>
                <w:color w:val="auto"/>
              </w:rPr>
            </w:pPr>
          </w:p>
        </w:tc>
        <w:tc>
          <w:tcPr>
            <w:tcW w:w="7280" w:type="dxa"/>
            <w:vAlign w:val="bottom"/>
          </w:tcPr>
          <w:p>
            <w:pPr>
              <w:ind w:left="800"/>
              <w:spacing w:after="0"/>
              <w:rPr>
                <w:sz w:val="20"/>
                <w:szCs w:val="20"/>
                <w:color w:val="auto"/>
              </w:rPr>
            </w:pPr>
            <w:r>
              <w:rPr>
                <w:rFonts w:ascii="Arial" w:cs="Arial" w:eastAsia="Arial" w:hAnsi="Arial"/>
                <w:sz w:val="18"/>
                <w:szCs w:val="18"/>
                <w:b w:val="1"/>
                <w:bCs w:val="1"/>
                <w:color w:val="auto"/>
              </w:rPr>
              <w:t>Operating performance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(Salaries and employee benefits + Administrative expenses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Depreciation and amortization + Adquisition cost) / (Net interest income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w w:val="89"/>
              </w:rPr>
              <w:t>Fee income + Net gain on foreign exchange transactions + Net gain from associates + Net</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Operating efficiency</w:t>
            </w:r>
          </w:p>
        </w:tc>
        <w:tc>
          <w:tcPr>
            <w:tcW w:w="7280" w:type="dxa"/>
            <w:vAlign w:val="bottom"/>
          </w:tcPr>
          <w:p>
            <w:pPr>
              <w:ind w:left="800"/>
              <w:spacing w:after="0"/>
              <w:rPr>
                <w:sz w:val="20"/>
                <w:szCs w:val="20"/>
                <w:color w:val="auto"/>
              </w:rPr>
            </w:pPr>
            <w:r>
              <w:rPr>
                <w:rFonts w:ascii="Arial" w:cs="Arial" w:eastAsia="Arial" w:hAnsi="Arial"/>
                <w:sz w:val="18"/>
                <w:szCs w:val="18"/>
                <w:color w:val="auto"/>
              </w:rPr>
              <w:t>premiums earned)</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(Salaries and employee benefits + Administrative expenses +</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Depreciation and amortization + Adquisition cost) / Average* total assets</w:t>
            </w:r>
          </w:p>
        </w:tc>
        <w:tc>
          <w:tcPr>
            <w:tcW w:w="0" w:type="dxa"/>
            <w:vAlign w:val="bottom"/>
          </w:tcPr>
          <w:p>
            <w:pPr>
              <w:spacing w:after="0"/>
              <w:rPr>
                <w:sz w:val="1"/>
                <w:szCs w:val="1"/>
                <w:color w:val="auto"/>
              </w:rPr>
            </w:pPr>
          </w:p>
        </w:tc>
      </w:tr>
      <w:tr>
        <w:trPr>
          <w:trHeight w:val="418"/>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BIS ratio</w:t>
            </w:r>
          </w:p>
        </w:tc>
        <w:tc>
          <w:tcPr>
            <w:tcW w:w="7280" w:type="dxa"/>
            <w:vAlign w:val="bottom"/>
          </w:tcPr>
          <w:p>
            <w:pPr>
              <w:jc w:val="center"/>
              <w:ind w:right="3770"/>
              <w:spacing w:after="0"/>
              <w:rPr>
                <w:sz w:val="20"/>
                <w:szCs w:val="20"/>
                <w:color w:val="auto"/>
              </w:rPr>
            </w:pPr>
            <w:r>
              <w:rPr>
                <w:rFonts w:ascii="Arial" w:cs="Arial" w:eastAsia="Arial" w:hAnsi="Arial"/>
                <w:sz w:val="18"/>
                <w:szCs w:val="18"/>
                <w:b w:val="1"/>
                <w:bCs w:val="1"/>
                <w:color w:val="auto"/>
                <w:w w:val="91"/>
              </w:rPr>
              <w:t>Capital Adequacy</w:t>
            </w:r>
          </w:p>
        </w:tc>
        <w:tc>
          <w:tcPr>
            <w:tcW w:w="0" w:type="dxa"/>
            <w:vAlign w:val="bottom"/>
          </w:tcPr>
          <w:p>
            <w:pPr>
              <w:spacing w:after="0"/>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Regulatory Capital / Risk-weighted assets</w:t>
            </w: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b w:val="1"/>
                <w:bCs w:val="1"/>
                <w:color w:val="auto"/>
              </w:rPr>
              <w:t>Tier 1 ratio</w:t>
            </w:r>
          </w:p>
        </w:tc>
        <w:tc>
          <w:tcPr>
            <w:tcW w:w="7280" w:type="dxa"/>
            <w:vAlign w:val="bottom"/>
          </w:tcPr>
          <w:p>
            <w:pPr>
              <w:ind w:left="800"/>
              <w:spacing w:after="0"/>
              <w:rPr>
                <w:sz w:val="20"/>
                <w:szCs w:val="20"/>
                <w:color w:val="auto"/>
              </w:rPr>
            </w:pPr>
            <w:r>
              <w:rPr>
                <w:rFonts w:ascii="Arial" w:cs="Arial" w:eastAsia="Arial" w:hAnsi="Arial"/>
                <w:sz w:val="18"/>
                <w:szCs w:val="18"/>
                <w:color w:val="auto"/>
              </w:rPr>
              <w:t>Tier 1 / Risk-weighted assets</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Common Equity Tier 1 ratio</w:t>
            </w:r>
          </w:p>
        </w:tc>
        <w:tc>
          <w:tcPr>
            <w:tcW w:w="7280" w:type="dxa"/>
            <w:vAlign w:val="bottom"/>
          </w:tcPr>
          <w:p>
            <w:pPr>
              <w:ind w:left="800"/>
              <w:spacing w:after="0"/>
              <w:rPr>
                <w:sz w:val="20"/>
                <w:szCs w:val="20"/>
                <w:color w:val="auto"/>
              </w:rPr>
            </w:pPr>
            <w:r>
              <w:rPr>
                <w:rFonts w:ascii="Arial" w:cs="Arial" w:eastAsia="Arial" w:hAnsi="Arial"/>
                <w:sz w:val="18"/>
                <w:szCs w:val="18"/>
                <w:color w:val="auto"/>
              </w:rPr>
              <w:t>Capital + Reserves – 100% of applicable deductions (investment in</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subsidiaries, goodwill, intangibles and deferred tax that rely on future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profitability) + retained earnings + unrealized gains.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9</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lowerRoman"/>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lowerRoman"/>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lowerRoman"/>
      <w:start w:val="1"/>
    </w:lvl>
  </w:abstractNum>
  <w:abstractNum w:abstractNumId="11">
    <w:nsid w:val="7644A45C"/>
    <w:multiLevelType w:val="hybridMultilevel"/>
    <w:lvl w:ilvl="0">
      <w:lvlJc w:val="left"/>
      <w:lvlText w:val="(%1)"/>
      <w:numFmt w:val="lowerRoman"/>
      <w:start w:val="1"/>
    </w:lvl>
  </w:abstractNum>
  <w:abstractNum w:abstractNumId="12">
    <w:nsid w:val="32FFF902"/>
    <w:multiLevelType w:val="hybridMultilevel"/>
    <w:lvl w:ilvl="0">
      <w:lvlJc w:val="left"/>
      <w:lvlText w:val="(%1)"/>
      <w:numFmt w:val="lowerRoman"/>
      <w:start w:val="2"/>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lowerRoman"/>
      <w:start w:val="1"/>
    </w:lvl>
  </w:abstractNum>
  <w:abstractNum w:abstractNumId="15">
    <w:nsid w:val="749ABB43"/>
    <w:multiLevelType w:val="hybridMultilevel"/>
    <w:lvl w:ilvl="0">
      <w:lvlJc w:val="left"/>
      <w:lvlText w:val="1"/>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2"/>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2"/>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3"/>
      <w:numFmt w:val="bullet"/>
      <w:start w:val="1"/>
    </w:lvl>
  </w:abstractNum>
  <w:abstractNum w:abstractNumId="27">
    <w:nsid w:val="275AC794"/>
    <w:multiLevelType w:val="hybridMultilevel"/>
    <w:lvl w:ilvl="0">
      <w:lvlJc w:val="left"/>
      <w:lvlText w:val="%1."/>
      <w:numFmt w:val="decimal"/>
      <w:start w:val="3"/>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4"/>
      <w:numFmt w:val="bullet"/>
      <w:start w:val="1"/>
    </w:lvl>
  </w:abstractNum>
  <w:abstractNum w:abstractNumId="30">
    <w:nsid w:val="180115BE"/>
    <w:multiLevelType w:val="hybridMultilevel"/>
    <w:lvl w:ilvl="0">
      <w:lvlJc w:val="left"/>
      <w:lvlText w:val="%1"/>
      <w:numFmt w:val="lowerRoman"/>
      <w:start w:val="1"/>
    </w:lvl>
    <w:lvl w:ilvl="1">
      <w:lvlJc w:val="left"/>
      <w:lvlText w:val="(%2)"/>
      <w:numFmt w:val="decimal"/>
      <w:start w:val="1"/>
    </w:lvl>
  </w:abstractNum>
  <w:abstractNum w:abstractNumId="31">
    <w:nsid w:val="235BA861"/>
    <w:multiLevelType w:val="hybridMultilevel"/>
    <w:lvl w:ilvl="0">
      <w:lvlJc w:val="left"/>
      <w:lvlText w:val="(%1)"/>
      <w:numFmt w:val="lowerRoman"/>
      <w:start w:val="1"/>
    </w:lvl>
    <w:lvl w:ilvl="1">
      <w:lvlJc w:val="left"/>
      <w:lvlText w:val="%2"/>
      <w:numFmt w:val="decimal"/>
      <w:start w:val="1"/>
    </w:lvl>
  </w:abstractNum>
  <w:abstractNum w:abstractNumId="32">
    <w:nsid w:val="47398C89"/>
    <w:multiLevelType w:val="hybridMultilevel"/>
    <w:lvl w:ilvl="0">
      <w:lvlJc w:val="left"/>
      <w:lvlText w:val="(%1)"/>
      <w:numFmt w:val="lowerRoman"/>
      <w:start w:val="2"/>
    </w:lvl>
  </w:abstractNum>
  <w:abstractNum w:abstractNumId="33">
    <w:nsid w:val="354FE9F9"/>
    <w:multiLevelType w:val="hybridMultilevel"/>
    <w:lvl w:ilvl="0">
      <w:lvlJc w:val="left"/>
      <w:lvlText w:val="(%1)"/>
      <w:numFmt w:val="lowerRoman"/>
      <w:start w:val="3"/>
    </w:lvl>
  </w:abstractNum>
  <w:abstractNum w:abstractNumId="34">
    <w:nsid w:val="15B5AF5C"/>
    <w:multiLevelType w:val="hybridMultilevel"/>
    <w:lvl w:ilvl="0">
      <w:lvlJc w:val="left"/>
      <w:lvlText w:val="%1"/>
      <w:numFmt w:val="lowerRoman"/>
      <w:start w:val="1"/>
    </w:lvl>
    <w:lvl w:ilvl="1">
      <w:lvlJc w:val="left"/>
      <w:lvlText w:val="(%2)"/>
      <w:numFmt w:val="decimal"/>
      <w:start w:val="1"/>
    </w:lvl>
  </w:abstractNum>
  <w:abstractNum w:abstractNumId="35">
    <w:nsid w:val="741226BB"/>
    <w:multiLevelType w:val="hybridMultilevel"/>
    <w:lvl w:ilvl="0">
      <w:lvlJc w:val="left"/>
      <w:lvlText w:val="(%1)"/>
      <w:numFmt w:val="lowerRoman"/>
      <w:start w:val="4"/>
    </w:lvl>
    <w:lvl w:ilvl="1">
      <w:lvlJc w:val="left"/>
      <w:lvlText w:val="%2"/>
      <w:numFmt w:val="decimal"/>
      <w:start w:val="1"/>
    </w:lvl>
  </w:abstractNum>
  <w:abstractNum w:abstractNumId="36">
    <w:nsid w:val="D34B6A8"/>
    <w:multiLevelType w:val="hybridMultilevel"/>
    <w:lvl w:ilvl="0">
      <w:lvlJc w:val="left"/>
      <w:lvlText w:val="(%1)"/>
      <w:numFmt w:val="lowerRoman"/>
      <w:start w:val="5"/>
    </w:lvl>
  </w:abstractNum>
  <w:abstractNum w:abstractNumId="37">
    <w:nsid w:val="10233C99"/>
    <w:multiLevelType w:val="hybridMultilevel"/>
    <w:lvl w:ilvl="0">
      <w:lvlJc w:val="left"/>
      <w:lvlText w:val="(%1)"/>
      <w:numFmt w:val="lowerRoman"/>
      <w:start w:val="6"/>
    </w:lvl>
  </w:abstractNum>
  <w:abstractNum w:abstractNumId="38">
    <w:nsid w:val="3F6AB60F"/>
    <w:multiLevelType w:val="hybridMultilevel"/>
    <w:lvl w:ilvl="0">
      <w:lvlJc w:val="left"/>
      <w:lvlText w:val="(%1)"/>
      <w:numFmt w:val="lowerRoman"/>
      <w:start w:val="7"/>
    </w:lvl>
  </w:abstractNum>
  <w:abstractNum w:abstractNumId="39">
    <w:nsid w:val="61574095"/>
    <w:multiLevelType w:val="hybridMultilevel"/>
    <w:lvl w:ilvl="0">
      <w:lvlJc w:val="left"/>
      <w:lvlText w:val="(%1)"/>
      <w:numFmt w:val="lowerRoman"/>
      <w:start w:val="8"/>
    </w:lvl>
  </w:abstractNum>
  <w:abstractNum w:abstractNumId="40">
    <w:nsid w:val="7E0C57B1"/>
    <w:multiLevelType w:val="hybridMultilevel"/>
    <w:lvl w:ilvl="0">
      <w:lvlJc w:val="left"/>
      <w:lvlText w:val="5"/>
      <w:numFmt w:val="bullet"/>
      <w:start w:val="1"/>
    </w:lvl>
  </w:abstractNum>
  <w:abstractNum w:abstractNumId="41">
    <w:nsid w:val="77AE35EB"/>
    <w:multiLevelType w:val="hybridMultilevel"/>
    <w:lvl w:ilvl="0">
      <w:lvlJc w:val="left"/>
      <w:lvlText w:val="%1."/>
      <w:numFmt w:val="decimal"/>
      <w:start w:val="4"/>
    </w:lvl>
  </w:abstractNum>
  <w:abstractNum w:abstractNumId="42">
    <w:nsid w:val="579BE4F1"/>
    <w:multiLevelType w:val="hybridMultilevel"/>
    <w:lvl w:ilvl="0">
      <w:lvlJc w:val="left"/>
      <w:lvlText w:val="(%1)"/>
      <w:numFmt w:val="lowerRoman"/>
      <w:start w:val="1"/>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1)"/>
      <w:numFmt w:val="lowerRoman"/>
      <w:start w:val="1"/>
    </w:lvl>
  </w:abstractNum>
  <w:abstractNum w:abstractNumId="45">
    <w:nsid w:val="2F305DEF"/>
    <w:multiLevelType w:val="hybridMultilevel"/>
    <w:lvl w:ilvl="0">
      <w:lvlJc w:val="left"/>
      <w:lvlText w:val="6"/>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7"/>
      <w:numFmt w:val="bullet"/>
      <w:start w:val="1"/>
    </w:lvl>
  </w:abstractNum>
  <w:abstractNum w:abstractNumId="48">
    <w:nsid w:val="4AD084E9"/>
    <w:multiLevelType w:val="hybridMultilevel"/>
    <w:lvl w:ilvl="0">
      <w:lvlJc w:val="left"/>
      <w:lvlText w:val="%1."/>
      <w:numFmt w:val="decimal"/>
      <w:start w:val="5"/>
    </w:lvl>
  </w:abstractNum>
  <w:abstractNum w:abstractNumId="49">
    <w:nsid w:val="1F48EAA1"/>
    <w:multiLevelType w:val="hybridMultilevel"/>
    <w:lvl w:ilvl="0">
      <w:lvlJc w:val="left"/>
      <w:lvlText w:val="%1)"/>
      <w:numFmt w:val="lowerRoman"/>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6"/>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lowerRoman"/>
      <w:start w:val="2"/>
    </w:lvl>
  </w:abstractNum>
  <w:abstractNum w:abstractNumId="54">
    <w:nsid w:val="15014ACB"/>
    <w:multiLevelType w:val="hybridMultilevel"/>
    <w:lvl w:ilvl="0">
      <w:lvlJc w:val="left"/>
      <w:lvlText w:val="%1."/>
      <w:numFmt w:val="decimal"/>
      <w:start w:val="7"/>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lowerRoman"/>
      <w:start w:val="1"/>
    </w:lvl>
  </w:abstractNum>
  <w:abstractNum w:abstractNumId="57">
    <w:nsid w:val="799D0247"/>
    <w:multiLevelType w:val="hybridMultilevel"/>
    <w:lvl w:ilvl="0">
      <w:lvlJc w:val="left"/>
      <w:lvlText w:val="8"/>
      <w:numFmt w:val="bullet"/>
      <w:start w:val="1"/>
    </w:lvl>
  </w:abstractNum>
  <w:abstractNum w:abstractNumId="58">
    <w:nsid w:val="6B94764"/>
    <w:multiLevelType w:val="hybridMultilevel"/>
    <w:lvl w:ilvl="0">
      <w:lvlJc w:val="left"/>
      <w:lvlText w:val="(%1)"/>
      <w:numFmt w:val="lowerRoman"/>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lowerRoman"/>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lowerRoman"/>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lowerRoman"/>
      <w:start w:val="1"/>
    </w:lvl>
  </w:abstractNum>
  <w:abstractNum w:abstractNumId="68">
    <w:nsid w:val="BF72B1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lvl w:ilvl="1">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74">
    <w:nsid w:val="3B0FD379"/>
    <w:multiLevelType w:val="hybridMultilevel"/>
    <w:lvl w:ilvl="0">
      <w:lvlJc w:val="left"/>
      <w:lvlText w:val="-"/>
      <w:numFmt w:val="bullet"/>
      <w:start w:val="1"/>
    </w:lvl>
    <w:lvl w:ilvl="1">
      <w:lvlJc w:val="left"/>
      <w:lvlText w:val="o"/>
      <w:numFmt w:val="bullet"/>
      <w:start w:val="1"/>
    </w:lvl>
  </w:abstractNum>
  <w:abstractNum w:abstractNumId="75">
    <w:nsid w:val="68EB2F63"/>
    <w:multiLevelType w:val="hybridMultilevel"/>
    <w:lvl w:ilvl="0">
      <w:lvlJc w:val="left"/>
      <w:lvlText w:val="%1."/>
      <w:numFmt w:val="decimal"/>
      <w:start w:val="1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lowerRoman"/>
      <w:start w:val="2"/>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2019-12-06T08:02:46Z</dcterms:created>
  <dcterms:modified xsi:type="dcterms:W3CDTF">2019-12-06T08:02:46Z</dcterms:modified>
</cp:coreProperties>
</file>