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3997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39975" cy="480060"/>
                    </a:xfrm>
                    <a:prstGeom prst="rect">
                      <a:avLst/>
                    </a:prstGeom>
                    <a:noFill/>
                  </pic:spPr>
                </pic:pic>
              </a:graphicData>
            </a:graphic>
          </wp:anchor>
        </w:drawing>
        <w:t>September 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notify you as a Material Event that, as reported on January 31, 2024, by Credicorp Ltd. (the Company), all litigation in the U.S. Bankruptcy Court for the Southern District of New York (the Bankruptcy Court) against ASB Bank Corp. with respect to: (i) Bernard L. Madoff Investment Securities LLC. (BLMIS) and the substantively consolidated estate of Bernard L. Madoff (the Madoff Trustee) (the Madoff Complaint), and (ii) Fairfield Sentry (In Liquidation) and its representative, Kenneth Krys (the Fairfield Liquidator) (the Fairfield Complaint), has been fully and finally settled.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settlements, after approval of the settlement between the Madoff Trustee and ASB (the Madoff Settlement) by the Bankruptcy Court, among other things, ASB Bank Corp. would pay the Madoff Trustee the amount of US$42,750,000.00 (for which ASB Bank Corp. and its affiliates were fully provisioned) (the Settlement Amount), and the Madoff Trustee and the Fairfield Liquidator would dismiss the Madoff Complaint and the Fairfield Complaint, as applicable, with prejudice and without costs to either party. A copy of the Madoff Settlement was filed with the Bankruptcy Court.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settlements, note that:</w:t>
      </w:r>
    </w:p>
    <w:p>
      <w:pPr>
        <w:spacing w:after="0" w:line="225"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2024, the Bankruptcy Court approved the Madoff Settlement;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2024, ASB Bank Corp. paid the Madoff Trustee the Settlement Amount;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2024, the Madoff Trustee dismissed the Madoff Complaint with prejudice and without costs to either party;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2024, the Fairfield Liquidator dismissed the Fairfield Complaint with prejudice and without costs to either party; and</w:t>
      </w:r>
    </w:p>
    <w:p>
      <w:pPr>
        <w:spacing w:after="0" w:line="9" w:lineRule="exact"/>
        <w:rPr>
          <w:rFonts w:ascii="Times New Roman" w:cs="Times New Roman" w:eastAsia="Times New Roman" w:hAnsi="Times New Roman"/>
          <w:sz w:val="18"/>
          <w:szCs w:val="18"/>
          <w:color w:val="auto"/>
        </w:rPr>
      </w:pPr>
    </w:p>
    <w:p>
      <w:pPr>
        <w:ind w:left="260" w:right="20" w:hanging="252"/>
        <w:spacing w:after="0" w:line="260"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2024, the Second Circuit Court of Appeals confirmed the dismissal with prejudice of the previously pending appeal by the Fairfield Liquidator related to the Fairfield Complaint.</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all litigation regarding the Madoff Complaint and the Fairfield Complaint has been fully and finally resolved and both the Madoff Complaint and Fairfield Complaint dismissed with prejudice.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September 9, 2024</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2024-09-09T16:04:20Z</dcterms:created>
  <dcterms:modified xsi:type="dcterms:W3CDTF">2024-09-09T16:04:20Z</dcterms:modified>
</cp:coreProperties>
</file>