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t>December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the Board of Directors of Credicorp Ltd. (‘Credicorp’), in its session held today, December 21, 2023, has resolved:</w:t>
      </w:r>
    </w:p>
    <w:p>
      <w:pPr>
        <w:spacing w:after="0" w:line="162" w:lineRule="exact"/>
        <w:rPr>
          <w:sz w:val="20"/>
          <w:szCs w:val="20"/>
          <w:color w:val="auto"/>
        </w:rPr>
      </w:pPr>
    </w:p>
    <w:p>
      <w:pPr>
        <w:ind w:left="340" w:right="2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resignation to the position of Chief Risk Officer (CRO) of Credicorp submitted by Mr. Reynaldo Llosa Benavides, who will remain in office until June 30,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Cesar Rios Briceño to take over Mr. Llosa’s position as CRO. Mr. Rios currently holds the position of Chief Financial Officer (CFO) of Credicorp.</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Alejandro Pérez-Reyes Zarak to take over Mr. Rios’ position as CFO. Mr. Pérez-Reyes currently holds the position of Chief Operating Officer (COO) of Credicorp.</w:t>
      </w:r>
    </w:p>
    <w:p>
      <w:pPr>
        <w:spacing w:after="0" w:line="161"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responsibilities of Mr. Pérez- Reyes will be distributed among other members of the senior management team and the COO role will cease to exist.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the Chief Strategy Officer and to appoint Mrs. Michelle Labarthe Wiese in such role. The position will report to the CEO.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that the Chief Technology Officer (CTO) of Credicorp, Mr. André Rezende, will report directly to the CEO.</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changes will be effective as from July 1, 2024, except for the one mentioned in item 4 which will be effective as from January 2,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21, 2023</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3914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2023-12-21T15:11:16Z</dcterms:created>
  <dcterms:modified xsi:type="dcterms:W3CDTF">2023-12-21T15:11:16Z</dcterms:modified>
</cp:coreProperties>
</file>