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210820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FORM 6-K/A</w:t>
      </w:r>
    </w:p>
    <w:p>
      <w:pPr>
        <w:spacing w:after="0" w:line="24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Pursuant to Rule 13a-16 or 15d-16 of the</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3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month of February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380365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CREDICORP LTD.</w:t>
      </w:r>
    </w:p>
    <w:p>
      <w:pPr>
        <w:spacing w:after="0" w:line="2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Clarendon House</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Church Street</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Hamilton HM 11 Bermuda</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34"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 20-F x Form 40-F o</w:t>
      </w:r>
    </w:p>
    <w:p>
      <w:pPr>
        <w:spacing w:after="0" w:line="252" w:lineRule="exact"/>
        <w:rPr>
          <w:sz w:val="24"/>
          <w:szCs w:val="24"/>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8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wp:posOffset>
            </wp:positionH>
            <wp:positionV relativeFrom="paragraph">
              <wp:posOffset>426720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660" w:top="459" w:right="619" w:bottom="1440" w:gutter="0" w:footer="0" w:header="0"/>
        </w:sectPr>
      </w:pPr>
    </w:p>
    <w:bookmarkStart w:id="1" w:name="page2"/>
    <w:bookmarkEnd w:id="1"/>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5852160</wp:posOffset>
            </wp:positionH>
            <wp:positionV relativeFrom="page">
              <wp:posOffset>183515</wp:posOffset>
            </wp:positionV>
            <wp:extent cx="1551940" cy="506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551940" cy="5060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February 10, 2009</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article 28 of the Capital Markets Law and CONASEV Resolution for Material Events and Reserved Information and Other Communications number 107-2002-EF/94.10, as modified by CONASEV Resolution number 009-2003-EF/94.10, Credicorp Ltd. complies with notifying you of the following Material Event: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 session held on February 05, 2009, Credicorp’s Board of Directors agreed to reschedule the date for the Annual General Shareholder’s meeting from March 26, 2009 to March 31, 2009, at 12:00 noon, at the main offices of Banco de Credito del Peru, located at 156 Calle Centenario, Laderas de Melgarejo in La Molina, Lima.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agenda for the Annual General Shareholder Meeting would include the following matters:</w:t>
      </w:r>
    </w:p>
    <w:p>
      <w:pPr>
        <w:spacing w:after="0" w:line="252" w:lineRule="exact"/>
        <w:rPr>
          <w:sz w:val="20"/>
          <w:szCs w:val="20"/>
          <w:color w:val="auto"/>
        </w:rPr>
      </w:pPr>
    </w:p>
    <w:p>
      <w:pPr>
        <w:ind w:left="500" w:hanging="492"/>
        <w:spacing w:after="0"/>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and approval of the company’s Annual Report for the year ended on December 31, 2008.</w:t>
      </w:r>
    </w:p>
    <w:p>
      <w:pPr>
        <w:spacing w:after="0" w:line="27" w:lineRule="exact"/>
        <w:rPr>
          <w:rFonts w:ascii="Times New Roman" w:cs="Times New Roman" w:eastAsia="Times New Roman" w:hAnsi="Times New Roman"/>
          <w:sz w:val="18"/>
          <w:szCs w:val="18"/>
          <w:color w:val="auto"/>
        </w:rPr>
      </w:pPr>
    </w:p>
    <w:p>
      <w:pPr>
        <w:ind w:left="500" w:right="360" w:hanging="492"/>
        <w:spacing w:after="0" w:line="250"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and approval of the company’s consolidated financial statements and External Auditors’ report for the year ended December 31, 2008.</w:t>
      </w:r>
    </w:p>
    <w:p>
      <w:pPr>
        <w:ind w:left="500" w:right="380" w:hanging="492"/>
        <w:spacing w:after="0" w:line="261"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company’s External Auditors for 2009, as proposed by Credicorp´s Audit Committee, and the authorization for the Board to agree upon their fees.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Board has established that those shareholders who are officially registered as shareholders of the company on February 13, 2009 (“Record Date”) will be entitled to attend and vote in the above mentioned shareholder’s meeting.</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accordance with the company’s Bye-laws, if a quorum is not met in the first instance, the meeting will be postponed until April 06, 2009 at the same place and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Fernando Palao</w:t>
            </w:r>
          </w:p>
        </w:tc>
        <w:tc>
          <w:tcPr>
            <w:tcW w:w="8180" w:type="dxa"/>
            <w:vAlign w:val="bottom"/>
          </w:tcPr>
          <w:p>
            <w:pPr>
              <w:spacing w:after="0"/>
              <w:rPr>
                <w:sz w:val="18"/>
                <w:szCs w:val="18"/>
                <w:color w:val="auto"/>
              </w:rPr>
            </w:pPr>
          </w:p>
        </w:tc>
      </w:tr>
      <w:tr>
        <w:trPr>
          <w:trHeight w:val="218"/>
        </w:trPr>
        <w:tc>
          <w:tcPr>
            <w:tcW w:w="500" w:type="dxa"/>
            <w:vAlign w:val="bottom"/>
          </w:tcPr>
          <w:p>
            <w:pPr>
              <w:spacing w:after="0"/>
              <w:rPr>
                <w:sz w:val="18"/>
                <w:szCs w:val="18"/>
                <w:color w:val="auto"/>
              </w:rPr>
            </w:pPr>
          </w:p>
        </w:tc>
        <w:tc>
          <w:tcPr>
            <w:tcW w:w="10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Fernando Palao</w:t>
            </w:r>
          </w:p>
        </w:tc>
      </w:tr>
      <w:tr>
        <w:trPr>
          <w:trHeight w:val="234"/>
        </w:trPr>
        <w:tc>
          <w:tcPr>
            <w:tcW w:w="500" w:type="dxa"/>
            <w:vAlign w:val="bottom"/>
          </w:tcPr>
          <w:p>
            <w:pPr>
              <w:spacing w:after="0"/>
              <w:rPr>
                <w:sz w:val="20"/>
                <w:szCs w:val="20"/>
                <w:color w:val="auto"/>
              </w:rPr>
            </w:pPr>
          </w:p>
        </w:tc>
        <w:tc>
          <w:tcPr>
            <w:tcW w:w="10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Credicorp Ltd.</w:t>
            </w:r>
          </w:p>
        </w:tc>
      </w:tr>
      <w:tr>
        <w:trPr>
          <w:trHeight w:val="361"/>
        </w:trPr>
        <w:tc>
          <w:tcPr>
            <w:tcW w:w="50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c>
          <w:tcPr>
            <w:tcW w:w="8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Date: February 10, 2009</w:t>
      </w:r>
    </w:p>
    <w:p>
      <w:pPr>
        <w:spacing w:after="0" w:line="200" w:lineRule="exact"/>
        <w:rPr>
          <w:sz w:val="20"/>
          <w:szCs w:val="20"/>
          <w:color w:val="auto"/>
        </w:rPr>
      </w:pPr>
    </w:p>
    <w:p>
      <w:pPr>
        <w:spacing w:after="0" w:line="26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CREDICORP LTD.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17145</wp:posOffset>
            </wp:positionV>
            <wp:extent cx="35077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07740" cy="17145"/>
                    </a:xfrm>
                    <a:prstGeom prst="rect">
                      <a:avLst/>
                    </a:prstGeom>
                    <a:noFill/>
                  </pic:spPr>
                </pic:pic>
              </a:graphicData>
            </a:graphic>
          </wp:anchor>
        </w:drawing>
      </w:r>
    </w:p>
    <w:p>
      <w:pPr>
        <w:spacing w:after="0" w:line="1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b w:val="1"/>
          <w:bCs w:val="1"/>
          <w:color w:val="auto"/>
        </w:rPr>
        <w:t>Guillermo Castillo</w:t>
      </w:r>
    </w:p>
    <w:p>
      <w:pPr>
        <w:spacing w:after="0" w:line="3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0" w:lineRule="exact"/>
        <w:rPr>
          <w:sz w:val="20"/>
          <w:szCs w:val="20"/>
          <w:color w:val="auto"/>
        </w:rPr>
      </w:pPr>
    </w:p>
    <w:p>
      <w:pPr>
        <w:spacing w:after="0" w:line="299" w:lineRule="exact"/>
        <w:rPr>
          <w:sz w:val="20"/>
          <w:szCs w:val="20"/>
          <w:color w:val="auto"/>
        </w:rPr>
      </w:pPr>
    </w:p>
    <w:p>
      <w:pPr>
        <w:jc w:val="both"/>
        <w:ind w:right="460"/>
        <w:spacing w:after="0" w:line="257" w:lineRule="auto"/>
        <w:rPr>
          <w:sz w:val="20"/>
          <w:szCs w:val="20"/>
          <w:color w:val="auto"/>
        </w:rPr>
      </w:pPr>
      <w:r>
        <w:rPr>
          <w:rFonts w:ascii="Times New Roman" w:cs="Times New Roman" w:eastAsia="Times New Roman" w:hAnsi="Times New Roman"/>
          <w:sz w:val="18"/>
          <w:szCs w:val="18"/>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w:t>
      </w:r>
    </w:p>
    <w:p>
      <w:pPr>
        <w:spacing w:after="0" w:line="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ectPr>
          <w:pgSz w:w="11900" w:h="16838" w:orient="portrait"/>
          <w:cols w:equalWidth="0" w:num="1">
            <w:col w:w="11420"/>
          </w:cols>
          <w:pgMar w:left="240" w:top="360"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2019-12-14T06:45:11Z</dcterms:created>
  <dcterms:modified xsi:type="dcterms:W3CDTF">2019-12-14T06:45:11Z</dcterms:modified>
</cp:coreProperties>
</file>