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 the month of October 2014</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0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-438785</wp:posOffset>
            </wp:positionH>
            <wp:positionV relativeFrom="paragraph">
              <wp:posOffset>304165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19"/>
          </w:cols>
          <w:pgMar w:left="940" w:top="44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Lima, October 23,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the rules of the Regulation for Material Events and Restricted Information approved by SMV Resolution N° 005-2014-SMV/01, Credicorp hereby notifies you that: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subsidiary, Banco de Crédito del Perú, announced the agreement made by its subsidiaries Financiera EDYFICAR S.A and MIBANCO – Banco de la Microempresa S.A. to convene a Shareholder’s Meeting to approve the spin-off of a group of assets and liabilities of EDYFICAR to be merged with MIBANCO. The execution of this spin-off is subject to approval by the Superintendencia de Banca, Seguros y AFPs. The corresponding procedure will be communicated in due course by those involved.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Mario Ferrari</w:t>
      </w:r>
      <w:r>
        <w:rPr>
          <w:rFonts w:ascii="Arial" w:cs="Arial" w:eastAsia="Arial" w:hAnsi="Arial"/>
          <w:sz w:val="18"/>
          <w:szCs w:val="18"/>
          <w:color w:val="auto"/>
        </w:rPr>
        <w:t>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October 23, 2014</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Mario Ferrari</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538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68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2019-12-06T14:14:22Z</dcterms:created>
  <dcterms:modified xsi:type="dcterms:W3CDTF">2019-12-06T14:14:22Z</dcterms:modified>
</cp:coreProperties>
</file>