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6-K</w:t>
      </w: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Report of Foreign Private Issuer</w:t>
      </w:r>
    </w:p>
    <w:p>
      <w:pPr>
        <w:jc w:val="center"/>
        <w:ind w:right="-259"/>
        <w:spacing w:after="0" w:line="238" w:lineRule="auto"/>
        <w:rPr>
          <w:sz w:val="20"/>
          <w:szCs w:val="20"/>
          <w:color w:val="auto"/>
        </w:rPr>
      </w:pPr>
      <w:r>
        <w:rPr>
          <w:rFonts w:ascii="Arial" w:cs="Arial" w:eastAsia="Arial" w:hAnsi="Arial"/>
          <w:sz w:val="22"/>
          <w:szCs w:val="22"/>
          <w:color w:val="auto"/>
        </w:rPr>
        <w:t>Pursuant to Rule 13a-16 or 15d-16 under the</w:t>
      </w:r>
    </w:p>
    <w:p>
      <w:pPr>
        <w:jc w:val="center"/>
        <w:ind w:right="-259"/>
        <w:spacing w:after="0"/>
        <w:rPr>
          <w:sz w:val="20"/>
          <w:szCs w:val="20"/>
          <w:color w:val="auto"/>
        </w:rPr>
      </w:pPr>
      <w:r>
        <w:rPr>
          <w:rFonts w:ascii="Arial" w:cs="Arial" w:eastAsia="Arial" w:hAnsi="Arial"/>
          <w:sz w:val="22"/>
          <w:szCs w:val="22"/>
          <w:color w:val="auto"/>
        </w:rPr>
        <w:t>Securities Exchange Act of 1934</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 the month of March 2022</w:t>
      </w: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Commission File Number: 001-14014</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CREDICORP LTD.</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Of our subsidiary</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Banco de Credito del Peru:</w:t>
      </w:r>
    </w:p>
    <w:p>
      <w:pPr>
        <w:jc w:val="center"/>
        <w:ind w:right="-259"/>
        <w:spacing w:after="0" w:line="230" w:lineRule="auto"/>
        <w:rPr>
          <w:sz w:val="20"/>
          <w:szCs w:val="20"/>
          <w:color w:val="auto"/>
        </w:rPr>
      </w:pPr>
      <w:r>
        <w:rPr>
          <w:rFonts w:ascii="Arial" w:cs="Arial" w:eastAsia="Arial" w:hAnsi="Arial"/>
          <w:sz w:val="22"/>
          <w:szCs w:val="22"/>
          <w:b w:val="1"/>
          <w:bCs w:val="1"/>
          <w:color w:val="auto"/>
        </w:rPr>
        <w:t>Calle Centenario 156</w:t>
      </w:r>
    </w:p>
    <w:p>
      <w:pPr>
        <w:jc w:val="center"/>
        <w:ind w:right="-259"/>
        <w:spacing w:after="0" w:line="231" w:lineRule="auto"/>
        <w:rPr>
          <w:sz w:val="20"/>
          <w:szCs w:val="20"/>
          <w:color w:val="auto"/>
        </w:rPr>
      </w:pPr>
      <w:r>
        <w:rPr>
          <w:rFonts w:ascii="Arial" w:cs="Arial" w:eastAsia="Arial" w:hAnsi="Arial"/>
          <w:sz w:val="22"/>
          <w:szCs w:val="22"/>
          <w:b w:val="1"/>
          <w:bCs w:val="1"/>
          <w:color w:val="auto"/>
        </w:rPr>
        <w:t>La Molina</w:t>
      </w:r>
    </w:p>
    <w:p>
      <w:pPr>
        <w:jc w:val="center"/>
        <w:ind w:right="-259"/>
        <w:spacing w:after="0"/>
        <w:rPr>
          <w:sz w:val="20"/>
          <w:szCs w:val="20"/>
          <w:color w:val="auto"/>
        </w:rPr>
      </w:pPr>
      <w:r>
        <w:rPr>
          <w:rFonts w:ascii="Arial" w:cs="Arial" w:eastAsia="Arial" w:hAnsi="Arial"/>
          <w:sz w:val="22"/>
          <w:szCs w:val="22"/>
          <w:b w:val="1"/>
          <w:bCs w:val="1"/>
          <w:color w:val="auto"/>
        </w:rPr>
        <w:t xml:space="preserve">Lima 12, Peru </w:t>
      </w:r>
      <w:r>
        <w:rPr>
          <w:rFonts w:ascii="Arial" w:cs="Arial" w:eastAsia="Arial" w:hAnsi="Arial"/>
          <w:sz w:val="22"/>
          <w:szCs w:val="22"/>
          <w:color w:val="auto"/>
        </w:rPr>
        <w:t>(Address of principal executive office)</w:t>
      </w: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41" w:lineRule="exact"/>
        <w:rPr>
          <w:sz w:val="24"/>
          <w:szCs w:val="24"/>
          <w:color w:val="auto"/>
        </w:rPr>
      </w:pPr>
    </w:p>
    <w:p>
      <w:pPr>
        <w:jc w:val="center"/>
        <w:ind w:right="-259"/>
        <w:spacing w:after="0" w:line="253" w:lineRule="exact"/>
        <w:tabs>
          <w:tab w:leader="none" w:pos="20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35" w:right="5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5173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51735" cy="454660"/>
                    </a:xfrm>
                    <a:prstGeom prst="rect">
                      <a:avLst/>
                    </a:prstGeom>
                    <a:noFill/>
                  </pic:spPr>
                </pic:pic>
              </a:graphicData>
            </a:graphic>
          </wp:anchor>
        </w:drawing>
        <w:t>March 8,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 - SEC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Credicorp Ltd. (‘Credicorp’) notifies you, as a Material Event, that in its session held on February 24, 2022, Credicorp’s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unanimously agreed on the following:</w:t>
      </w:r>
    </w:p>
    <w:p>
      <w:pPr>
        <w:spacing w:after="0" w:line="222"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and Sustainability Report of Credicorp for the financial year ended December 31, 2021, together with their annexes, that the Chairman will present at the Annual General Meeting, called for 3:00pm (Peru time) on March 29, 2022 (‘AGM’).</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presentation at the AGM, by the Chairman of the Board, of the Sustainability Strategy of Credicorp.</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consolidated financial statements of Credicorp and its subsidiaries, for the financial year ended December 31, 2021, including the report of the external auditors Gaveglio Aparicio y Asociados Sociedad Civil de Responsabilidad Limitada, representatives of PricewaterhouseCoopers in Peru, to be presented at the AGM.</w:t>
      </w:r>
    </w:p>
    <w:p>
      <w:pPr>
        <w:spacing w:after="0" w:line="21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for consideration of the AGM (i) the appointment of Gaveglio Aparicio y Asociados Sociedad Civil de Responsabilidad Limitada, representatives of PricewaterhouseCoopers in Peru, as the external auditors of Credicorp and its subsidiaries for the financial year 2022, with the previous authorization of the Audit Committee; and (ii) the delegation of the power to set and approve fees for such audit services to the Board of Directors (for further delegation to the Audit Committee thereof).</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we hereby notify you as a Material Event, that between March 1, 2022 and March 4, 2022, Credicorp distributed the documents that support the proposal that will be addressed in the AGM.</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Documents mentioned above are available through the following hyperlink: https://credicorp.gcs-web.com/annual-materials.</w:t>
      </w:r>
    </w:p>
    <w:p>
      <w:pPr>
        <w:spacing w:after="0" w:line="26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in this Form 6-K (including any exhibit or appendix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Miriam Böttger</w:t>
      </w:r>
    </w:p>
    <w:p>
      <w:pPr>
        <w:spacing w:after="0" w:line="238" w:lineRule="auto"/>
        <w:rPr>
          <w:sz w:val="20"/>
          <w:szCs w:val="20"/>
          <w:color w:val="auto"/>
        </w:rPr>
      </w:pPr>
      <w:r>
        <w:rPr>
          <w:rFonts w:ascii="Arial" w:cs="Arial" w:eastAsia="Arial" w:hAnsi="Arial"/>
          <w:sz w:val="22"/>
          <w:szCs w:val="22"/>
          <w:color w:val="auto"/>
        </w:rPr>
        <w:t>Authorized Representative</w:t>
      </w:r>
    </w:p>
    <w:p>
      <w:pPr>
        <w:spacing w:after="0"/>
        <w:rPr>
          <w:sz w:val="20"/>
          <w:szCs w:val="20"/>
          <w:color w:val="auto"/>
        </w:rPr>
      </w:pPr>
      <w:r>
        <w:rPr>
          <w:rFonts w:ascii="Arial" w:cs="Arial" w:eastAsia="Arial" w:hAnsi="Arial"/>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March 8, 2022</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151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60"/>
      </w:cols>
      <w:pgMar w:left="320" w:top="11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2022-03-08T15:11:03Z</dcterms:created>
  <dcterms:modified xsi:type="dcterms:W3CDTF">2022-03-08T15:11:03Z</dcterms:modified>
</cp:coreProperties>
</file>