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April 2023</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327025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464185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April 13,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Credicorp Ltd. (the “Company”) notifies you as a Material Event that, in response to an official communication from the Peruvian </w:t>
      </w:r>
      <w:r>
        <w:rPr>
          <w:rFonts w:ascii="Times New Roman" w:cs="Times New Roman" w:eastAsia="Times New Roman" w:hAnsi="Times New Roman"/>
          <w:sz w:val="18"/>
          <w:szCs w:val="18"/>
          <w:i w:val="1"/>
          <w:iCs w:val="1"/>
          <w:color w:val="auto"/>
        </w:rPr>
        <w:t>Superintendencia del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Mercado de Valores </w:t>
      </w:r>
      <w:r>
        <w:rPr>
          <w:rFonts w:ascii="Times New Roman" w:cs="Times New Roman" w:eastAsia="Times New Roman" w:hAnsi="Times New Roman"/>
          <w:sz w:val="18"/>
          <w:szCs w:val="18"/>
          <w:color w:val="auto"/>
        </w:rPr>
        <w:t>(Securities Market Superintendency or “SMV”) with respect to the Company not filing with the SMV, within the time established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the unconsolidated individual (standalone) financial statements of Credicorp Ltd. as of and for the year ended December 31, 2022, the Company has sent on April 12, 2023, the following response to the SMV (translated into English from the original in Spanish), which response was published in the Peruvian market in the form of an Hecho de Importancia (Relevant Fact Notice or “HdI”):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0712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225"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SMV requirements, we hereby comply with relevant disclosure regulations by informing as a HdI that Credicorp Ltd. (“Credicorp”) has not submitted its annual audited individual or separate financial statements as of December 31, 2022 within the deadline. As requested by the Peruvian </w:t>
      </w:r>
      <w:r>
        <w:rPr>
          <w:rFonts w:ascii="Times New Roman" w:cs="Times New Roman" w:eastAsia="Times New Roman" w:hAnsi="Times New Roman"/>
          <w:sz w:val="18"/>
          <w:szCs w:val="18"/>
          <w:i w:val="1"/>
          <w:iCs w:val="1"/>
          <w:color w:val="auto"/>
        </w:rPr>
        <w:t>Superintendencia del Mercado de Valores</w:t>
      </w:r>
      <w:r>
        <w:rPr>
          <w:rFonts w:ascii="Times New Roman" w:cs="Times New Roman" w:eastAsia="Times New Roman" w:hAnsi="Times New Roman"/>
          <w:sz w:val="18"/>
          <w:szCs w:val="18"/>
          <w:color w:val="auto"/>
        </w:rPr>
        <w:t xml:space="preserve"> (Securities Market Superintendency or “SMV”) Credicorp will present this information to the market in the shortest time.</w:t>
      </w:r>
    </w:p>
    <w:p>
      <w:pPr>
        <w:spacing w:after="0" w:line="180"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It must be noted that by means of a HdI dated February 23, 2023, our company has complied with presenting to the market the annual audited consolidated financial statements of Credicorp and its subsidiaries for the year ended as of December 31, 2022, duly approved by the Board of Directors of the company, as well as the opinion of the external auditors Gaveglio Aparicio and Asociados Sociedad Civil de Responsabilidad Limitada, representatives in Peru of PricewaterhouseCoopers. In the opinion of the external auditors Gaveglio Aparicio and Asociados Sociedad Civil de Responsabilidad Limitada, representatives in Peru of PricewaterhouseCoopers, “the consolidated financial statements present fairly, in all material respects, the consolidated financial position of </w:t>
      </w:r>
      <w:r>
        <w:rPr>
          <w:rFonts w:ascii="Times New Roman" w:cs="Times New Roman" w:eastAsia="Times New Roman" w:hAnsi="Times New Roman"/>
          <w:sz w:val="18"/>
          <w:szCs w:val="18"/>
          <w:b w:val="1"/>
          <w:bCs w:val="1"/>
          <w:color w:val="auto"/>
        </w:rPr>
        <w:t>Credicorp Ltd. and subsidiaries</w:t>
      </w:r>
      <w:r>
        <w:rPr>
          <w:rFonts w:ascii="Times New Roman" w:cs="Times New Roman" w:eastAsia="Times New Roman" w:hAnsi="Times New Roman"/>
          <w:sz w:val="18"/>
          <w:szCs w:val="18"/>
          <w:color w:val="auto"/>
        </w:rPr>
        <w:t xml:space="preserve"> (the Group) as of December 31, 2022, and their consolidated financial performance and its consolidated cash flows for the year then ended in accordance with the International Financial Reporting Standards (IFRS) issued by the International Accounting Standards Board (IASB).”</w:t>
      </w:r>
    </w:p>
    <w:p>
      <w:pPr>
        <w:spacing w:after="0" w:line="192"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In addition, by means of HdI dated February 23, 2023, Credicorp has complied with presenting to the market its Annual Report for the financial year 2022 and its annexes, document called Annual and Sustainability Report of Credicorp, duly approved by its Board of Directors.</w:t>
      </w:r>
    </w:p>
    <w:p>
      <w:pPr>
        <w:spacing w:after="0" w:line="162"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color w:val="auto"/>
        </w:rPr>
        <w:t>Both the annual audited consolidated financial statements for the year ended as of December 31, 2022, as well as the Annual and Sustainability Report of Credicorp for the financial year 2022, are available to investors through the SMV’s and Credicorp’s websites.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487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87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April 13, 2023</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25203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2023-04-13T05:57:02Z</dcterms:created>
  <dcterms:modified xsi:type="dcterms:W3CDTF">2023-04-13T05:57:02Z</dcterms:modified>
</cp:coreProperties>
</file>