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September 2012</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45"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26185" cy="3517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September 27</w:t>
      </w:r>
      <w:r>
        <w:rPr>
          <w:rFonts w:ascii="Arial" w:cs="Arial" w:eastAsia="Arial" w:hAnsi="Arial"/>
          <w:sz w:val="30"/>
          <w:szCs w:val="30"/>
          <w:color w:val="auto"/>
          <w:vertAlign w:val="superscript"/>
        </w:rPr>
        <w:t>th</w:t>
      </w:r>
      <w:r>
        <w:rPr>
          <w:rFonts w:ascii="Arial" w:cs="Arial" w:eastAsia="Arial" w:hAnsi="Arial"/>
          <w:sz w:val="18"/>
          <w:szCs w:val="18"/>
          <w:color w:val="auto"/>
        </w:rPr>
        <w:t>, 2012</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Credicop’s Board of Directors, at its session held on September 26</w:t>
      </w:r>
      <w:r>
        <w:rPr>
          <w:rFonts w:ascii="Arial" w:cs="Arial" w:eastAsia="Arial" w:hAnsi="Arial"/>
          <w:sz w:val="30"/>
          <w:szCs w:val="30"/>
          <w:color w:val="auto"/>
          <w:vertAlign w:val="superscript"/>
        </w:rPr>
        <w:t>th</w:t>
      </w:r>
      <w:r>
        <w:rPr>
          <w:rFonts w:ascii="Arial" w:cs="Arial" w:eastAsia="Arial" w:hAnsi="Arial"/>
          <w:sz w:val="18"/>
          <w:szCs w:val="18"/>
          <w:color w:val="auto"/>
        </w:rPr>
        <w:t>, unanimously ratified the decision made by the Executive Committee on September 19</w:t>
      </w:r>
      <w:r>
        <w:rPr>
          <w:rFonts w:ascii="Arial" w:cs="Arial" w:eastAsia="Arial" w:hAnsi="Arial"/>
          <w:sz w:val="30"/>
          <w:szCs w:val="30"/>
          <w:color w:val="auto"/>
          <w:vertAlign w:val="superscript"/>
        </w:rPr>
        <w:t>th</w:t>
      </w:r>
      <w:r>
        <w:rPr>
          <w:rFonts w:ascii="Arial" w:cs="Arial" w:eastAsia="Arial" w:hAnsi="Arial"/>
          <w:sz w:val="18"/>
          <w:szCs w:val="18"/>
          <w:color w:val="auto"/>
        </w:rPr>
        <w:t>, to make a capital contribution up to US$ 210 million (two hundred and ten million and 00 /100 US$) to its subsidiary "Credicorp Investments Ltd." so that the latter can acquire, after obtaining the necessary approvals from regulators in Peru, Colombia and Chile, the shares that Banco de Credito del Peru holds in BCP Colombia S.A.S and BCP Chile S.A, owners of 51% of the shares of Correval Sociedad Comisionista de Bolsa S.A. and 60.6% of the shares of Inversiones IM Trust S.A.,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Mario Ferrari Quiñe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September 27, 2012</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2019-12-09T11:31:16Z</dcterms:created>
  <dcterms:modified xsi:type="dcterms:W3CDTF">2019-12-09T11:31:16Z</dcterms:modified>
</cp:coreProperties>
</file>