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228600</wp:posOffset>
            </wp:positionV>
            <wp:extent cx="726376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April 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240665</wp:posOffset>
            </wp:positionV>
            <wp:extent cx="72637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CREDICORP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x 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o No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-288290</wp:posOffset>
            </wp:positionH>
            <wp:positionV relativeFrom="paragraph">
              <wp:posOffset>544830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700" w:top="445" w:right="599" w:bottom="1440" w:gutter="0" w:footer="0" w:header="0"/>
        </w:sectPr>
      </w:pPr>
    </w:p>
    <w:bookmarkStart w:id="1" w:name="page2"/>
    <w:bookmarkEnd w:id="1"/>
    <w:p>
      <w:pPr>
        <w:spacing w:after="0" w:line="6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5346065</wp:posOffset>
            </wp:positionH>
            <wp:positionV relativeFrom="page">
              <wp:posOffset>243205</wp:posOffset>
            </wp:positionV>
            <wp:extent cx="2058035" cy="582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Lima, April 25, 2011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COMISIÓN NACIONAL SUPERVISORA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 EMPRESAS Y VALORES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CONASEV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Att. Registro Público del Mercado de Valores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 MATERIAL EVENT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article 28 of the Capital Markets Law, approved by Law DS N ° 093-2002-EF and CONASEV Resolution for Material Events, Reserved Information and Other Communications N° 107-2002-EF/94.10, as modified by CONASEV Resolution N° 009-2003-EF/94.10, Credicorp Ltd. complies with notifying you of the following Material Event.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order to restructure its shareholdings in the companies of Grupo Pacífico Asegurador, and as authorized by Resolution SBS No. 4913-2011, Credicorp will proceed to transfer its shares of El Pacífcio Vida Compañía de Seguros y Reaseguros (PV) which represent 38% of PV’s social capital, to its subsidiary El Pacífico Peruano Suiza Compañía de Seguros y Reaseguros, resulting in the latter owning 100% of PV.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Mario Ferrari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</wp:posOffset>
            </wp:positionH>
            <wp:positionV relativeFrom="paragraph">
              <wp:posOffset>-10160</wp:posOffset>
            </wp:positionV>
            <wp:extent cx="7499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Stock Market Representative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415290</wp:posOffset>
            </wp:positionV>
            <wp:extent cx="72504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2" w:name="page3"/>
    <w:bookmarkEnd w:id="2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48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April 25, 2011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Giuliana Cuzquen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23495</wp:posOffset>
            </wp:positionV>
            <wp:extent cx="252984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Giuliana Cuzquen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415290</wp:posOffset>
            </wp:positionV>
            <wp:extent cx="7250430" cy="21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780"/>
      </w:cols>
      <w:pgMar w:left="240" w:top="513" w:right="8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2019-12-10T15:09:46Z</dcterms:created>
  <dcterms:modified xsi:type="dcterms:W3CDTF">2019-12-10T15:09:46Z</dcterms:modified>
</cp:coreProperties>
</file>