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October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6117590</wp:posOffset>
            </wp:positionH>
            <wp:positionV relativeFrom="page">
              <wp:posOffset>243205</wp:posOffset>
            </wp:positionV>
            <wp:extent cx="128651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 Molina, October 6, 2009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subsidiary, Banco de Crédito del Perú has reached an agreement with International Finance Corporation (IFC) to acquire 5.4% of the total stock of Financiera Edyficar at a value of US$ 5’191,728.57 which Banco de Crédito del Perú will pay with its own funds.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this transaction and the acquisitions agreed previously with Cooperative for Assistance and Relief Everywhere Inc. (Care) and Microvest I, L.P., Banco de Crédito del Perú will hold approximately 91.1% of total stock of Financiera Edyficar.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Banco de Crédito del Perú has received on October 2, 2009 the communication N° 47394-2009-SBS from the Superintendency of Banks, Insurance and Pension Funds, which indicates that under the SBS Resolution N° 13424-2009 the Superintendency authorizes Banco de Crédito del Perú to acquire up to 100% of the total stock of Financiera Edyficar.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Fernando Palao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6, 2009</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2019-12-10T13:49:29Z</dcterms:created>
  <dcterms:modified xsi:type="dcterms:W3CDTF">2019-12-10T13:49:29Z</dcterms:modified>
</cp:coreProperties>
</file>