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July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46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2548890</wp:posOffset>
            </wp:positionV>
            <wp:extent cx="7132320" cy="1988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hereby notify you as a Material Event that the company S&amp;P Global Ratings published its long-term credit risk rating ‘BBB’ rating and stable outlook of Credicorp Ltd.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information in this Form 6-K regarding the rating of S&amp;P Global Ratings has been disclosed in Peru in conformity with Peruvian law (Article 28 of the Capital Markets Law, approved by Supreme Decree 093-2002-EF, and by the Regulation of the Disclosure of Material Facts and Reserved Information approved by Resolution 005-2014-SMV/01 of the Peruvian Capital Markets Superintendency). The ratings of S&amp;P Global Ratings do not necessarily represent the opinion of Credicorp Ltd. nor should they be seen as a recommendation to buy shares or any other securities of Credicorp Ltd. Credicorp Ltd. accepts no liability for the completeness, timeliness, accuracy or selection of such information.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ectPr>
          <w:pgSz w:w="11900" w:h="16909" w:orient="portrait"/>
          <w:cols w:equalWidth="0" w:num="1">
            <w:col w:w="11240"/>
          </w:cols>
          <w:pgMar w:left="320" w:top="1440" w:right="33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29,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2020-07-30T05:31:38Z</dcterms:created>
  <dcterms:modified xsi:type="dcterms:W3CDTF">2020-07-30T05:31:38Z</dcterms:modified>
</cp:coreProperties>
</file>