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November 18, 2015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Kevin W. Vaughn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Financial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76" w:right="23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20-F for the Fiscal Year Ended December 31, 2014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April 28,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Response dated October 7,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001-14014</w:t>
      </w:r>
    </w:p>
    <w:p>
      <w:pPr>
        <w:spacing w:after="0" w:line="200" w:lineRule="exact"/>
        <w:rPr>
          <w:sz w:val="24"/>
          <w:szCs w:val="24"/>
          <w:color w:val="auto"/>
        </w:rPr>
      </w:pPr>
    </w:p>
    <w:p>
      <w:pPr>
        <w:sectPr>
          <w:pgSz w:w="11900" w:h="16838" w:orient="portrait"/>
          <w:cols w:equalWidth="0" w:num="2">
            <w:col w:w="900" w:space="400"/>
            <w:col w:w="10120"/>
          </w:cols>
          <w:pgMar w:left="240" w:top="476"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On behalf of Credicorp Ltd. (“Credicorp” or the “Company”), we are responding to the letter of the Staff of the Division of Corporation Finance (the “Staff”) dated October 21, 2015, regarding your information request and inquiries for a better understanding of Credicorp’s disclosure. We set forth below Credicorp’s response to the comments in the mentioned letter. For ease of reference, we have included the Staff’s comments in bold in their entirety, preceding our responses.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4 – 4.B. Business Overview, page 31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13.3 Loan Portfolio, page 124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19 – Exhibits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Page F-64</w:t>
      </w:r>
    </w:p>
    <w:p>
      <w:pPr>
        <w:spacing w:after="0" w:line="207" w:lineRule="exact"/>
        <w:rPr>
          <w:sz w:val="24"/>
          <w:szCs w:val="24"/>
          <w:color w:val="auto"/>
        </w:rPr>
      </w:pPr>
    </w:p>
    <w:p>
      <w:pPr>
        <w:ind w:firstLine="8"/>
        <w:spacing w:after="0" w:line="282"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comment 1. You state that past due loans as defined throughout your filing are presented in accordance with IFRS 7. Please address the following:</w:t>
      </w:r>
    </w:p>
    <w:p>
      <w:pPr>
        <w:spacing w:after="0" w:line="161" w:lineRule="exact"/>
        <w:rPr>
          <w:rFonts w:ascii="Arial" w:cs="Arial" w:eastAsia="Arial" w:hAnsi="Arial"/>
          <w:sz w:val="18"/>
          <w:szCs w:val="18"/>
          <w:b w:val="1"/>
          <w:bCs w:val="1"/>
          <w:color w:val="auto"/>
        </w:rPr>
      </w:pPr>
    </w:p>
    <w:p>
      <w:pPr>
        <w:jc w:val="both"/>
        <w:ind w:left="660" w:hanging="328"/>
        <w:spacing w:after="0" w:line="255" w:lineRule="auto"/>
        <w:tabs>
          <w:tab w:leader="none" w:pos="66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reconcile past due loans of S/.2,009.3 million as disclosed on page 124 to the tabular presentation on page F-128, which presents past due but impaired loans of S/.2,469.1 million and impaired loans of S/.3,010.2 million for the year ended December 31, 2014. In this regard, we note your disclosure on page 132 states that impaired loans are classified as substandard, doubtful or loss, which are all considered as past due loans as defined on pages 131-132.</w:t>
      </w:r>
    </w:p>
    <w:p>
      <w:pPr>
        <w:spacing w:after="0" w:line="2" w:lineRule="exact"/>
        <w:rPr>
          <w:rFonts w:ascii="Arial" w:cs="Arial" w:eastAsia="Arial" w:hAnsi="Arial"/>
          <w:sz w:val="18"/>
          <w:szCs w:val="18"/>
          <w:b w:val="1"/>
          <w:bCs w:val="1"/>
          <w:color w:val="auto"/>
        </w:rPr>
      </w:pPr>
    </w:p>
    <w:p>
      <w:pPr>
        <w:jc w:val="both"/>
        <w:ind w:left="660" w:hanging="328"/>
        <w:spacing w:after="0" w:line="250" w:lineRule="auto"/>
        <w:tabs>
          <w:tab w:leader="none" w:pos="66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 your proposed disclosure you state that a loan is classified as past-due mainly based on three aspects: (i) the number of days as past due, based on the due date contractually agreed; (ii) the banking subsidiary and (iii) the type of loan. Explain to us how this policy is consistent with the guidance in IFRS 7, which defines past due loans as a financial asset that is past due when a counterparty has failed to make a payment when contractually due.</w:t>
      </w:r>
    </w:p>
    <w:p>
      <w:pPr>
        <w:spacing w:after="0" w:line="1" w:lineRule="exact"/>
        <w:rPr>
          <w:rFonts w:ascii="Arial" w:cs="Arial" w:eastAsia="Arial" w:hAnsi="Arial"/>
          <w:sz w:val="18"/>
          <w:szCs w:val="18"/>
          <w:b w:val="1"/>
          <w:bCs w:val="1"/>
          <w:color w:val="auto"/>
        </w:rPr>
      </w:pPr>
    </w:p>
    <w:p>
      <w:pPr>
        <w:jc w:val="both"/>
        <w:ind w:left="660" w:right="20" w:hanging="328"/>
        <w:spacing w:after="0" w:line="277" w:lineRule="auto"/>
        <w:tabs>
          <w:tab w:leader="none" w:pos="660" w:val="left"/>
        </w:tabs>
        <w:numPr>
          <w:ilvl w:val="1"/>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You also proposed to expand your disclosure on page F-64 to include the tabular presentation in Appendix A, which discloses loans by the number of days past due. Consistent with the disclosure on page 135, please confirm that you will also discuss your policy in determining when past due loans represent only the past due installment or the entire outstanding amount of the past due loan.</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Below please find our responses to your questions and the requested additional discussion: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Reconciliation of the past due loans shown on page 124 and presenting page F-128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and narrative below summarizes the reconciliation: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(Nuevos soles in thousand)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Loans with delay in</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payments of one day or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 but</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more but not internal</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Internal overdue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past due</w:t>
            </w:r>
          </w:p>
        </w:tc>
      </w:tr>
      <w:tr>
        <w:trPr>
          <w:trHeight w:val="234"/>
        </w:trPr>
        <w:tc>
          <w:tcPr>
            <w:tcW w:w="238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Current</w:t>
            </w: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impaired</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overdue loans</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loans(*)</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loans (IFRS 7)</w:t>
            </w:r>
          </w:p>
        </w:tc>
      </w:tr>
      <w:tr>
        <w:trPr>
          <w:trHeight w:val="432"/>
        </w:trPr>
        <w:tc>
          <w:tcPr>
            <w:tcW w:w="238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(B)</w:t>
            </w:r>
          </w:p>
        </w:tc>
        <w:tc>
          <w:tcPr>
            <w:tcW w:w="2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(C)</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(A) + (B) + (C) + (D)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 + (D)</w:t>
            </w:r>
          </w:p>
        </w:tc>
      </w:tr>
      <w:tr>
        <w:trPr>
          <w:trHeight w:val="178"/>
        </w:trPr>
        <w:tc>
          <w:tcPr>
            <w:tcW w:w="23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Neither past due nor</w:t>
            </w: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impaired:</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73,487,328</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73,487,328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Normal</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71,917,533</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71,917,533</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Potential Problem</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1,569,795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Past due but not impaired: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2,283,020</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186,031</w:t>
            </w:r>
          </w:p>
        </w:tc>
        <w:tc>
          <w:tcPr>
            <w:tcW w:w="2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2,469,051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2,469,051</w:t>
            </w: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Normal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2,239,131</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98,669</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2,337,801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2,337,801</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Potential Problem</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43,889</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87,362</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131,250</w:t>
            </w:r>
          </w:p>
        </w:tc>
        <w:tc>
          <w:tcPr>
            <w:tcW w:w="1120" w:type="dxa"/>
            <w:vAlign w:val="bottom"/>
          </w:tcPr>
          <w:p>
            <w:pPr>
              <w:jc w:val="right"/>
              <w:spacing w:after="0"/>
              <w:rPr>
                <w:sz w:val="20"/>
                <w:szCs w:val="20"/>
                <w:color w:val="auto"/>
              </w:rPr>
            </w:pPr>
            <w:r>
              <w:rPr>
                <w:rFonts w:ascii="Arial" w:cs="Arial" w:eastAsia="Arial" w:hAnsi="Arial"/>
                <w:sz w:val="18"/>
                <w:szCs w:val="18"/>
                <w:color w:val="auto"/>
              </w:rPr>
              <w:t>131,250</w:t>
            </w: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608,715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578,200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1,823,297</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3,010,212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2,401,497</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Substandard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264,627</w:t>
            </w:r>
          </w:p>
        </w:tc>
        <w:tc>
          <w:tcPr>
            <w:tcW w:w="1820" w:type="dxa"/>
            <w:vAlign w:val="bottom"/>
          </w:tcPr>
          <w:p>
            <w:pPr>
              <w:jc w:val="right"/>
              <w:spacing w:after="0"/>
              <w:rPr>
                <w:sz w:val="20"/>
                <w:szCs w:val="20"/>
                <w:color w:val="auto"/>
              </w:rPr>
            </w:pPr>
            <w:r>
              <w:rPr>
                <w:rFonts w:ascii="Arial" w:cs="Arial" w:eastAsia="Arial" w:hAnsi="Arial"/>
                <w:sz w:val="18"/>
                <w:szCs w:val="18"/>
                <w:color w:val="auto"/>
              </w:rPr>
              <w:t>217,256</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254,205</w:t>
            </w:r>
          </w:p>
        </w:tc>
        <w:tc>
          <w:tcPr>
            <w:tcW w:w="2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736,088</w:t>
            </w:r>
          </w:p>
        </w:tc>
        <w:tc>
          <w:tcPr>
            <w:tcW w:w="1120" w:type="dxa"/>
            <w:vAlign w:val="bottom"/>
          </w:tcPr>
          <w:p>
            <w:pPr>
              <w:jc w:val="right"/>
              <w:spacing w:after="0"/>
              <w:rPr>
                <w:sz w:val="20"/>
                <w:szCs w:val="20"/>
                <w:color w:val="auto"/>
              </w:rPr>
            </w:pPr>
            <w:r>
              <w:rPr>
                <w:rFonts w:ascii="Arial" w:cs="Arial" w:eastAsia="Arial" w:hAnsi="Arial"/>
                <w:sz w:val="18"/>
                <w:szCs w:val="18"/>
                <w:color w:val="auto"/>
              </w:rPr>
              <w:t>471,461</w:t>
            </w: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Doubtful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277,888</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213,991</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562,662</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1,054,541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776,653</w:t>
            </w:r>
          </w:p>
        </w:tc>
        <w:tc>
          <w:tcPr>
            <w:tcW w:w="100" w:type="dxa"/>
            <w:vAlign w:val="bottom"/>
            <w:shd w:val="clear" w:color="auto" w:fill="CCEEFF"/>
          </w:tcPr>
          <w:p>
            <w:pPr>
              <w:spacing w:after="0"/>
              <w:rPr>
                <w:sz w:val="18"/>
                <w:szCs w:val="18"/>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66,200</w:t>
            </w:r>
          </w:p>
        </w:tc>
        <w:tc>
          <w:tcPr>
            <w:tcW w:w="1820" w:type="dxa"/>
            <w:vAlign w:val="bottom"/>
          </w:tcPr>
          <w:p>
            <w:pPr>
              <w:jc w:val="right"/>
              <w:spacing w:after="0"/>
              <w:rPr>
                <w:sz w:val="20"/>
                <w:szCs w:val="20"/>
                <w:color w:val="auto"/>
              </w:rPr>
            </w:pPr>
            <w:r>
              <w:rPr>
                <w:rFonts w:ascii="Arial" w:cs="Arial" w:eastAsia="Arial" w:hAnsi="Arial"/>
                <w:sz w:val="18"/>
                <w:szCs w:val="18"/>
                <w:color w:val="auto"/>
              </w:rPr>
              <w:t>146,953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1,006,430</w:t>
            </w:r>
          </w:p>
        </w:tc>
        <w:tc>
          <w:tcPr>
            <w:tcW w:w="20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1,219,583</w:t>
            </w:r>
          </w:p>
        </w:tc>
        <w:tc>
          <w:tcPr>
            <w:tcW w:w="1120" w:type="dxa"/>
            <w:vAlign w:val="bottom"/>
          </w:tcPr>
          <w:p>
            <w:pPr>
              <w:jc w:val="right"/>
              <w:spacing w:after="0"/>
              <w:rPr>
                <w:sz w:val="20"/>
                <w:szCs w:val="20"/>
                <w:color w:val="auto"/>
              </w:rPr>
            </w:pPr>
            <w:r>
              <w:rPr>
                <w:rFonts w:ascii="Arial" w:cs="Arial" w:eastAsia="Arial" w:hAnsi="Arial"/>
                <w:sz w:val="18"/>
                <w:szCs w:val="18"/>
                <w:color w:val="auto"/>
              </w:rPr>
              <w:t>1,153,383</w:t>
            </w:r>
          </w:p>
        </w:tc>
        <w:tc>
          <w:tcPr>
            <w:tcW w:w="100" w:type="dxa"/>
            <w:vAlign w:val="bottom"/>
          </w:tcPr>
          <w:p>
            <w:pPr>
              <w:spacing w:after="0"/>
              <w:rPr>
                <w:sz w:val="19"/>
                <w:szCs w:val="19"/>
                <w:color w:val="auto"/>
              </w:rPr>
            </w:pP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73,487,328</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608,715</w:t>
            </w:r>
          </w:p>
        </w:tc>
        <w:tc>
          <w:tcPr>
            <w:tcW w:w="1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2,861,220</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2,009,328</w:t>
            </w: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78,966,591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4,870,548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700" w:firstLine="8"/>
        <w:spacing w:after="0" w:line="50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overdue loans considered past due loans under internal guidelines, see definition provided in our letter dated October 7, 2015 (Item 1 A). As shown in the above table, loans considered “past due but not impaired” and “impaired” included:</w:t>
      </w:r>
    </w:p>
    <w:p>
      <w:pPr>
        <w:ind w:left="660" w:right="2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Loans considered as current, but which based on customer qualitative criteria may show indicators of impairment (S/.608.7 million). The current but impaired loans include mainly Commercial loans and Micro-business loans;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Loans with delay in payment of one day or more that, based on our internal guidelines, are not considered overdue (S/.2,861.2 million);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Internal overdue loans that are mainly classified as impaired loans (S/.2,009.3 million).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criteria used to classify the portfolio by type of risk consider not only the number of days a loan is past due but also includes (among other factors):</w:t>
      </w:r>
    </w:p>
    <w:p>
      <w:pPr>
        <w:spacing w:after="0" w:line="237"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qualitative analysis of each customer, including its financial condition, which includes cash flow projections to assets the customer’s ability to comply with payment schedules;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economic environment of the market in which the customer operates and the customer’s financial performance in that market;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customer’s market reputation.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breakdown of the portfolio based on the type of loan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(Nuevos soles in thousand)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Loans with delay in</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payments of one day or</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Current but</w:t>
            </w: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more but not internal</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Internal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Current</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impaired</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overdue loans</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overdue loans</w:t>
            </w:r>
          </w:p>
        </w:tc>
        <w:tc>
          <w:tcPr>
            <w:tcW w:w="168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w:t>
            </w:r>
          </w:p>
        </w:tc>
      </w:tr>
      <w:tr>
        <w:trPr>
          <w:trHeight w:val="432"/>
        </w:trPr>
        <w:tc>
          <w:tcPr>
            <w:tcW w:w="314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(A)</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(C)</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6"/>
              </w:rPr>
              <w:t>(A) + (B) + (C) + (D)</w:t>
            </w: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Commercial loans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41,626,270</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222,559</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1,065,800</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620,770</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43,535,399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b w:val="1"/>
                <w:bCs w:val="1"/>
                <w:color w:val="auto"/>
              </w:rPr>
              <w:t>Residential mortgage loans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11,406,354</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79,262</w:t>
            </w:r>
          </w:p>
        </w:tc>
        <w:tc>
          <w:tcPr>
            <w:tcW w:w="1820" w:type="dxa"/>
            <w:vAlign w:val="bottom"/>
          </w:tcPr>
          <w:p>
            <w:pPr>
              <w:jc w:val="right"/>
              <w:spacing w:after="0"/>
              <w:rPr>
                <w:sz w:val="20"/>
                <w:szCs w:val="20"/>
                <w:color w:val="auto"/>
              </w:rPr>
            </w:pPr>
            <w:r>
              <w:rPr>
                <w:rFonts w:ascii="Arial" w:cs="Arial" w:eastAsia="Arial" w:hAnsi="Arial"/>
                <w:sz w:val="18"/>
                <w:szCs w:val="18"/>
                <w:color w:val="auto"/>
              </w:rPr>
              <w:t>786,818</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225,758</w:t>
            </w: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12,498,191</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loans</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10,476,322</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116,610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730,641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323,647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11,647,219</w:t>
            </w:r>
          </w:p>
        </w:tc>
      </w:tr>
      <w:tr>
        <w:trPr>
          <w:trHeight w:val="230"/>
        </w:trPr>
        <w:tc>
          <w:tcPr>
            <w:tcW w:w="3140" w:type="dxa"/>
            <w:vAlign w:val="bottom"/>
          </w:tcPr>
          <w:p>
            <w:pPr>
              <w:spacing w:after="0"/>
              <w:rPr>
                <w:sz w:val="20"/>
                <w:szCs w:val="20"/>
                <w:color w:val="auto"/>
              </w:rPr>
            </w:pPr>
            <w:r>
              <w:rPr>
                <w:rFonts w:ascii="Arial" w:cs="Arial" w:eastAsia="Arial" w:hAnsi="Arial"/>
                <w:sz w:val="18"/>
                <w:szCs w:val="18"/>
                <w:b w:val="1"/>
                <w:bCs w:val="1"/>
                <w:color w:val="auto"/>
              </w:rPr>
              <w:t>Micro-business loans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9,978,382</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190,284</w:t>
            </w:r>
          </w:p>
        </w:tc>
        <w:tc>
          <w:tcPr>
            <w:tcW w:w="1820" w:type="dxa"/>
            <w:vAlign w:val="bottom"/>
          </w:tcPr>
          <w:p>
            <w:pPr>
              <w:jc w:val="right"/>
              <w:spacing w:after="0"/>
              <w:rPr>
                <w:sz w:val="20"/>
                <w:szCs w:val="20"/>
                <w:color w:val="auto"/>
              </w:rPr>
            </w:pPr>
            <w:r>
              <w:rPr>
                <w:rFonts w:ascii="Arial" w:cs="Arial" w:eastAsia="Arial" w:hAnsi="Arial"/>
                <w:sz w:val="18"/>
                <w:szCs w:val="18"/>
                <w:color w:val="auto"/>
              </w:rPr>
              <w:t>277,961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839,154</w:t>
            </w:r>
          </w:p>
        </w:tc>
        <w:tc>
          <w:tcPr>
            <w:tcW w:w="2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11,285,782</w:t>
            </w:r>
          </w:p>
        </w:tc>
      </w:tr>
      <w:tr>
        <w:trPr>
          <w:trHeight w:val="210"/>
        </w:trPr>
        <w:tc>
          <w:tcPr>
            <w:tcW w:w="3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73,487,328</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608,715</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2,861,220</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2,009,328</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78,966,591</w:t>
            </w:r>
          </w:p>
        </w:tc>
        <w:tc>
          <w:tcPr>
            <w:tcW w:w="100" w:type="dxa"/>
            <w:vAlign w:val="bottom"/>
            <w:tcBorders>
              <w:top w:val="single" w:sz="8" w:color="CCEEFF"/>
            </w:tcBorders>
            <w:shd w:val="clear" w:color="auto" w:fill="CCEEFF"/>
          </w:tcPr>
          <w:p>
            <w:pPr>
              <w:spacing w:after="0"/>
              <w:rPr>
                <w:sz w:val="18"/>
                <w:szCs w:val="18"/>
                <w:color w:val="auto"/>
              </w:rPr>
            </w:pPr>
          </w:p>
        </w:tc>
      </w:tr>
      <w:tr>
        <w:trPr>
          <w:trHeight w:val="669"/>
        </w:trPr>
        <w:tc>
          <w:tcPr>
            <w:tcW w:w="3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Adequacy of the application of IFRS 7</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stated in our letter dated October 7, 2015 (in item 1A), the definition we have provided of “past due loans” is based on our internal guidelines because we neither begin collection procedures nor bring any court action against a debtor until it fails to meet the past due minimum criteria established in our guidelines.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sense, the reconciliation in the table shown above, discloses (i) the amounts past due from the first day of delay in payment (which amounts to S/.2,861.2 million); and (ii) the amounts of internal overdue loans (which amounts to S/.2,009.3 million). The sum of these two columns reflects “past due” loans consistent with IFRS 7. We will clarify this disclosure in future filings by (i) referring to loans currently disclosed as “past due” as internal overdue loans, and (ii) providing a reconciliation similar to the table above to disclose “past due” in accordance with IFRS 7, which considers the default from one day, adding a column for “past due”. We would add disclosure in the notes to clarify the differences between past due loans (in accordance with IFRS 7) and internal overdue loans.</w:t>
      </w:r>
    </w:p>
    <w:p>
      <w:pPr>
        <w:spacing w:after="0" w:line="1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Accuracy of the proposed disclosures shown in Exhibit A to the letter dated October 7, 2015</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note that the table contained in Exhibit A to our letter dated October 7, 2015 will include the criteria used by us in recognizing overdue loans by type of loans and by days of delay in payment. That is, for overdue consumer, mortgage and leasing loans, only the instalment that is overdue for up to 90 days of delay in payment will be considered as overdue; once this 90-day delay period is exceeded, the entire outstanding amount of the overdue loan will be considered as overdue.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remaining types of credit, the entire outstanding amount will be as considered as overdue once the first instalment is classified as overdue, in accordance with our portfolio management policies.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us at (511) 313-2140 to discuss this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Fernando Dasso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lvl w:ilvl="1">
      <w:lvlJc w:val="left"/>
      <w:lvlText w:val="%2."/>
      <w:numFmt w:val="upperLetter"/>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2019-12-06T14:24:08Z</dcterms:created>
  <dcterms:modified xsi:type="dcterms:W3CDTF">2019-12-06T14:24:08Z</dcterms:modified>
</cp:coreProperties>
</file>