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205740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454660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79"/>
          </w:cols>
          <w:pgMar w:left="380" w:top="51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0225" cy="522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00225" cy="522605"/>
                    </a:xfrm>
                    <a:prstGeom prst="rect">
                      <a:avLst/>
                    </a:prstGeom>
                    <a:noFill/>
                  </pic:spPr>
                </pic:pic>
              </a:graphicData>
            </a:graphic>
          </wp:anchor>
        </w:drawing>
        <w:t>January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Credicorp Ltd. (the “Company”) notifies you as a Material Event that all pending litigation in the U.S. Bankruptcy Court for the Southern District of New York (the Bankruptcy Court) against ASB Bank Corp. with respect to:</w:t>
      </w:r>
    </w:p>
    <w:p>
      <w:pPr>
        <w:spacing w:after="0" w:line="162" w:lineRule="exact"/>
        <w:rPr>
          <w:sz w:val="20"/>
          <w:szCs w:val="20"/>
          <w:color w:val="auto"/>
        </w:rPr>
      </w:pPr>
    </w:p>
    <w:p>
      <w:pPr>
        <w:ind w:left="980" w:right="20" w:hanging="648"/>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Bernard L. Madoff Investment Securities LLC. (BLMIS) and the substantively consolidated estate of Bernard L. Madoff (the Madoff Trustee) (the Madoff Complaint), and</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Fairfield Sentry (In Liquidation) and its representative, Kenneth Krys (the Fairfield Liquidator) (the Fairfield Complaint),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has been fully and finally settled. Under those litigations, the Madoff Trustee had sought recovery of approximately US$120.0 million in principal amount (plus certain fees, costs, interest, and expenses) and the Fairfield Liquidator had sought recovery of approximately US$115.2 million in principal amount (plus certain fees, costs, interest, and expenses). On January 30, 2024, (i) the Madoff Trustee and ASB Bank Corp. entered into a release and settlement agreement (the Madoff Settlement) and (ii) the Fairfield Liquidator and ASB Bank Corp. simultaneously entered into a release and settlement agreement (the Fairfield Settlement), which settlements, without admission of liability, resolves all disputes related to the Madoff Complaint and the Fairfield Complaint among ASB Bank Corp., the Madoff Trustee and the Fairfield Liquidator. Under the terms of the settlements, after approval of the Madoff Settlement by the Bankruptcy Court, among other things, ASB Bank Corp. shall pay the Madoff Trustee the amount of US$42,750,000.00 (for which ASB Bank Corp. and its affiliates are fully provisioned), and the Madoff Trustee and the Fairfield Liquidator shall dismiss the Madoff Complaint and the Fairfield Complaint, as applicable, with prejudice and without costs to either party. A copy of the Madoff Settlement has been filed with the Bankruptcy Court and remains pending for approval with the Bankruptcy Court.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January 30, 2024</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560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25114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2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2024-01-31T05:12:32Z</dcterms:created>
  <dcterms:modified xsi:type="dcterms:W3CDTF">2024-01-31T05:12:32Z</dcterms:modified>
</cp:coreProperties>
</file>