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13G</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31"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G2519Y108</w:t>
      </w:r>
    </w:p>
    <w:p>
      <w:pPr>
        <w:spacing w:after="0" w:line="31"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ind w:left="5320" w:hanging="260"/>
        <w:spacing w:after="0"/>
        <w:tabs>
          <w:tab w:leader="none" w:pos="53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Rule 13d-1(b)</w:t>
      </w:r>
    </w:p>
    <w:p>
      <w:pPr>
        <w:spacing w:after="0" w:line="225" w:lineRule="exact"/>
        <w:rPr>
          <w:rFonts w:ascii="MS PGothic" w:cs="MS PGothic" w:eastAsia="MS PGothic" w:hAnsi="MS PGothic"/>
          <w:sz w:val="18"/>
          <w:szCs w:val="18"/>
          <w:color w:val="auto"/>
          <w:highlight w:val="black"/>
        </w:rPr>
      </w:pPr>
    </w:p>
    <w:p>
      <w:pPr>
        <w:ind w:left="5320" w:hanging="249"/>
        <w:spacing w:after="0"/>
        <w:tabs>
          <w:tab w:leader="none" w:pos="5320"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Rule 13d-1(c)</w:t>
      </w:r>
    </w:p>
    <w:p>
      <w:pPr>
        <w:spacing w:after="0" w:line="225" w:lineRule="exact"/>
        <w:rPr>
          <w:sz w:val="24"/>
          <w:szCs w:val="24"/>
          <w:color w:val="auto"/>
        </w:rPr>
      </w:pPr>
    </w:p>
    <w:p>
      <w:pPr>
        <w:ind w:left="5320" w:hanging="260"/>
        <w:spacing w:after="0"/>
        <w:tabs>
          <w:tab w:leader="none" w:pos="5320" w:val="left"/>
        </w:tabs>
        <w:numPr>
          <w:ilvl w:val="1"/>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Rule 13d-1(d)</w:t>
      </w:r>
    </w:p>
    <w:p>
      <w:pPr>
        <w:spacing w:after="0" w:line="229" w:lineRule="exact"/>
        <w:rPr>
          <w:rFonts w:ascii="MS PGothic" w:cs="MS PGothic" w:eastAsia="MS PGothic" w:hAnsi="MS PGothic"/>
          <w:sz w:val="18"/>
          <w:szCs w:val="18"/>
          <w:color w:val="auto"/>
          <w:highlight w:val="black"/>
        </w:rPr>
      </w:pPr>
    </w:p>
    <w:p>
      <w:pPr>
        <w:ind w:firstLine="713"/>
        <w:spacing w:after="0" w:line="282" w:lineRule="auto"/>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firstLine="1141"/>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1" w:name="page2"/>
    <w:bookmarkEnd w:id="1"/>
    <w:p>
      <w:pPr>
        <w:ind w:left="1020" w:hanging="62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2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Atlantic Security Holding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54875" cy="4913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4913630"/>
                    </a:xfrm>
                    <a:prstGeom prst="rect">
                      <a:avLst/>
                    </a:prstGeom>
                    <a:noFill/>
                  </pic:spPr>
                </pic:pic>
              </a:graphicData>
            </a:graphic>
          </wp:anchor>
        </w:drawing>
      </w:r>
    </w:p>
    <w:p>
      <w:pPr>
        <w:spacing w:after="0" w:line="223" w:lineRule="exact"/>
        <w:rPr>
          <w:sz w:val="20"/>
          <w:szCs w:val="20"/>
          <w:color w:val="auto"/>
        </w:rPr>
      </w:pPr>
    </w:p>
    <w:p>
      <w:pPr>
        <w:ind w:left="1020" w:hanging="64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color w:val="auto"/>
        </w:rPr>
        <w:t>(a) : o</w:t>
      </w:r>
    </w:p>
    <w:p>
      <w:pPr>
        <w:spacing w:after="0" w:line="9"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color w:val="auto"/>
        </w:rPr>
        <w:t>(b) : o</w:t>
      </w:r>
    </w:p>
    <w:p>
      <w:pPr>
        <w:spacing w:after="0" w:line="220" w:lineRule="exact"/>
        <w:rPr>
          <w:sz w:val="20"/>
          <w:szCs w:val="20"/>
          <w:color w:val="auto"/>
        </w:rPr>
      </w:pPr>
    </w:p>
    <w:p>
      <w:pPr>
        <w:ind w:left="1020" w:hanging="645"/>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1020" w:hanging="645"/>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Cayman Islands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4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jc w:val="right"/>
              <w:ind w:right="270"/>
              <w:spacing w:after="0" w:line="188" w:lineRule="exact"/>
              <w:rPr>
                <w:sz w:val="20"/>
                <w:szCs w:val="20"/>
                <w:color w:val="auto"/>
              </w:rPr>
            </w:pPr>
            <w:r>
              <w:rPr>
                <w:rFonts w:ascii="Times New Roman" w:cs="Times New Roman" w:eastAsia="Times New Roman" w:hAnsi="Times New Roman"/>
                <w:sz w:val="18"/>
                <w:szCs w:val="18"/>
                <w:color w:val="auto"/>
              </w:rPr>
              <w:t>5</w:t>
            </w:r>
          </w:p>
        </w:tc>
        <w:tc>
          <w:tcPr>
            <w:tcW w:w="8900" w:type="dxa"/>
            <w:vAlign w:val="bottom"/>
            <w:tcBorders>
              <w:top w:val="single" w:sz="8" w:color="auto"/>
            </w:tcBorders>
          </w:tcPr>
          <w:p>
            <w:pPr>
              <w:ind w:left="180"/>
              <w:spacing w:after="0" w:line="188" w:lineRule="exact"/>
              <w:rPr>
                <w:sz w:val="20"/>
                <w:szCs w:val="20"/>
                <w:color w:val="auto"/>
              </w:rPr>
            </w:pPr>
            <w:r>
              <w:rPr>
                <w:rFonts w:ascii="Times New Roman" w:cs="Times New Roman" w:eastAsia="Times New Roman" w:hAnsi="Times New Roman"/>
                <w:sz w:val="18"/>
                <w:szCs w:val="18"/>
                <w:color w:val="auto"/>
              </w:rPr>
              <w:t>Sole Voting Power</w:t>
            </w:r>
          </w:p>
        </w:tc>
      </w:tr>
      <w:tr>
        <w:trPr>
          <w:trHeight w:val="216"/>
        </w:trPr>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0" w:type="dxa"/>
            <w:vAlign w:val="bottom"/>
            <w:tcBorders>
              <w:right w:val="single" w:sz="8" w:color="auto"/>
            </w:tcBorders>
          </w:tcPr>
          <w:p>
            <w:pPr>
              <w:spacing w:after="0"/>
              <w:rPr>
                <w:sz w:val="18"/>
                <w:szCs w:val="18"/>
                <w:color w:val="auto"/>
              </w:rPr>
            </w:pPr>
          </w:p>
        </w:tc>
        <w:tc>
          <w:tcPr>
            <w:tcW w:w="8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14,620,846</w:t>
            </w:r>
          </w:p>
        </w:tc>
      </w:tr>
      <w:tr>
        <w:trPr>
          <w:trHeight w:val="216"/>
        </w:trPr>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0" w:type="dxa"/>
            <w:vAlign w:val="bottom"/>
            <w:tcBorders>
              <w:right w:val="single" w:sz="8" w:color="auto"/>
            </w:tcBorders>
          </w:tcPr>
          <w:p>
            <w:pPr>
              <w:spacing w:after="0"/>
              <w:rPr>
                <w:sz w:val="18"/>
                <w:szCs w:val="18"/>
                <w:color w:val="auto"/>
              </w:rPr>
            </w:pPr>
          </w:p>
        </w:tc>
        <w:tc>
          <w:tcPr>
            <w:tcW w:w="890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0" w:type="dxa"/>
            <w:vAlign w:val="bottom"/>
            <w:tcBorders>
              <w:right w:val="single" w:sz="8" w:color="auto"/>
            </w:tcBorders>
          </w:tcPr>
          <w:p>
            <w:pPr>
              <w:spacing w:after="0"/>
              <w:rPr>
                <w:sz w:val="18"/>
                <w:szCs w:val="18"/>
                <w:color w:val="auto"/>
              </w:rPr>
            </w:pPr>
          </w:p>
        </w:tc>
        <w:tc>
          <w:tcPr>
            <w:tcW w:w="890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800" w:type="dxa"/>
            <w:vAlign w:val="bottom"/>
            <w:tcBorders>
              <w:right w:val="single" w:sz="8" w:color="auto"/>
            </w:tcBorders>
          </w:tcPr>
          <w:p>
            <w:pPr>
              <w:spacing w:after="0"/>
              <w:rPr>
                <w:sz w:val="18"/>
                <w:szCs w:val="18"/>
                <w:color w:val="auto"/>
              </w:rPr>
            </w:pPr>
          </w:p>
        </w:tc>
        <w:tc>
          <w:tcPr>
            <w:tcW w:w="890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800" w:type="dxa"/>
            <w:vAlign w:val="bottom"/>
            <w:tcBorders>
              <w:right w:val="single" w:sz="8" w:color="auto"/>
            </w:tcBorders>
          </w:tcPr>
          <w:p>
            <w:pPr>
              <w:spacing w:after="0"/>
              <w:rPr>
                <w:sz w:val="18"/>
                <w:szCs w:val="18"/>
                <w:color w:val="auto"/>
              </w:rPr>
            </w:pPr>
          </w:p>
        </w:tc>
        <w:tc>
          <w:tcPr>
            <w:tcW w:w="890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800" w:type="dxa"/>
            <w:vAlign w:val="bottom"/>
            <w:tcBorders>
              <w:right w:val="single" w:sz="8" w:color="auto"/>
            </w:tcBorders>
          </w:tcPr>
          <w:p>
            <w:pPr>
              <w:spacing w:after="0"/>
              <w:rPr>
                <w:sz w:val="18"/>
                <w:szCs w:val="18"/>
                <w:color w:val="auto"/>
              </w:rPr>
            </w:pPr>
          </w:p>
        </w:tc>
        <w:tc>
          <w:tcPr>
            <w:tcW w:w="890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800" w:type="dxa"/>
            <w:vAlign w:val="bottom"/>
            <w:tcBorders>
              <w:right w:val="single" w:sz="8" w:color="auto"/>
            </w:tcBorders>
          </w:tcPr>
          <w:p>
            <w:pPr>
              <w:spacing w:after="0"/>
              <w:rPr>
                <w:sz w:val="18"/>
                <w:szCs w:val="18"/>
                <w:color w:val="auto"/>
              </w:rPr>
            </w:pPr>
          </w:p>
        </w:tc>
        <w:tc>
          <w:tcPr>
            <w:tcW w:w="8900" w:type="dxa"/>
            <w:vAlign w:val="bottom"/>
          </w:tcPr>
          <w:p>
            <w:pPr>
              <w:spacing w:after="0"/>
              <w:rPr>
                <w:sz w:val="18"/>
                <w:szCs w:val="18"/>
                <w:color w:val="auto"/>
              </w:rPr>
            </w:pPr>
          </w:p>
        </w:tc>
      </w:tr>
      <w:tr>
        <w:trPr>
          <w:trHeight w:val="238"/>
        </w:trPr>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800" w:type="dxa"/>
            <w:vAlign w:val="bottom"/>
            <w:tcBorders>
              <w:bottom w:val="single" w:sz="8" w:color="auto"/>
              <w:right w:val="single" w:sz="8" w:color="auto"/>
            </w:tcBorders>
          </w:tcPr>
          <w:p>
            <w:pPr>
              <w:spacing w:after="0"/>
              <w:rPr>
                <w:sz w:val="20"/>
                <w:szCs w:val="20"/>
                <w:color w:val="auto"/>
              </w:rPr>
            </w:pPr>
          </w:p>
        </w:tc>
        <w:tc>
          <w:tcPr>
            <w:tcW w:w="8900" w:type="dxa"/>
            <w:vAlign w:val="bottom"/>
            <w:tcBorders>
              <w:bottom w:val="single" w:sz="8" w:color="auto"/>
            </w:tcBorders>
          </w:tcPr>
          <w:p>
            <w:pPr>
              <w:spacing w:after="0"/>
              <w:rPr>
                <w:sz w:val="20"/>
                <w:szCs w:val="20"/>
                <w:color w:val="auto"/>
              </w:rPr>
            </w:pPr>
          </w:p>
        </w:tc>
      </w:tr>
      <w:tr>
        <w:trPr>
          <w:trHeight w:val="187"/>
        </w:trPr>
        <w:tc>
          <w:tcPr>
            <w:tcW w:w="1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right"/>
              <w:ind w:right="270"/>
              <w:spacing w:after="0" w:line="188" w:lineRule="exact"/>
              <w:rPr>
                <w:sz w:val="20"/>
                <w:szCs w:val="20"/>
                <w:color w:val="auto"/>
              </w:rPr>
            </w:pPr>
            <w:r>
              <w:rPr>
                <w:rFonts w:ascii="Times New Roman" w:cs="Times New Roman" w:eastAsia="Times New Roman" w:hAnsi="Times New Roman"/>
                <w:sz w:val="18"/>
                <w:szCs w:val="18"/>
                <w:color w:val="auto"/>
              </w:rPr>
              <w:t>6</w:t>
            </w:r>
          </w:p>
        </w:tc>
        <w:tc>
          <w:tcPr>
            <w:tcW w:w="89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r>
      <w:tr>
        <w:trPr>
          <w:trHeight w:val="238"/>
        </w:trPr>
        <w:tc>
          <w:tcPr>
            <w:tcW w:w="174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1,999,314</w:t>
            </w:r>
          </w:p>
        </w:tc>
      </w:tr>
      <w:tr>
        <w:trPr>
          <w:trHeight w:val="187"/>
        </w:trPr>
        <w:tc>
          <w:tcPr>
            <w:tcW w:w="1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right"/>
              <w:ind w:right="27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89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color w:val="auto"/>
              </w:rPr>
              <w:t>Sole Dispositive Power</w:t>
            </w:r>
          </w:p>
        </w:tc>
      </w:tr>
      <w:tr>
        <w:trPr>
          <w:trHeight w:val="238"/>
        </w:trPr>
        <w:tc>
          <w:tcPr>
            <w:tcW w:w="174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14,620,846</w:t>
            </w:r>
          </w:p>
        </w:tc>
      </w:tr>
      <w:tr>
        <w:trPr>
          <w:trHeight w:val="187"/>
        </w:trPr>
        <w:tc>
          <w:tcPr>
            <w:tcW w:w="1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right"/>
              <w:ind w:right="270"/>
              <w:spacing w:after="0" w:line="188" w:lineRule="exact"/>
              <w:rPr>
                <w:sz w:val="20"/>
                <w:szCs w:val="20"/>
                <w:color w:val="auto"/>
              </w:rPr>
            </w:pPr>
            <w:r>
              <w:rPr>
                <w:rFonts w:ascii="Times New Roman" w:cs="Times New Roman" w:eastAsia="Times New Roman" w:hAnsi="Times New Roman"/>
                <w:sz w:val="18"/>
                <w:szCs w:val="18"/>
                <w:color w:val="auto"/>
              </w:rPr>
              <w:t>8</w:t>
            </w:r>
          </w:p>
        </w:tc>
        <w:tc>
          <w:tcPr>
            <w:tcW w:w="89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color w:val="auto"/>
              </w:rPr>
              <w:t>Shared Dispositive Power</w:t>
            </w:r>
          </w:p>
        </w:tc>
      </w:tr>
      <w:tr>
        <w:trPr>
          <w:trHeight w:val="238"/>
        </w:trPr>
        <w:tc>
          <w:tcPr>
            <w:tcW w:w="17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1,999,314</w:t>
            </w:r>
          </w:p>
        </w:tc>
      </w:tr>
    </w:tbl>
    <w:p>
      <w:pPr>
        <w:ind w:left="1020" w:hanging="64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16,620,160</w:t>
      </w:r>
    </w:p>
    <w:p>
      <w:pPr>
        <w:spacing w:after="0" w:line="9" w:lineRule="exact"/>
        <w:rPr>
          <w:sz w:val="20"/>
          <w:szCs w:val="20"/>
          <w:color w:val="auto"/>
        </w:rPr>
      </w:pPr>
    </w:p>
    <w:p>
      <w:pPr>
        <w:ind w:left="1020" w:hanging="690"/>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33" w:lineRule="exact"/>
        <w:rPr>
          <w:rFonts w:ascii="Times New Roman" w:cs="Times New Roman" w:eastAsia="Times New Roman" w:hAnsi="Times New Roman"/>
          <w:sz w:val="18"/>
          <w:szCs w:val="18"/>
          <w:color w:val="auto"/>
        </w:rPr>
      </w:pPr>
    </w:p>
    <w:p>
      <w:pPr>
        <w:ind w:left="1020" w:hanging="687"/>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17.6%</w:t>
      </w:r>
    </w:p>
    <w:p>
      <w:pPr>
        <w:spacing w:after="0" w:line="9" w:lineRule="exact"/>
        <w:rPr>
          <w:rFonts w:ascii="Times New Roman" w:cs="Times New Roman" w:eastAsia="Times New Roman" w:hAnsi="Times New Roman"/>
          <w:sz w:val="18"/>
          <w:szCs w:val="18"/>
          <w:color w:val="auto"/>
        </w:rPr>
      </w:pPr>
    </w:p>
    <w:p>
      <w:pPr>
        <w:ind w:left="1020" w:hanging="690"/>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Type of Reporting Person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2"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918" w:right="219" w:bottom="1440" w:gutter="0" w:footer="0" w:header="0"/>
        </w:sectPr>
      </w:pPr>
    </w:p>
    <w:bookmarkStart w:id="2" w:name="page3"/>
    <w:bookmarkEnd w:id="2"/>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Name of Issuer</w:t>
      </w:r>
      <w:r>
        <w:rPr>
          <w:rFonts w:ascii="Times New Roman" w:cs="Times New Roman" w:eastAsia="Times New Roman" w:hAnsi="Times New Roman"/>
          <w:sz w:val="17"/>
          <w:szCs w:val="17"/>
          <w:b w:val="1"/>
          <w:bCs w:val="1"/>
          <w:color w:val="auto"/>
        </w:rPr>
        <w:t>:</w:t>
      </w:r>
    </w:p>
    <w:p>
      <w:pPr>
        <w:spacing w:after="0" w:line="215" w:lineRule="exact"/>
        <w:rPr>
          <w:sz w:val="20"/>
          <w:szCs w:val="20"/>
          <w:color w:val="auto"/>
        </w:rPr>
      </w:pPr>
    </w:p>
    <w:p>
      <w:pPr>
        <w:sectPr>
          <w:pgSz w:w="11900" w:h="16838" w:orient="portrait"/>
          <w:cols w:equalWidth="0" w:num="2">
            <w:col w:w="720" w:space="580"/>
            <w:col w:w="10120"/>
          </w:cols>
          <w:pgMar w:left="240" w:top="900" w:right="239" w:bottom="1440" w:gutter="0" w:footer="0" w:header="0"/>
        </w:sectPr>
      </w:pP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Credicorp Ltd.</w:t>
      </w:r>
    </w:p>
    <w:p>
      <w:pPr>
        <w:sectPr>
          <w:pgSz w:w="11900" w:h="16838" w:orient="portrait"/>
          <w:cols w:equalWidth="0" w:num="1">
            <w:col w:w="11420"/>
          </w:cols>
          <w:pgMar w:left="240" w:top="900" w:right="2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1(b).</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p>
      <w:pPr>
        <w:spacing w:after="0" w:line="200" w:lineRule="exact"/>
        <w:rPr>
          <w:sz w:val="20"/>
          <w:szCs w:val="20"/>
          <w:color w:val="auto"/>
        </w:rPr>
      </w:pPr>
    </w:p>
    <w:p>
      <w:pPr>
        <w:sectPr>
          <w:pgSz w:w="11900" w:h="16838" w:orient="portrait"/>
          <w:cols w:equalWidth="0" w:num="2">
            <w:col w:w="720" w:space="580"/>
            <w:col w:w="10120"/>
          </w:cols>
          <w:pgMar w:left="240" w:top="900" w:right="239" w:bottom="1440" w:gutter="0" w:footer="0" w:header="0"/>
          <w:type w:val="continuous"/>
        </w:sectPr>
      </w:pP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c/o Banco de Crédito del Perú</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Centenario N° 156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Las Laderas de Melgarejo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Lima 12 Perú</w:t>
      </w:r>
    </w:p>
    <w:p>
      <w:pPr>
        <w:sectPr>
          <w:pgSz w:w="11900" w:h="16838" w:orient="portrait"/>
          <w:cols w:equalWidth="0" w:num="1">
            <w:col w:w="11420"/>
          </w:cols>
          <w:pgMar w:left="240" w:top="900" w:right="2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Persons Filing:</w:t>
      </w:r>
    </w:p>
    <w:p>
      <w:pPr>
        <w:spacing w:after="0" w:line="200" w:lineRule="exact"/>
        <w:rPr>
          <w:sz w:val="20"/>
          <w:szCs w:val="20"/>
          <w:color w:val="auto"/>
        </w:rPr>
      </w:pPr>
    </w:p>
    <w:p>
      <w:pPr>
        <w:sectPr>
          <w:pgSz w:w="11900" w:h="16838" w:orient="portrait"/>
          <w:cols w:equalWidth="0" w:num="2">
            <w:col w:w="720" w:space="580"/>
            <w:col w:w="10120"/>
          </w:cols>
          <w:pgMar w:left="240" w:top="900" w:right="239" w:bottom="1440" w:gutter="0" w:footer="0" w:header="0"/>
          <w:type w:val="continuous"/>
        </w:sectPr>
      </w:pP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Atlantic Security Holding Corp</w:t>
      </w:r>
    </w:p>
    <w:p>
      <w:pPr>
        <w:sectPr>
          <w:pgSz w:w="11900" w:h="16838" w:orient="portrait"/>
          <w:cols w:equalWidth="0" w:num="1">
            <w:col w:w="11420"/>
          </w:cols>
          <w:pgMar w:left="240" w:top="900" w:right="2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2(b).</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p>
      <w:pPr>
        <w:spacing w:after="0" w:line="200" w:lineRule="exact"/>
        <w:rPr>
          <w:sz w:val="20"/>
          <w:szCs w:val="20"/>
          <w:color w:val="auto"/>
        </w:rPr>
      </w:pPr>
    </w:p>
    <w:p>
      <w:pPr>
        <w:sectPr>
          <w:pgSz w:w="11900" w:h="16838" w:orient="portrait"/>
          <w:cols w:equalWidth="0" w:num="2">
            <w:col w:w="720" w:space="580"/>
            <w:col w:w="10120"/>
          </w:cols>
          <w:pgMar w:left="240" w:top="900" w:right="239" w:bottom="1440" w:gutter="0" w:footer="0" w:header="0"/>
          <w:type w:val="continuous"/>
        </w:sectPr>
      </w:pP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Atlantic Security Holding Corp</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Ugland House, South Church St., KY1-1104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George Town, Grand Cayman, Cayman Islands</w:t>
      </w:r>
    </w:p>
    <w:p>
      <w:pPr>
        <w:sectPr>
          <w:pgSz w:w="11900" w:h="16838" w:orient="portrait"/>
          <w:cols w:equalWidth="0" w:num="1">
            <w:col w:w="11420"/>
          </w:cols>
          <w:pgMar w:left="240" w:top="900" w:right="23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2(c).</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w:t>
      </w:r>
    </w:p>
    <w:p>
      <w:pPr>
        <w:spacing w:after="0" w:line="200" w:lineRule="exact"/>
        <w:rPr>
          <w:sz w:val="20"/>
          <w:szCs w:val="20"/>
          <w:color w:val="auto"/>
        </w:rPr>
      </w:pPr>
    </w:p>
    <w:p>
      <w:pPr>
        <w:sectPr>
          <w:pgSz w:w="11900" w:h="16838" w:orient="portrait"/>
          <w:cols w:equalWidth="0" w:num="2">
            <w:col w:w="720" w:space="580"/>
            <w:col w:w="10120"/>
          </w:cols>
          <w:pgMar w:left="240" w:top="900" w:right="239" w:bottom="1440" w:gutter="0" w:footer="0" w:header="0"/>
          <w:type w:val="continuous"/>
        </w:sectPr>
      </w:pP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See Item 4 on Page 2</w:t>
      </w:r>
    </w:p>
    <w:p>
      <w:pPr>
        <w:sectPr>
          <w:pgSz w:w="11900" w:h="16838" w:orient="portrait"/>
          <w:cols w:equalWidth="0" w:num="1">
            <w:col w:w="11420"/>
          </w:cols>
          <w:pgMar w:left="240" w:top="900" w:right="2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w:t>
      </w:r>
    </w:p>
    <w:p>
      <w:pPr>
        <w:spacing w:after="0" w:line="200" w:lineRule="exact"/>
        <w:rPr>
          <w:sz w:val="20"/>
          <w:szCs w:val="20"/>
          <w:color w:val="auto"/>
        </w:rPr>
      </w:pPr>
    </w:p>
    <w:p>
      <w:pPr>
        <w:sectPr>
          <w:pgSz w:w="11900" w:h="16838" w:orient="portrait"/>
          <w:cols w:equalWidth="0" w:num="2">
            <w:col w:w="720" w:space="580"/>
            <w:col w:w="10120"/>
          </w:cols>
          <w:pgMar w:left="240" w:top="900" w:right="239" w:bottom="1440" w:gutter="0" w:footer="0" w:header="0"/>
          <w:type w:val="continuous"/>
        </w:sectPr>
      </w:pPr>
    </w:p>
    <w:p>
      <w:pPr>
        <w:spacing w:after="0" w:line="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Common Shares</w:t>
      </w:r>
    </w:p>
    <w:p>
      <w:pPr>
        <w:sectPr>
          <w:pgSz w:w="11900" w:h="16838" w:orient="portrait"/>
          <w:cols w:equalWidth="0" w:num="1">
            <w:col w:w="11420"/>
          </w:cols>
          <w:pgMar w:left="240" w:top="900" w:right="2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Number:</w:t>
      </w:r>
    </w:p>
    <w:p>
      <w:pPr>
        <w:spacing w:after="0" w:line="211" w:lineRule="exact"/>
        <w:rPr>
          <w:sz w:val="20"/>
          <w:szCs w:val="20"/>
          <w:color w:val="auto"/>
        </w:rPr>
      </w:pPr>
    </w:p>
    <w:p>
      <w:pPr>
        <w:sectPr>
          <w:pgSz w:w="11900" w:h="16838" w:orient="portrait"/>
          <w:cols w:equalWidth="0" w:num="2">
            <w:col w:w="720" w:space="580"/>
            <w:col w:w="10120"/>
          </w:cols>
          <w:pgMar w:left="240" w:top="900" w:right="239" w:bottom="1440" w:gutter="0" w:footer="0" w:header="0"/>
          <w:type w:val="continuous"/>
        </w:sectPr>
      </w:pP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G2519Y 10 8</w:t>
      </w:r>
    </w:p>
    <w:p>
      <w:pPr>
        <w:sectPr>
          <w:pgSz w:w="11900" w:h="16838" w:orient="portrait"/>
          <w:cols w:equalWidth="0" w:num="1">
            <w:col w:w="11420"/>
          </w:cols>
          <w:pgMar w:left="240" w:top="900" w:right="2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statement is filed pursuant to Rules 13d-1(b), or 13d-2(b), check whether the person filing is a:</w:t>
      </w:r>
    </w:p>
    <w:p>
      <w:pPr>
        <w:spacing w:after="0" w:line="200" w:lineRule="exact"/>
        <w:rPr>
          <w:sz w:val="20"/>
          <w:szCs w:val="20"/>
          <w:color w:val="auto"/>
        </w:rPr>
      </w:pPr>
    </w:p>
    <w:p>
      <w:pPr>
        <w:sectPr>
          <w:pgSz w:w="11900" w:h="16838" w:orient="portrait"/>
          <w:cols w:equalWidth="0" w:num="2">
            <w:col w:w="580" w:space="720"/>
            <w:col w:w="10120"/>
          </w:cols>
          <w:pgMar w:left="240" w:top="900" w:right="239" w:bottom="1440" w:gutter="0" w:footer="0" w:header="0"/>
          <w:type w:val="continuous"/>
        </w:sectPr>
      </w:pP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Not Applicable.</w:t>
      </w:r>
    </w:p>
    <w:p>
      <w:pPr>
        <w:sectPr>
          <w:pgSz w:w="11900" w:h="16838" w:orient="portrait"/>
          <w:cols w:equalWidth="0" w:num="1">
            <w:col w:w="11420"/>
          </w:cols>
          <w:pgMar w:left="240" w:top="900" w:right="239" w:bottom="1440" w:gutter="0" w:footer="0" w:header="0"/>
          <w:type w:val="continuous"/>
        </w:sectPr>
      </w:pPr>
    </w:p>
    <w:p>
      <w:pPr>
        <w:spacing w:after="0" w:line="212" w:lineRule="exact"/>
        <w:rPr>
          <w:sz w:val="20"/>
          <w:szCs w:val="20"/>
          <w:color w:val="auto"/>
        </w:rPr>
      </w:pPr>
    </w:p>
    <w:tbl>
      <w:tblPr>
        <w:tblLayout w:type="fixed"/>
        <w:tblInd w:w="1440" w:type="dxa"/>
        <w:tblCellMar>
          <w:top w:w="0" w:type="dxa"/>
          <w:left w:w="0" w:type="dxa"/>
          <w:bottom w:w="0" w:type="dxa"/>
          <w:right w:w="0" w:type="dxa"/>
        </w:tblCellMar>
      </w:tblP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1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1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1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Insurance Company as defined in Section 3(a)(19) of the Act (15 U.S.C. 78c)</w:t>
            </w:r>
          </w:p>
        </w:tc>
      </w:tr>
    </w:tbl>
    <w:p>
      <w:pPr>
        <w:spacing w:after="0" w:line="149" w:lineRule="exact"/>
        <w:rPr>
          <w:sz w:val="20"/>
          <w:szCs w:val="20"/>
          <w:color w:val="auto"/>
        </w:rPr>
      </w:pPr>
    </w:p>
    <w:p>
      <w:pPr>
        <w:ind w:left="3780" w:hanging="2346"/>
        <w:spacing w:after="0" w:line="226" w:lineRule="exact"/>
        <w:tabs>
          <w:tab w:leader="none" w:pos="3105"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198" w:lineRule="exact"/>
        <w:rPr>
          <w:sz w:val="20"/>
          <w:szCs w:val="20"/>
          <w:color w:val="auto"/>
        </w:rPr>
      </w:pPr>
    </w:p>
    <w:p>
      <w:pPr>
        <w:ind w:left="3100" w:hanging="1666"/>
        <w:spacing w:after="0" w:line="207" w:lineRule="exact"/>
        <w:tabs>
          <w:tab w:leader="none" w:pos="31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investment adviser in accordance with §240.13d-1(b)(1)(ii)(E)</w:t>
      </w:r>
    </w:p>
    <w:p>
      <w:pPr>
        <w:spacing w:after="0" w:line="225" w:lineRule="exact"/>
        <w:rPr>
          <w:sz w:val="20"/>
          <w:szCs w:val="20"/>
          <w:color w:val="auto"/>
        </w:rPr>
      </w:pPr>
    </w:p>
    <w:p>
      <w:pPr>
        <w:ind w:left="3100" w:hanging="1666"/>
        <w:spacing w:after="0" w:line="207" w:lineRule="exact"/>
        <w:tabs>
          <w:tab w:leader="none" w:pos="310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§240.13d-1(b)(1)(ii)(F)</w:t>
      </w:r>
    </w:p>
    <w:p>
      <w:pPr>
        <w:spacing w:after="0" w:line="225" w:lineRule="exact"/>
        <w:rPr>
          <w:sz w:val="20"/>
          <w:szCs w:val="20"/>
          <w:color w:val="auto"/>
        </w:rPr>
      </w:pPr>
    </w:p>
    <w:p>
      <w:pPr>
        <w:ind w:left="3100" w:hanging="1666"/>
        <w:spacing w:after="0" w:line="207" w:lineRule="exact"/>
        <w:tabs>
          <w:tab w:leader="none" w:pos="31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parent holding company or control person in accordance with §240.13d-1(b)(ii)(G)</w:t>
      </w:r>
    </w:p>
    <w:p>
      <w:pPr>
        <w:spacing w:after="0" w:line="225" w:lineRule="exact"/>
        <w:rPr>
          <w:sz w:val="20"/>
          <w:szCs w:val="20"/>
          <w:color w:val="auto"/>
        </w:rPr>
      </w:pPr>
    </w:p>
    <w:p>
      <w:pPr>
        <w:ind w:left="3100" w:hanging="1666"/>
        <w:spacing w:after="0" w:line="207" w:lineRule="exact"/>
        <w:tabs>
          <w:tab w:leader="none" w:pos="310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associations as defined in Section 3(b) of the Federal Deposit Insurance Act</w:t>
      </w:r>
    </w:p>
    <w:p>
      <w:pPr>
        <w:spacing w:after="0" w:line="225" w:lineRule="exact"/>
        <w:rPr>
          <w:sz w:val="20"/>
          <w:szCs w:val="20"/>
          <w:color w:val="auto"/>
        </w:rPr>
      </w:pPr>
    </w:p>
    <w:p>
      <w:pPr>
        <w:ind w:left="3780" w:right="20" w:hanging="2346"/>
        <w:spacing w:after="0" w:line="226" w:lineRule="exact"/>
        <w:tabs>
          <w:tab w:leader="none" w:pos="3105"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198" w:lineRule="exact"/>
        <w:rPr>
          <w:sz w:val="20"/>
          <w:szCs w:val="20"/>
          <w:color w:val="auto"/>
        </w:rPr>
      </w:pPr>
    </w:p>
    <w:p>
      <w:pPr>
        <w:ind w:left="3100" w:hanging="1666"/>
        <w:spacing w:after="0" w:line="207" w:lineRule="exact"/>
        <w:tabs>
          <w:tab w:leader="none" w:pos="310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460" w:right="7980" w:hanging="804"/>
        <w:spacing w:after="0" w:line="530" w:lineRule="auto"/>
        <w:tabs>
          <w:tab w:leader="none" w:pos="131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See Item 9 on Page 2</w:t>
      </w: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See Item 11 on Page 2</w:t>
      </w:r>
    </w:p>
    <w:p>
      <w:pPr>
        <w:spacing w:after="0" w:line="225"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100" w:right="6600" w:hanging="795"/>
        <w:spacing w:after="0" w:line="501" w:lineRule="auto"/>
        <w:tabs>
          <w:tab w:leader="none" w:pos="19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Item 5 on Page 2</w:t>
      </w:r>
    </w:p>
    <w:p>
      <w:pPr>
        <w:ind w:left="1960" w:hanging="655"/>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Item 6 on Page 2.</w:t>
      </w:r>
    </w:p>
    <w:p>
      <w:pPr>
        <w:spacing w:after="0" w:line="225" w:lineRule="exact"/>
        <w:rPr>
          <w:sz w:val="20"/>
          <w:szCs w:val="20"/>
          <w:color w:val="auto"/>
        </w:rPr>
      </w:pPr>
    </w:p>
    <w:p>
      <w:pPr>
        <w:jc w:val="both"/>
        <w:ind w:left="1960"/>
        <w:spacing w:after="0" w:line="254" w:lineRule="auto"/>
        <w:rPr>
          <w:sz w:val="20"/>
          <w:szCs w:val="20"/>
          <w:color w:val="auto"/>
        </w:rPr>
      </w:pPr>
      <w:r>
        <w:rPr>
          <w:rFonts w:ascii="Times New Roman" w:cs="Times New Roman" w:eastAsia="Times New Roman" w:hAnsi="Times New Roman"/>
          <w:sz w:val="18"/>
          <w:szCs w:val="18"/>
          <w:color w:val="auto"/>
        </w:rPr>
        <w:t>The information in Items 6, 9 and 11 above include 1,999,314 shares held by ASHC’s subsidiary, Atlantic Security Bank (ASB). These 1,999,314 shares are held by ASB on behalf of clients as part of the Private Banking Services that ASB provides, and which shares are purchased or sold based on client instruction. Clients can decide at any time to exercise their voting power in any Shareholders’ Meeting, but generally grant a revocable voting proxy to directors or officers of Credicorp for purposes of the Annual Shareholders Meeting. These shares are held by ASB on behalf of clients, which clients have the power to vote and dispose of the shares. ASHC disclaims beneficial ownership of the shares. The filing of this Schedule 13G by ASHC should not be construed as an admission that ASHC is, for purposes of Section 13(d) or 13(g) of the Securities Exchange Act of 1934, as amended (the “Exchange Act”), the beneficial owner of the 1,999,314 Credicorp shares held by ASB on behalf of clients and included in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(iii)</w:t>
            </w:r>
          </w:p>
        </w:tc>
        <w:tc>
          <w:tcPr>
            <w:tcW w:w="9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r>
      <w:tr>
        <w:trPr>
          <w:trHeight w:val="432"/>
        </w:trPr>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See Item 7 on Page 2</w:t>
            </w:r>
          </w:p>
        </w:tc>
      </w:tr>
      <w:tr>
        <w:trPr>
          <w:trHeight w:val="432"/>
        </w:trPr>
        <w:tc>
          <w:tcPr>
            <w:tcW w:w="96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(iv)</w:t>
            </w:r>
          </w:p>
        </w:tc>
        <w:tc>
          <w:tcPr>
            <w:tcW w:w="9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r>
      <w:tr>
        <w:trPr>
          <w:trHeight w:val="432"/>
        </w:trPr>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See Item 8 on Page 2</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Ownership of Five Percent or Less of a Class</w:t>
            </w:r>
          </w:p>
        </w:tc>
      </w:tr>
      <w:tr>
        <w:trPr>
          <w:trHeight w:val="432"/>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Ownership of More than Five Percent on Behalf of Another Person</w:t>
            </w:r>
          </w:p>
        </w:tc>
      </w:tr>
      <w:tr>
        <w:trPr>
          <w:trHeight w:val="432"/>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See the explanation under Item 4(c)(ii), above.</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w:t>
            </w:r>
          </w:p>
        </w:tc>
      </w:tr>
      <w:tr>
        <w:trPr>
          <w:trHeight w:val="234"/>
        </w:trPr>
        <w:tc>
          <w:tcPr>
            <w:tcW w:w="960" w:type="dxa"/>
            <w:vAlign w:val="bottom"/>
          </w:tcPr>
          <w:p>
            <w:pPr>
              <w:spacing w:after="0"/>
              <w:rPr>
                <w:sz w:val="20"/>
                <w:szCs w:val="20"/>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Control Person</w:t>
            </w:r>
          </w:p>
        </w:tc>
      </w:tr>
      <w:tr>
        <w:trPr>
          <w:trHeight w:val="432"/>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See the explanation under Item 4(c)(ii), above.</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Identification and Classification of Members of the Group</w:t>
            </w:r>
          </w:p>
        </w:tc>
      </w:tr>
      <w:tr>
        <w:trPr>
          <w:trHeight w:val="432"/>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Notice of Dissolution of Group</w:t>
            </w:r>
          </w:p>
        </w:tc>
      </w:tr>
      <w:tr>
        <w:trPr>
          <w:trHeight w:val="432"/>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Certification</w:t>
            </w:r>
          </w:p>
        </w:tc>
      </w:tr>
      <w:tr>
        <w:trPr>
          <w:trHeight w:val="410"/>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By signing below, I certify that, to the best of my knowledge and belief, the securities referred to above were not acquired and are</w:t>
            </w:r>
          </w:p>
        </w:tc>
      </w:tr>
      <w:tr>
        <w:trPr>
          <w:trHeight w:val="216"/>
        </w:trPr>
        <w:tc>
          <w:tcPr>
            <w:tcW w:w="960" w:type="dxa"/>
            <w:vAlign w:val="bottom"/>
          </w:tcPr>
          <w:p>
            <w:pPr>
              <w:spacing w:after="0"/>
              <w:rPr>
                <w:sz w:val="18"/>
                <w:szCs w:val="18"/>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not held for the purpose of or with the effect of changing or influencing the control of the issuer of the securities and were not</w:t>
            </w:r>
          </w:p>
        </w:tc>
      </w:tr>
      <w:tr>
        <w:trPr>
          <w:trHeight w:val="238"/>
        </w:trPr>
        <w:tc>
          <w:tcPr>
            <w:tcW w:w="960" w:type="dxa"/>
            <w:vAlign w:val="bottom"/>
          </w:tcPr>
          <w:p>
            <w:pPr>
              <w:spacing w:after="0"/>
              <w:rPr>
                <w:sz w:val="20"/>
                <w:szCs w:val="20"/>
                <w:color w:val="auto"/>
              </w:rPr>
            </w:pPr>
          </w:p>
        </w:tc>
        <w:tc>
          <w:tcPr>
            <w:tcW w:w="10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acquired and are not held in connection with or as a participant in any transaction having that purpose or effect.</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February 27, 2019</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Atlantic Security Holding Corp</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Guillermo Morales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
      <w:numFmt w:val="bullet"/>
      <w:start w:val="1"/>
    </w:lvl>
    <w:lvl w:ilvl="1">
      <w:lvlJc w:val="left"/>
      <w:lvlText w:val="☒"/>
      <w:numFmt w:val="bullet"/>
      <w:start w:val="1"/>
    </w:lvl>
  </w:abstractNum>
  <w:abstractNum w:abstractNumId="2">
    <w:nsid w:val="4DB127F8"/>
    <w:multiLevelType w:val="hybridMultilevel"/>
    <w:lvl w:ilvl="0">
      <w:lvlJc w:val="left"/>
      <w:lvlText w:val="1"/>
      <w:numFmt w:val="bullet"/>
      <w:start w:val="1"/>
    </w:lvl>
  </w:abstractNum>
  <w:abstractNum w:abstractNumId="3">
    <w:nsid w:val="216231B"/>
    <w:multiLevelType w:val="hybridMultilevel"/>
    <w:lvl w:ilvl="0">
      <w:lvlJc w:val="left"/>
      <w:lvlText w:val="2"/>
      <w:numFmt w:val="bullet"/>
      <w:start w:val="1"/>
    </w:lvl>
  </w:abstractNum>
  <w:abstractNum w:abstractNumId="4">
    <w:nsid w:val="1F16E9E8"/>
    <w:multiLevelType w:val="hybridMultilevel"/>
    <w:lvl w:ilvl="0">
      <w:lvlJc w:val="left"/>
      <w:lvlText w:val="3"/>
      <w:numFmt w:val="bullet"/>
      <w:start w:val="1"/>
    </w:lvl>
  </w:abstractNum>
  <w:abstractNum w:abstractNumId="5">
    <w:nsid w:val="1190CDE7"/>
    <w:multiLevelType w:val="hybridMultilevel"/>
    <w:lvl w:ilvl="0">
      <w:lvlJc w:val="left"/>
      <w:lvlText w:val="4"/>
      <w:numFmt w:val="bullet"/>
      <w:start w:val="1"/>
    </w:lvl>
  </w:abstractNum>
  <w:abstractNum w:abstractNumId="6">
    <w:nsid w:val="66EF438D"/>
    <w:multiLevelType w:val="hybridMultilevel"/>
    <w:lvl w:ilvl="0">
      <w:lvlJc w:val="left"/>
      <w:lvlText w:val="9"/>
      <w:numFmt w:val="bullet"/>
      <w:start w:val="1"/>
    </w:lvl>
  </w:abstractNum>
  <w:abstractNum w:abstractNumId="7">
    <w:nsid w:val="140E0F76"/>
    <w:multiLevelType w:val="hybridMultilevel"/>
    <w:lvl w:ilvl="0">
      <w:lvlJc w:val="left"/>
      <w:lvlText w:val="%1"/>
      <w:numFmt w:val="decimal"/>
      <w:start w:val="10"/>
    </w:lvl>
  </w:abstractNum>
  <w:abstractNum w:abstractNumId="8">
    <w:nsid w:val="3352255A"/>
    <w:multiLevelType w:val="hybridMultilevel"/>
    <w:lvl w:ilvl="0">
      <w:lvlJc w:val="left"/>
      <w:lvlText w:val="(%1)"/>
      <w:numFmt w:val="lowerLetter"/>
      <w:start w:val="4"/>
    </w:lvl>
  </w:abstractNum>
  <w:abstractNum w:abstractNumId="9">
    <w:nsid w:val="109CF92E"/>
    <w:multiLevelType w:val="hybridMultilevel"/>
    <w:lvl w:ilvl="0">
      <w:lvlJc w:val="left"/>
      <w:lvlText w:val="(%1)"/>
      <w:numFmt w:val="lowerLetter"/>
      <w:start w:val="5"/>
    </w:lvl>
  </w:abstractNum>
  <w:abstractNum w:abstractNumId="10">
    <w:nsid w:val="DED7263"/>
    <w:multiLevelType w:val="hybridMultilevel"/>
    <w:lvl w:ilvl="0">
      <w:lvlJc w:val="left"/>
      <w:lvlText w:val="(%1)"/>
      <w:numFmt w:val="lowerLetter"/>
      <w:start w:val="6"/>
    </w:lvl>
  </w:abstractNum>
  <w:abstractNum w:abstractNumId="11">
    <w:nsid w:val="7FDCC233"/>
    <w:multiLevelType w:val="hybridMultilevel"/>
    <w:lvl w:ilvl="0">
      <w:lvlJc w:val="left"/>
      <w:lvlText w:val="(%1)"/>
      <w:numFmt w:val="lowerLetter"/>
      <w:start w:val="7"/>
    </w:lvl>
  </w:abstractNum>
  <w:abstractNum w:abstractNumId="12">
    <w:nsid w:val="1BEFD79F"/>
    <w:multiLevelType w:val="hybridMultilevel"/>
    <w:lvl w:ilvl="0">
      <w:lvlJc w:val="left"/>
      <w:lvlText w:val="(%1)"/>
      <w:numFmt w:val="lowerLetter"/>
      <w:start w:val="8"/>
    </w:lvl>
  </w:abstractNum>
  <w:abstractNum w:abstractNumId="13">
    <w:nsid w:val="41A7C4C9"/>
    <w:multiLevelType w:val="hybridMultilevel"/>
    <w:lvl w:ilvl="0">
      <w:lvlJc w:val="left"/>
      <w:lvlText w:val="(%1)"/>
      <w:numFmt w:val="lowerRoman"/>
      <w:start w:val="1"/>
    </w:lvl>
  </w:abstractNum>
  <w:abstractNum w:abstractNumId="14">
    <w:nsid w:val="6B68079A"/>
    <w:multiLevelType w:val="hybridMultilevel"/>
    <w:lvl w:ilvl="0">
      <w:lvlJc w:val="left"/>
      <w:lvlText w:val="(%1)"/>
      <w:numFmt w:val="lowerLetter"/>
      <w:start w:val="10"/>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2019-12-05T00:45:27Z</dcterms:created>
  <dcterms:modified xsi:type="dcterms:W3CDTF">2019-12-05T00:45:27Z</dcterms:modified>
</cp:coreProperties>
</file>