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FORM 6-K/A</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 the month of May 2019</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 001-14014</w:t>
      </w:r>
    </w:p>
    <w:p>
      <w:pPr>
        <w:spacing w:after="0" w:line="217" w:lineRule="exact"/>
        <w:rPr>
          <w:sz w:val="24"/>
          <w:szCs w:val="24"/>
          <w:color w:val="auto"/>
        </w:rPr>
      </w:pPr>
    </w:p>
    <w:p>
      <w:pPr>
        <w:jc w:val="center"/>
        <w:ind w:right="-114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420"/>
        <w:spacing w:after="0" w:line="207" w:lineRule="exact"/>
        <w:tabs>
          <w:tab w:leader="none" w:pos="58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193675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210820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528320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70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586105</wp:posOffset>
            </wp:positionV>
            <wp:extent cx="2058035"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May 13,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hereby refer to the Material Event furnished on May 7, 2019, where Credicorp Ltd. communicates the end of the share reorganization process of its subsidiaries in Perú.</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With regard to the percentage owned by Credicorp Ltd. in Banco de Credito del Peru (BCP) through its subsidiary Grupo Credito S.A. (Grupo Credito), the department responsible for carrying the registration of shares of BCP has confirmed that the shareholding position of Grupo Credito is 97.71%.</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6-K/A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Guillermo Morales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May 13,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Guillermo Morales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5387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2019-12-02T19:55:06Z</dcterms:created>
  <dcterms:modified xsi:type="dcterms:W3CDTF">2019-12-02T19:55:06Z</dcterms:modified>
</cp:coreProperties>
</file>