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213" w:lineRule="exact"/>
        <w:rPr>
          <w:sz w:val="24"/>
          <w:szCs w:val="24"/>
          <w:color w:val="auto"/>
        </w:rPr>
      </w:pPr>
    </w:p>
    <w:p>
      <w:pPr>
        <w:ind w:left="4140" w:right="2540" w:hanging="1583"/>
        <w:spacing w:after="0" w:line="258" w:lineRule="auto"/>
        <w:tabs>
          <w:tab w:leader="none" w:pos="2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2520"/>
        <w:spacing w:after="0"/>
        <w:rPr>
          <w:rFonts w:ascii="MS PGothic" w:cs="MS PGothic" w:eastAsia="MS PGothic" w:hAnsi="MS PGothic"/>
          <w:sz w:val="18"/>
          <w:szCs w:val="18"/>
          <w:color w:val="auto"/>
        </w:rPr>
      </w:pPr>
      <w:r>
        <w:rPr>
          <w:rFonts w:ascii="Arial" w:cs="Arial" w:eastAsia="Arial" w:hAnsi="Arial"/>
          <w:sz w:val="18"/>
          <w:szCs w:val="18"/>
          <w:color w:val="auto"/>
        </w:rPr>
        <w:t>x ANNUAL REPORT PURSUANT TO SECTION 13 OR 15(d) OF THE SECURITIES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left="4680" w:right="2320" w:hanging="2356"/>
        <w:spacing w:after="0" w:line="258" w:lineRule="auto"/>
        <w:tabs>
          <w:tab w:leader="none" w:pos="2526"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2300" w:hanging="204"/>
        <w:spacing w:after="0"/>
        <w:tabs>
          <w:tab w:leader="none" w:pos="2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ACT OF 1934</w:t>
      </w:r>
    </w:p>
    <w:p>
      <w:pPr>
        <w:spacing w:after="0" w:line="7"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(Exact name of registrant as specified in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(+511) 313 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12(b) of the Act.</w:t>
            </w:r>
          </w:p>
        </w:tc>
        <w:tc>
          <w:tcPr>
            <w:tcW w:w="4700" w:type="dxa"/>
            <w:vAlign w:val="bottom"/>
          </w:tcPr>
          <w:p>
            <w:pPr>
              <w:spacing w:after="0"/>
              <w:rPr>
                <w:sz w:val="20"/>
                <w:szCs w:val="20"/>
                <w:color w:val="auto"/>
              </w:rPr>
            </w:pPr>
          </w:p>
        </w:tc>
      </w:tr>
      <w:tr>
        <w:trPr>
          <w:trHeight w:val="432"/>
        </w:trPr>
        <w:tc>
          <w:tcPr>
            <w:tcW w:w="67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7"/>
              </w:rPr>
              <w:t>Title of each class</w:t>
            </w:r>
          </w:p>
        </w:tc>
        <w:tc>
          <w:tcPr>
            <w:tcW w:w="4700" w:type="dxa"/>
            <w:vAlign w:val="bottom"/>
          </w:tcPr>
          <w:p>
            <w:pPr>
              <w:jc w:val="center"/>
              <w:ind w:right="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700" w:type="dxa"/>
            <w:vAlign w:val="bottom"/>
            <w:tcBorders>
              <w:top w:val="single" w:sz="8" w:color="auto"/>
            </w:tcBorders>
          </w:tcPr>
          <w:p>
            <w:pPr>
              <w:jc w:val="center"/>
              <w:ind w:right="8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630"/>
        </w:trPr>
        <w:tc>
          <w:tcPr>
            <w:tcW w:w="5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7"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15"/>
          <w:szCs w:val="15"/>
          <w:b w:val="1"/>
          <w:bCs w:val="1"/>
          <w:color w:val="auto"/>
        </w:rPr>
        <w:t>Securities registered or to be registered pursuant to Section 12(g)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7460" w:space="720"/>
            <w:col w:w="3240"/>
          </w:cols>
          <w:pgMar w:left="240" w:top="877" w:right="239" w:bottom="1440" w:gutter="0" w:footer="0" w:header="0"/>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7" w:lineRule="exact"/>
        <w:rPr>
          <w:sz w:val="20"/>
          <w:szCs w:val="20"/>
          <w:color w:val="auto"/>
        </w:rPr>
      </w:pPr>
    </w:p>
    <w:p>
      <w:pPr>
        <w:sectPr>
          <w:pgSz w:w="11900" w:h="16838" w:orient="portrait"/>
          <w:cols w:equalWidth="0" w:num="2">
            <w:col w:w="7480" w:space="720"/>
            <w:col w:w="3220"/>
          </w:cols>
          <w:pgMar w:left="240" w:top="877" w:right="239" w:bottom="1440" w:gutter="0" w:footer="0" w:header="0"/>
          <w:type w:val="continuous"/>
        </w:sectPr>
      </w:pPr>
    </w:p>
    <w:p>
      <w:pPr>
        <w:spacing w:after="0" w:line="48"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Indicate the number of outstanding shares of each of the issuer’s classes of capital or common stock as of the close of the period covered by the annual report. </w:t>
      </w:r>
      <w:r>
        <w:rPr>
          <w:rFonts w:ascii="Arial" w:cs="Arial" w:eastAsia="Arial" w:hAnsi="Arial"/>
          <w:sz w:val="18"/>
          <w:szCs w:val="18"/>
          <w:color w:val="auto"/>
        </w:rPr>
        <w:t>Common Shares, par value $5.00 per share 94,382,317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7"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877" w:right="239" w:bottom="1440" w:gutter="0" w:footer="0" w:header="0"/>
          <w:type w:val="continuous"/>
        </w:sectPr>
      </w:pPr>
    </w:p>
    <w:p>
      <w:pPr>
        <w:spacing w:after="0" w:line="207"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definition of “accelerated filer and large accelerated filer” in Rule 12b-2 of the Exchange Act.</w:t>
      </w:r>
    </w:p>
    <w:tbl>
      <w:tblPr>
        <w:tblLayout w:type="fixed"/>
        <w:tblInd w:w="0" w:type="dxa"/>
        <w:tblCellMar>
          <w:top w:w="0" w:type="dxa"/>
          <w:left w:w="0" w:type="dxa"/>
          <w:bottom w:w="0" w:type="dxa"/>
          <w:right w:w="0" w:type="dxa"/>
        </w:tblCellMar>
      </w:tblPr>
      <w:tr>
        <w:trPr>
          <w:trHeight w:val="283"/>
        </w:trPr>
        <w:tc>
          <w:tcPr>
            <w:tcW w:w="3780" w:type="dxa"/>
            <w:vAlign w:val="bottom"/>
          </w:tcPr>
          <w:p>
            <w:pPr>
              <w:ind w:left="1880"/>
              <w:spacing w:after="0" w:line="207" w:lineRule="exact"/>
              <w:rPr>
                <w:sz w:val="20"/>
                <w:szCs w:val="20"/>
                <w:color w:val="auto"/>
              </w:rPr>
            </w:pPr>
            <w:r>
              <w:rPr>
                <w:rFonts w:ascii="Arial" w:cs="Arial" w:eastAsia="Arial" w:hAnsi="Arial"/>
                <w:sz w:val="18"/>
                <w:szCs w:val="18"/>
                <w:color w:val="auto"/>
                <w:w w:val="93"/>
              </w:rPr>
              <w:t xml:space="preserve">Large accelerated filer </w:t>
            </w:r>
            <w:r>
              <w:rPr>
                <w:rFonts w:ascii="MS PGothic" w:cs="MS PGothic" w:eastAsia="MS PGothic" w:hAnsi="MS PGothic"/>
                <w:sz w:val="18"/>
                <w:szCs w:val="18"/>
                <w:color w:val="auto"/>
                <w:w w:val="93"/>
              </w:rPr>
              <w:t>☒</w:t>
            </w:r>
          </w:p>
        </w:tc>
        <w:tc>
          <w:tcPr>
            <w:tcW w:w="1100" w:type="dxa"/>
            <w:vAlign w:val="bottom"/>
          </w:tcPr>
          <w:p>
            <w:pPr>
              <w:spacing w:after="0"/>
              <w:rPr>
                <w:sz w:val="24"/>
                <w:szCs w:val="24"/>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w w:val="92"/>
              </w:rPr>
              <w:t>Accelerated filer</w:t>
            </w:r>
          </w:p>
        </w:tc>
        <w:tc>
          <w:tcPr>
            <w:tcW w:w="38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tcPr>
          <w:p>
            <w:pPr>
              <w:spacing w:after="0"/>
              <w:rPr>
                <w:sz w:val="24"/>
                <w:szCs w:val="24"/>
                <w:color w:val="auto"/>
              </w:rPr>
            </w:pPr>
          </w:p>
        </w:tc>
        <w:tc>
          <w:tcPr>
            <w:tcW w:w="372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3"/>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5"/>
              </w:rPr>
              <w:t>Indicate by check mark which basis of accounting the registrant has used to prepare the financial statements included in this filing:</w:t>
            </w:r>
          </w:p>
        </w:tc>
        <w:tc>
          <w:tcPr>
            <w:tcW w:w="0" w:type="dxa"/>
            <w:vAlign w:val="bottom"/>
          </w:tcPr>
          <w:p>
            <w:pPr>
              <w:spacing w:after="0"/>
              <w:rPr>
                <w:sz w:val="1"/>
                <w:szCs w:val="1"/>
                <w:color w:val="auto"/>
              </w:rPr>
            </w:pPr>
          </w:p>
        </w:tc>
      </w:tr>
      <w:tr>
        <w:trPr>
          <w:trHeight w:val="216"/>
        </w:trPr>
        <w:tc>
          <w:tcPr>
            <w:tcW w:w="3780" w:type="dxa"/>
            <w:vAlign w:val="bottom"/>
          </w:tcPr>
          <w:p>
            <w:pPr>
              <w:ind w:left="94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3920" w:type="dxa"/>
            <w:vAlign w:val="bottom"/>
            <w:gridSpan w:val="4"/>
          </w:tcPr>
          <w:p>
            <w:pPr>
              <w:ind w:left="20"/>
              <w:spacing w:after="0"/>
              <w:rPr>
                <w:sz w:val="20"/>
                <w:szCs w:val="20"/>
                <w:color w:val="auto"/>
              </w:rPr>
            </w:pPr>
            <w:r>
              <w:rPr>
                <w:rFonts w:ascii="Arial" w:cs="Arial" w:eastAsia="Arial" w:hAnsi="Arial"/>
                <w:sz w:val="18"/>
                <w:szCs w:val="18"/>
                <w:color w:val="auto"/>
                <w:w w:val="90"/>
              </w:rPr>
              <w:t>International Financial Reporting Standards as issued</w:t>
            </w:r>
          </w:p>
        </w:tc>
        <w:tc>
          <w:tcPr>
            <w:tcW w:w="3720" w:type="dxa"/>
            <w:vAlign w:val="bottom"/>
          </w:tcPr>
          <w:p>
            <w:pPr>
              <w:ind w:left="228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3920" w:type="dxa"/>
            <w:vAlign w:val="bottom"/>
            <w:gridSpan w:val="4"/>
          </w:tcPr>
          <w:p>
            <w:pPr>
              <w:ind w:left="20"/>
              <w:spacing w:after="0" w:line="207" w:lineRule="exact"/>
              <w:rPr>
                <w:sz w:val="20"/>
                <w:szCs w:val="20"/>
                <w:color w:val="auto"/>
              </w:rPr>
            </w:pPr>
            <w:r>
              <w:rPr>
                <w:rFonts w:ascii="Arial" w:cs="Arial" w:eastAsia="Arial" w:hAnsi="Arial"/>
                <w:sz w:val="18"/>
                <w:szCs w:val="18"/>
                <w:color w:val="auto"/>
                <w:w w:val="93"/>
              </w:rPr>
              <w:t xml:space="preserve">by the International Accounting Standards Board  </w:t>
            </w:r>
            <w:r>
              <w:rPr>
                <w:rFonts w:ascii="MS PGothic" w:cs="MS PGothic" w:eastAsia="MS PGothic" w:hAnsi="MS PGothic"/>
                <w:sz w:val="18"/>
                <w:szCs w:val="18"/>
                <w:color w:val="auto"/>
                <w:w w:val="93"/>
              </w:rPr>
              <w:t>☒</w:t>
            </w: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“Other” has been checked in response to the previous question, indicate by check mark which financial statement item the registrant has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elected to follow.</w:t>
            </w:r>
          </w:p>
        </w:tc>
        <w:tc>
          <w:tcPr>
            <w:tcW w:w="2440" w:type="dxa"/>
            <w:vAlign w:val="bottom"/>
            <w:gridSpan w:val="2"/>
            <w:vMerge w:val="restart"/>
          </w:tcPr>
          <w:p>
            <w:pPr>
              <w:ind w:left="60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14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Item 18 </w:t>
            </w:r>
            <w:r>
              <w:rPr>
                <w:rFonts w:ascii="MS PGothic" w:cs="MS PGothic" w:eastAsia="MS PGothic" w:hAnsi="MS PGothic"/>
                <w:sz w:val="18"/>
                <w:szCs w:val="18"/>
                <w:color w:val="auto"/>
              </w:rPr>
              <w: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this is an annual report, 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rPr>
              <w:t>Yes</w:t>
            </w:r>
          </w:p>
        </w:tc>
        <w:tc>
          <w:tcPr>
            <w:tcW w:w="13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86"/>
              </w:rPr>
              <w:t>No</w:t>
            </w:r>
          </w:p>
        </w:tc>
        <w:tc>
          <w:tcPr>
            <w:tcW w:w="1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3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filing this Amendment No. 1 (“Form 20-F/A”) to our Annual Report on Form 20-F for the Fiscal Year Ended December 31, 2011, originally filed with the Securities and Exchange Commission (the “SEC”) on April 30, 2011 (the “Form 20-F”), to re-file our financial statements in Item 18 to include the signature of our independent auditor, Medina, Zaldívar, Paredes &amp; Asociados, a member of Ernst &amp; Young Global, in its Report of Independent Registered Public Accounting Firm that accompanies our Consolidated Financial Statements. This amendment does not contain any changes to data and footnotes in our Consolidated Financial Statements.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Form 20-F/A is accompanied by currently dated certifications on Exhibits 12.3, 12.4, 13.3 and 13.4 by our Chief Executive Officer and Chief Financial Officer. Because this Form 20-F/A does not contain or amend any disclosure with respect to Item 15 of Form 20-F, paragraphs 4 and 5 of the certifications required pursuant to Section 302 of the Sarbanes-Oxley Act of 2002 have been omitted.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expressly set forth in this Form 20-F/A, we are not amending any other part of the Form 20-F. This Form 20-F/A does not reflect events occurring after the filing of the Form 20-F or modify or update any related or other disclosures, including forward-looking statements, unless expressly noted otherwise. Accordingly, this Form 20-F /A should be read in conjunction with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8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8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as of December 31, 2011 and 2010 together with the 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Consolidated financial statements as of December 31, 2011 and 2010 together with the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Consolidated financial statements as of December 31, 2011 and 2010 together with the Report of Independent Registered Public Accounting Firm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4020" w:type="dxa"/>
            <w:vAlign w:val="bottom"/>
          </w:tcPr>
          <w:p>
            <w:pPr>
              <w:ind w:left="28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4020" w:type="dxa"/>
            <w:vAlign w:val="bottom"/>
          </w:tcPr>
          <w:p>
            <w:pPr>
              <w:ind w:left="28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4020" w:type="dxa"/>
            <w:vAlign w:val="bottom"/>
          </w:tcPr>
          <w:p>
            <w:pPr>
              <w:ind w:left="288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634"/>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F-2</w:t>
            </w: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Credicorp Ltd.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statements of financial position of Credicorp Ltd. and Subsidiaries as of December 31, 2011 and 2010, and the related consolidated statements of income, comprehensive income, shareholders’ equity, and cash flows for each of the three years in the period ended December 31, 2011. These consolidated financial statements are the responsibility of Credicorp’s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and subsidiaries at December 31, 2011 and 2010, and the consolidated results of their operations and their cash flows for each of the three years in the period ended December 31, 2011, in conformity with International Financial Reporting Standards as issued by the International Accounting Standards Board.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 xml:space="preserve">Report of Independent Registered Public Accounting Firm </w:t>
      </w:r>
      <w:r>
        <w:rPr>
          <w:rFonts w:ascii="Arial" w:cs="Arial" w:eastAsia="Arial" w:hAnsi="Arial"/>
          <w:sz w:val="18"/>
          <w:szCs w:val="18"/>
          <w:color w:val="auto"/>
        </w:rPr>
        <w:t>(continued)</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Credicorp’s internal control over financial reporting as of December 31, 2011, based on criteria established in Internal Control-Integrated Framework issued by the Committee of Sponsoring Organizations of the Treadway Commission and our report dated April 24, 2012,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MEDINA, ZALDÍVAR, PAREDES &amp; ASOCIADOS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Note</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ind w:left="480"/>
              <w:spacing w:after="0"/>
              <w:rPr>
                <w:sz w:val="20"/>
                <w:szCs w:val="20"/>
                <w:color w:val="auto"/>
              </w:rPr>
            </w:pPr>
            <w:r>
              <w:rPr>
                <w:rFonts w:ascii="Arial" w:cs="Arial" w:eastAsia="Arial" w:hAnsi="Arial"/>
                <w:sz w:val="18"/>
                <w:szCs w:val="18"/>
                <w:color w:val="auto"/>
              </w:rPr>
              <w:t>US$(000)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1,094,568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1,624,377</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bearing</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4,408,294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6,920,038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5,502,862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8,544,415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Trading securities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2000" w:type="dxa"/>
            <w:vAlign w:val="bottom"/>
            <w:tcBorders>
              <w:bottom w:val="single" w:sz="8" w:color="CCFFCC"/>
            </w:tcBorders>
            <w:shd w:val="clear" w:color="auto" w:fill="CCFFCC"/>
          </w:tcPr>
          <w:p>
            <w:pPr>
              <w:jc w:val="center"/>
              <w:ind w:left="7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FFCC"/>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3,768,248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5,991,212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3,883,816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Loans, net:</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17,441,941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8"/>
              </w:rPr>
              <w:t>14,375,358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(519,708)</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16,922,233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13,959,655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20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90,103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179,055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7"/>
              </w:rPr>
              <w:t>8(a)</w:t>
            </w:r>
          </w:p>
        </w:tc>
        <w:tc>
          <w:tcPr>
            <w:tcW w:w="1660" w:type="dxa"/>
            <w:vAlign w:val="bottom"/>
          </w:tcPr>
          <w:p>
            <w:pPr>
              <w:jc w:val="right"/>
              <w:spacing w:after="0"/>
              <w:rPr>
                <w:sz w:val="20"/>
                <w:szCs w:val="20"/>
                <w:color w:val="auto"/>
              </w:rPr>
            </w:pPr>
            <w:r>
              <w:rPr>
                <w:rFonts w:ascii="Arial" w:cs="Arial" w:eastAsia="Arial" w:hAnsi="Arial"/>
                <w:sz w:val="18"/>
                <w:szCs w:val="18"/>
                <w:color w:val="auto"/>
              </w:rPr>
              <w:t>174,367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21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3"/>
              </w:rPr>
              <w:t>8(b)</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151,080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160,249</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472,433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Seized assets, net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21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10(a) and 10(b)</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453,422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372,625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30,732,793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28,391,157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shd w:val="clear" w:color="auto" w:fill="CCFFCC"/>
          </w:tcPr>
          <w:p>
            <w:pPr>
              <w:spacing w:after="0"/>
              <w:rPr>
                <w:sz w:val="17"/>
                <w:szCs w:val="17"/>
                <w:color w:val="auto"/>
              </w:rPr>
            </w:pPr>
          </w:p>
        </w:tc>
        <w:tc>
          <w:tcPr>
            <w:tcW w:w="20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20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Non-interest bearing</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5,390,688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4,360,570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bearing</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13,313,159</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13,457,548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18,703,847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17,818,118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2,060,020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2,240,320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3"/>
              </w:rPr>
              <w:t>8(b)</w:t>
            </w:r>
          </w:p>
        </w:tc>
        <w:tc>
          <w:tcPr>
            <w:tcW w:w="1660" w:type="dxa"/>
            <w:vAlign w:val="bottom"/>
          </w:tcPr>
          <w:p>
            <w:pPr>
              <w:jc w:val="right"/>
              <w:spacing w:after="0"/>
              <w:rPr>
                <w:sz w:val="20"/>
                <w:szCs w:val="20"/>
                <w:color w:val="auto"/>
              </w:rPr>
            </w:pPr>
            <w:r>
              <w:rPr>
                <w:rFonts w:ascii="Arial" w:cs="Arial" w:eastAsia="Arial" w:hAnsi="Arial"/>
                <w:sz w:val="18"/>
                <w:szCs w:val="18"/>
                <w:color w:val="auto"/>
              </w:rPr>
              <w:t>75,366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w w:val="95"/>
              </w:rPr>
              <w:t>Technical reserves, insurance claims reserves and reserves for unearned premiums</w:t>
            </w:r>
          </w:p>
        </w:tc>
        <w:tc>
          <w:tcPr>
            <w:tcW w:w="20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1,378,298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1,196,323</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Bonds and notes issued</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3,965,522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2,981,918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CCFFCC"/>
            </w:tcBorders>
            <w:shd w:val="clear" w:color="auto" w:fill="CCFFCC"/>
          </w:tcPr>
          <w:p>
            <w:pPr>
              <w:jc w:val="center"/>
              <w:ind w:left="90"/>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1,025,405</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1,093,121</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27,270,153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25,460,906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6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Capital stock</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(74,877)</w:t>
            </w: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Capital surplus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1,812,977</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1,398,323</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reserves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734,474</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591,868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3,395,799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2,873,749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3,462,640</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2,930,251</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30,732,793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28,391,157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68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1,837,764</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1,471,708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20</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(531,600)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(414,121)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1,306,164</w:t>
            </w: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892,361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3"/>
              </w:rPr>
              <w:t>6(d)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(214,898)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6"/>
              </w:rPr>
              <w:t>Net interest and dividend income after provision for loan losses</w:t>
            </w:r>
          </w:p>
        </w:tc>
        <w:tc>
          <w:tcPr>
            <w:tcW w:w="184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1,091,266</w:t>
            </w:r>
          </w:p>
        </w:tc>
        <w:tc>
          <w:tcPr>
            <w:tcW w:w="2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2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728,969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21</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607,843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524,895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138,492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104,169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 of securities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61,927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6"/>
              </w:rPr>
              <w:t>Net gain on financial assets designated at fair value through profit or</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loss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9"/>
              </w:rPr>
              <w:t>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64,477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24</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30,374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30,668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838,636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804,535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720,631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22</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574,423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480,293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424,682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Net claims incurred for life, property, casualty and health insurance</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contracts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23</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(377,759)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(315,572)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(286,458)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196,664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164,721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8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8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(595,705)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(568,004)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(405,357)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(341,123)</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9(a) and 10(a)</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(93,882)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(82,289)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6"/>
              </w:rPr>
              <w:t>5(c)</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(1,025)</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6"/>
              </w:rPr>
              <w:t>Net loss on financial assets designated at fair value through profit or</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loss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9"/>
              </w:rPr>
              <w:t>7</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(24,640)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24</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(109,540)</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(91,219)</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(96,814)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8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(1,230,149)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(1,085,885)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896,417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766,276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Translation result</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37,881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24,120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0"/>
              </w:rPr>
              <w:t>17(b)</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(210,508)</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(187,081)</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723,790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F-6</w:t>
            </w:r>
          </w:p>
        </w:tc>
        <w:tc>
          <w:tcPr>
            <w:tcW w:w="18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Borders>
              <w:bottom w:val="single" w:sz="8" w:color="auto"/>
            </w:tcBorders>
            <w:gridSpan w:val="2"/>
            <w:vMerge w:val="continue"/>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86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Note</w:t>
            </w:r>
          </w:p>
        </w:tc>
      </w:tr>
      <w:tr>
        <w:trPr>
          <w:trHeight w:val="634"/>
        </w:trPr>
        <w:tc>
          <w:tcPr>
            <w:tcW w:w="56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holders of Credicorp Ltd.</w:t>
            </w:r>
          </w:p>
        </w:tc>
        <w:tc>
          <w:tcPr>
            <w:tcW w:w="8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60" w:type="dxa"/>
            <w:vAlign w:val="bottom"/>
          </w:tcPr>
          <w:p>
            <w:pPr>
              <w:spacing w:after="0"/>
              <w:rPr>
                <w:sz w:val="20"/>
                <w:szCs w:val="20"/>
                <w:color w:val="auto"/>
              </w:rPr>
            </w:pPr>
          </w:p>
        </w:tc>
      </w:tr>
      <w:tr>
        <w:trPr>
          <w:trHeight w:val="468"/>
        </w:trPr>
        <w:tc>
          <w:tcPr>
            <w:tcW w:w="5620" w:type="dxa"/>
            <w:vAlign w:val="bottom"/>
          </w:tcPr>
          <w:p>
            <w:pPr>
              <w:spacing w:after="0"/>
              <w:rPr>
                <w:sz w:val="20"/>
                <w:szCs w:val="20"/>
                <w:color w:val="auto"/>
              </w:rPr>
            </w:pPr>
            <w:r>
              <w:rPr>
                <w:rFonts w:ascii="Arial" w:cs="Arial" w:eastAsia="Arial" w:hAnsi="Arial"/>
                <w:sz w:val="18"/>
                <w:szCs w:val="18"/>
                <w:b w:val="1"/>
                <w:bCs w:val="1"/>
                <w:color w:val="auto"/>
                <w:w w:val="98"/>
              </w:rPr>
              <w:t>Earnings per share for net income attributable to equity holders of</w:t>
            </w:r>
          </w:p>
        </w:tc>
        <w:tc>
          <w:tcPr>
            <w:tcW w:w="860" w:type="dxa"/>
            <w:vAlign w:val="bottom"/>
          </w:tcPr>
          <w:p>
            <w:pPr>
              <w:spacing w:after="0"/>
              <w:rPr>
                <w:sz w:val="24"/>
                <w:szCs w:val="24"/>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Credicorp Ltd. (in U.S. Dollars):</w:t>
            </w:r>
          </w:p>
        </w:tc>
        <w:tc>
          <w:tcPr>
            <w:tcW w:w="860" w:type="dxa"/>
            <w:vAlign w:val="bottom"/>
          </w:tcPr>
          <w:p>
            <w:pPr>
              <w:spacing w:after="0"/>
              <w:rPr>
                <w:sz w:val="18"/>
                <w:szCs w:val="18"/>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r>
      <w:tr>
        <w:trPr>
          <w:trHeight w:val="261"/>
        </w:trPr>
        <w:tc>
          <w:tcPr>
            <w:tcW w:w="562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634"/>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709,272</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571,302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30"/>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14,518</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32,013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723,790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603,315</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7.19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480" w:space="640"/>
            <w:col w:w="4200"/>
          </w:cols>
          <w:pgMar w:left="240" w:top="8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780" w:type="dxa"/>
            <w:vAlign w:val="bottom"/>
          </w:tcPr>
          <w:p>
            <w:pPr>
              <w:ind w:left="78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723,790</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 gain on investments available–for-sale</w:t>
            </w:r>
          </w:p>
        </w:tc>
        <w:tc>
          <w:tcPr>
            <w:tcW w:w="1780" w:type="dxa"/>
            <w:vAlign w:val="bottom"/>
          </w:tcPr>
          <w:p>
            <w:pPr>
              <w:ind w:left="760"/>
              <w:spacing w:after="0"/>
              <w:rPr>
                <w:sz w:val="20"/>
                <w:szCs w:val="20"/>
                <w:color w:val="auto"/>
              </w:rPr>
            </w:pPr>
            <w:r>
              <w:rPr>
                <w:rFonts w:ascii="Arial" w:cs="Arial" w:eastAsia="Arial" w:hAnsi="Arial"/>
                <w:sz w:val="18"/>
                <w:szCs w:val="18"/>
                <w:color w:val="auto"/>
              </w:rPr>
              <w:t>16(d)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(53,168)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225,261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Net movement of cash flow hedges</w:t>
            </w:r>
          </w:p>
        </w:tc>
        <w:tc>
          <w:tcPr>
            <w:tcW w:w="1780" w:type="dxa"/>
            <w:vAlign w:val="bottom"/>
            <w:shd w:val="clear" w:color="auto" w:fill="CCFFCC"/>
          </w:tcPr>
          <w:p>
            <w:pPr>
              <w:ind w:left="760"/>
              <w:spacing w:after="0"/>
              <w:rPr>
                <w:sz w:val="20"/>
                <w:szCs w:val="20"/>
                <w:color w:val="auto"/>
              </w:rPr>
            </w:pPr>
            <w:r>
              <w:rPr>
                <w:rFonts w:ascii="Arial" w:cs="Arial" w:eastAsia="Arial" w:hAnsi="Arial"/>
                <w:sz w:val="18"/>
                <w:szCs w:val="18"/>
                <w:color w:val="auto"/>
              </w:rPr>
              <w:t>16(d)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(7,319)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tax</w:t>
            </w:r>
          </w:p>
        </w:tc>
        <w:tc>
          <w:tcPr>
            <w:tcW w:w="1780" w:type="dxa"/>
            <w:vAlign w:val="bottom"/>
          </w:tcPr>
          <w:p>
            <w:pPr>
              <w:ind w:left="760"/>
              <w:spacing w:after="0"/>
              <w:rPr>
                <w:sz w:val="20"/>
                <w:szCs w:val="20"/>
                <w:color w:val="auto"/>
              </w:rPr>
            </w:pPr>
            <w:r>
              <w:rPr>
                <w:rFonts w:ascii="Arial" w:cs="Arial" w:eastAsia="Arial" w:hAnsi="Arial"/>
                <w:sz w:val="18"/>
                <w:szCs w:val="18"/>
                <w:color w:val="auto"/>
              </w:rPr>
              <w:t>16(d)</w:t>
            </w:r>
          </w:p>
        </w:tc>
        <w:tc>
          <w:tcPr>
            <w:tcW w:w="1260" w:type="dxa"/>
            <w:vAlign w:val="bottom"/>
          </w:tcPr>
          <w:p>
            <w:pPr>
              <w:jc w:val="right"/>
              <w:spacing w:after="0"/>
              <w:rPr>
                <w:sz w:val="20"/>
                <w:szCs w:val="20"/>
                <w:color w:val="auto"/>
              </w:rPr>
            </w:pPr>
            <w:r>
              <w:rPr>
                <w:rFonts w:ascii="Arial" w:cs="Arial" w:eastAsia="Arial" w:hAnsi="Arial"/>
                <w:sz w:val="18"/>
                <w:szCs w:val="18"/>
                <w:color w:val="auto"/>
              </w:rPr>
              <w:t>31,017</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(66,010)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7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(21,983)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151,932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328,733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701,807</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833,169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shd w:val="clear" w:color="auto" w:fill="CCFFCC"/>
          </w:tcPr>
          <w:p>
            <w:pPr>
              <w:spacing w:after="0"/>
              <w:rPr>
                <w:sz w:val="17"/>
                <w:szCs w:val="17"/>
                <w:color w:val="auto"/>
              </w:rPr>
            </w:pPr>
          </w:p>
        </w:tc>
        <w:tc>
          <w:tcPr>
            <w:tcW w:w="17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682,719</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700,577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19,088</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54,670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701,807</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833,169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9"/>
                <w:szCs w:val="9"/>
                <w:b w:val="1"/>
                <w:bCs w:val="1"/>
                <w:color w:val="auto"/>
                <w:w w:val="92"/>
              </w:rPr>
              <w:t>Attributable to Credicorp’s equity holders</w:t>
            </w: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180" w:type="dxa"/>
            <w:vAlign w:val="bottom"/>
            <w:gridSpan w:val="2"/>
          </w:tcPr>
          <w:p>
            <w:pPr>
              <w:jc w:val="right"/>
              <w:ind w:right="520"/>
              <w:spacing w:after="0" w:line="79" w:lineRule="exact"/>
              <w:rPr>
                <w:sz w:val="20"/>
                <w:szCs w:val="20"/>
                <w:color w:val="auto"/>
              </w:rPr>
            </w:pPr>
            <w:r>
              <w:rPr>
                <w:rFonts w:ascii="Arial" w:cs="Arial" w:eastAsia="Arial" w:hAnsi="Arial"/>
                <w:sz w:val="9"/>
                <w:szCs w:val="9"/>
                <w:b w:val="1"/>
                <w:bCs w:val="1"/>
                <w:color w:val="auto"/>
              </w:rPr>
              <w:t>Number of</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180" w:type="dxa"/>
            <w:vAlign w:val="bottom"/>
            <w:gridSpan w:val="2"/>
          </w:tcPr>
          <w:p>
            <w:pPr>
              <w:jc w:val="right"/>
              <w:ind w:right="460"/>
              <w:spacing w:after="0" w:line="95" w:lineRule="exact"/>
              <w:rPr>
                <w:sz w:val="20"/>
                <w:szCs w:val="20"/>
                <w:color w:val="auto"/>
              </w:rPr>
            </w:pPr>
            <w:r>
              <w:rPr>
                <w:rFonts w:ascii="Arial" w:cs="Arial" w:eastAsia="Arial" w:hAnsi="Arial"/>
                <w:sz w:val="9"/>
                <w:szCs w:val="9"/>
                <w:b w:val="1"/>
                <w:bCs w:val="1"/>
                <w:color w:val="auto"/>
              </w:rPr>
              <w:t>shares issued,</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0"/>
              </w:rPr>
              <w:t>Available-for-</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18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0"/>
              </w:rPr>
              <w:t>notes 16(a) and</w:t>
            </w:r>
          </w:p>
        </w:tc>
        <w:tc>
          <w:tcPr>
            <w:tcW w:w="82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3"/>
              </w:rPr>
              <w:t>Capital</w:t>
            </w:r>
          </w:p>
        </w:tc>
        <w:tc>
          <w:tcPr>
            <w:tcW w:w="82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89"/>
              </w:rPr>
              <w:t>Treasury</w:t>
            </w:r>
          </w:p>
        </w:tc>
        <w:tc>
          <w:tcPr>
            <w:tcW w:w="82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99"/>
              </w:rPr>
              <w:t>Capital</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jc w:val="center"/>
              <w:spacing w:after="0" w:line="95" w:lineRule="exact"/>
              <w:rPr>
                <w:sz w:val="20"/>
                <w:szCs w:val="20"/>
                <w:color w:val="auto"/>
              </w:rPr>
            </w:pPr>
            <w:r>
              <w:rPr>
                <w:rFonts w:ascii="Arial" w:cs="Arial" w:eastAsia="Arial" w:hAnsi="Arial"/>
                <w:sz w:val="9"/>
                <w:szCs w:val="9"/>
                <w:b w:val="1"/>
                <w:bCs w:val="1"/>
                <w:color w:val="auto"/>
                <w:w w:val="85"/>
              </w:rPr>
              <w:t>sale investments</w:t>
            </w:r>
          </w:p>
        </w:tc>
        <w:tc>
          <w:tcPr>
            <w:tcW w:w="80" w:type="dxa"/>
            <w:vAlign w:val="bottom"/>
          </w:tcPr>
          <w:p>
            <w:pPr>
              <w:spacing w:after="0"/>
              <w:rPr>
                <w:sz w:val="8"/>
                <w:szCs w:val="8"/>
                <w:color w:val="auto"/>
              </w:rPr>
            </w:pPr>
          </w:p>
        </w:tc>
        <w:tc>
          <w:tcPr>
            <w:tcW w:w="780" w:type="dxa"/>
            <w:vAlign w:val="bottom"/>
            <w:gridSpan w:val="2"/>
          </w:tcPr>
          <w:p>
            <w:pPr>
              <w:jc w:val="right"/>
              <w:ind w:right="320"/>
              <w:spacing w:after="0" w:line="95" w:lineRule="exact"/>
              <w:rPr>
                <w:sz w:val="20"/>
                <w:szCs w:val="20"/>
                <w:color w:val="auto"/>
              </w:rPr>
            </w:pPr>
            <w:r>
              <w:rPr>
                <w:rFonts w:ascii="Arial" w:cs="Arial" w:eastAsia="Arial" w:hAnsi="Arial"/>
                <w:sz w:val="9"/>
                <w:szCs w:val="9"/>
                <w:b w:val="1"/>
                <w:bCs w:val="1"/>
                <w:color w:val="auto"/>
              </w:rPr>
              <w:t>Cash flow</w:t>
            </w:r>
          </w:p>
        </w:tc>
        <w:tc>
          <w:tcPr>
            <w:tcW w:w="760" w:type="dxa"/>
            <w:vAlign w:val="bottom"/>
            <w:gridSpan w:val="2"/>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2"/>
              </w:rPr>
              <w:t>Non-controlling</w:t>
            </w:r>
          </w:p>
        </w:tc>
        <w:tc>
          <w:tcPr>
            <w:tcW w:w="6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Arial" w:cs="Arial" w:eastAsia="Arial" w:hAnsi="Arial"/>
                <w:sz w:val="9"/>
                <w:szCs w:val="9"/>
                <w:b w:val="1"/>
                <w:bCs w:val="1"/>
                <w:color w:val="auto"/>
                <w:w w:val="79"/>
              </w:rPr>
              <w:t>25</w:t>
            </w:r>
          </w:p>
        </w:tc>
        <w:tc>
          <w:tcPr>
            <w:tcW w:w="260" w:type="dxa"/>
            <w:vAlign w:val="bottom"/>
          </w:tcPr>
          <w:p>
            <w:pPr>
              <w:spacing w:after="0"/>
              <w:rPr>
                <w:sz w:val="8"/>
                <w:szCs w:val="8"/>
                <w:color w:val="auto"/>
              </w:rPr>
            </w:pPr>
          </w:p>
        </w:tc>
        <w:tc>
          <w:tcPr>
            <w:tcW w:w="8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84"/>
              </w:rPr>
              <w:t>stock</w:t>
            </w:r>
          </w:p>
        </w:tc>
        <w:tc>
          <w:tcPr>
            <w:tcW w:w="8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84"/>
              </w:rPr>
              <w:t>stock</w:t>
            </w:r>
          </w:p>
        </w:tc>
        <w:tc>
          <w:tcPr>
            <w:tcW w:w="820" w:type="dxa"/>
            <w:vAlign w:val="bottom"/>
            <w:gridSpan w:val="2"/>
          </w:tcPr>
          <w:p>
            <w:pPr>
              <w:jc w:val="center"/>
              <w:ind w:right="240"/>
              <w:spacing w:after="0" w:line="97" w:lineRule="exact"/>
              <w:rPr>
                <w:sz w:val="20"/>
                <w:szCs w:val="20"/>
                <w:color w:val="auto"/>
              </w:rPr>
            </w:pPr>
            <w:r>
              <w:rPr>
                <w:rFonts w:ascii="Arial" w:cs="Arial" w:eastAsia="Arial" w:hAnsi="Arial"/>
                <w:sz w:val="9"/>
                <w:szCs w:val="9"/>
                <w:b w:val="1"/>
                <w:bCs w:val="1"/>
                <w:color w:val="auto"/>
                <w:w w:val="92"/>
              </w:rPr>
              <w:t>surplus</w:t>
            </w:r>
          </w:p>
        </w:tc>
        <w:tc>
          <w:tcPr>
            <w:tcW w:w="660" w:type="dxa"/>
            <w:vAlign w:val="bottom"/>
            <w:gridSpan w:val="2"/>
          </w:tcPr>
          <w:p>
            <w:pPr>
              <w:ind w:left="100"/>
              <w:spacing w:after="0" w:line="97" w:lineRule="exact"/>
              <w:rPr>
                <w:sz w:val="20"/>
                <w:szCs w:val="20"/>
                <w:color w:val="auto"/>
              </w:rPr>
            </w:pPr>
            <w:r>
              <w:rPr>
                <w:rFonts w:ascii="Arial" w:cs="Arial" w:eastAsia="Arial" w:hAnsi="Arial"/>
                <w:sz w:val="9"/>
                <w:szCs w:val="9"/>
                <w:b w:val="1"/>
                <w:bCs w:val="1"/>
                <w:color w:val="auto"/>
              </w:rPr>
              <w:t>Reserves</w:t>
            </w:r>
          </w:p>
        </w:tc>
        <w:tc>
          <w:tcPr>
            <w:tcW w:w="120" w:type="dxa"/>
            <w:vAlign w:val="bottom"/>
          </w:tcPr>
          <w:p>
            <w:pPr>
              <w:spacing w:after="0"/>
              <w:rPr>
                <w:sz w:val="8"/>
                <w:szCs w:val="8"/>
                <w:color w:val="auto"/>
              </w:rPr>
            </w:pPr>
          </w:p>
        </w:tc>
        <w:tc>
          <w:tcPr>
            <w:tcW w:w="740" w:type="dxa"/>
            <w:vAlign w:val="bottom"/>
            <w:gridSpan w:val="2"/>
          </w:tcPr>
          <w:p>
            <w:pPr>
              <w:jc w:val="center"/>
              <w:ind w:right="140"/>
              <w:spacing w:after="0" w:line="97" w:lineRule="exact"/>
              <w:rPr>
                <w:sz w:val="20"/>
                <w:szCs w:val="20"/>
                <w:color w:val="auto"/>
              </w:rPr>
            </w:pPr>
            <w:r>
              <w:rPr>
                <w:rFonts w:ascii="Arial" w:cs="Arial" w:eastAsia="Arial" w:hAnsi="Arial"/>
                <w:sz w:val="9"/>
                <w:szCs w:val="9"/>
                <w:b w:val="1"/>
                <w:bCs w:val="1"/>
                <w:color w:val="auto"/>
                <w:w w:val="87"/>
              </w:rPr>
              <w:t>reserve</w:t>
            </w:r>
          </w:p>
        </w:tc>
        <w:tc>
          <w:tcPr>
            <w:tcW w:w="860" w:type="dxa"/>
            <w:vAlign w:val="bottom"/>
            <w:gridSpan w:val="3"/>
          </w:tcPr>
          <w:p>
            <w:pPr>
              <w:jc w:val="right"/>
              <w:ind w:right="220"/>
              <w:spacing w:after="0" w:line="97" w:lineRule="exact"/>
              <w:rPr>
                <w:sz w:val="20"/>
                <w:szCs w:val="20"/>
                <w:color w:val="auto"/>
              </w:rPr>
            </w:pPr>
            <w:r>
              <w:rPr>
                <w:rFonts w:ascii="Arial" w:cs="Arial" w:eastAsia="Arial" w:hAnsi="Arial"/>
                <w:sz w:val="9"/>
                <w:szCs w:val="9"/>
                <w:b w:val="1"/>
                <w:bCs w:val="1"/>
                <w:color w:val="auto"/>
                <w:w w:val="93"/>
              </w:rPr>
              <w:t>hedges reserve</w:t>
            </w:r>
          </w:p>
        </w:tc>
        <w:tc>
          <w:tcPr>
            <w:tcW w:w="760" w:type="dxa"/>
            <w:vAlign w:val="bottom"/>
            <w:gridSpan w:val="2"/>
          </w:tcPr>
          <w:p>
            <w:pPr>
              <w:ind w:left="120"/>
              <w:spacing w:after="0" w:line="97" w:lineRule="exact"/>
              <w:rPr>
                <w:sz w:val="20"/>
                <w:szCs w:val="20"/>
                <w:color w:val="auto"/>
              </w:rPr>
            </w:pPr>
            <w:r>
              <w:rPr>
                <w:rFonts w:ascii="Arial" w:cs="Arial" w:eastAsia="Arial" w:hAnsi="Arial"/>
                <w:sz w:val="9"/>
                <w:szCs w:val="9"/>
                <w:b w:val="1"/>
                <w:bCs w:val="1"/>
                <w:color w:val="auto"/>
              </w:rPr>
              <w:t>earnings</w:t>
            </w:r>
          </w:p>
        </w:tc>
        <w:tc>
          <w:tcPr>
            <w:tcW w:w="780" w:type="dxa"/>
            <w:vAlign w:val="bottom"/>
            <w:gridSpan w:val="2"/>
          </w:tcPr>
          <w:p>
            <w:pPr>
              <w:jc w:val="right"/>
              <w:ind w:right="400"/>
              <w:spacing w:after="0" w:line="97" w:lineRule="exact"/>
              <w:rPr>
                <w:sz w:val="20"/>
                <w:szCs w:val="20"/>
                <w:color w:val="auto"/>
              </w:rPr>
            </w:pPr>
            <w:r>
              <w:rPr>
                <w:rFonts w:ascii="Arial" w:cs="Arial" w:eastAsia="Arial" w:hAnsi="Arial"/>
                <w:sz w:val="9"/>
                <w:szCs w:val="9"/>
                <w:b w:val="1"/>
                <w:bCs w:val="1"/>
                <w:color w:val="auto"/>
              </w:rPr>
              <w:t>Total</w:t>
            </w:r>
          </w:p>
        </w:tc>
        <w:tc>
          <w:tcPr>
            <w:tcW w:w="100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92"/>
              </w:rPr>
              <w:t>interest</w:t>
            </w:r>
          </w:p>
        </w:tc>
        <w:tc>
          <w:tcPr>
            <w:tcW w:w="660" w:type="dxa"/>
            <w:vAlign w:val="bottom"/>
            <w:gridSpan w:val="2"/>
          </w:tcPr>
          <w:p>
            <w:pPr>
              <w:jc w:val="center"/>
              <w:ind w:right="120"/>
              <w:spacing w:after="0" w:line="97" w:lineRule="exact"/>
              <w:rPr>
                <w:sz w:val="20"/>
                <w:szCs w:val="20"/>
                <w:color w:val="auto"/>
              </w:rPr>
            </w:pPr>
            <w:r>
              <w:rPr>
                <w:rFonts w:ascii="Arial" w:cs="Arial" w:eastAsia="Arial" w:hAnsi="Arial"/>
                <w:sz w:val="9"/>
                <w:szCs w:val="9"/>
                <w:b w:val="1"/>
                <w:bCs w:val="1"/>
                <w:color w:val="auto"/>
                <w:w w:val="89"/>
              </w:rPr>
              <w:t>net equity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9"/>
                <w:szCs w:val="9"/>
                <w:color w:val="auto"/>
                <w:w w:val="89"/>
              </w:rPr>
              <w:t>(In thousands of units)</w:t>
            </w:r>
          </w:p>
        </w:tc>
        <w:tc>
          <w:tcPr>
            <w:tcW w:w="820" w:type="dxa"/>
            <w:vAlign w:val="bottom"/>
            <w:gridSpan w:val="2"/>
          </w:tcPr>
          <w:p>
            <w:pPr>
              <w:jc w:val="center"/>
              <w:ind w:right="260"/>
              <w:spacing w:after="0"/>
              <w:rPr>
                <w:sz w:val="20"/>
                <w:szCs w:val="20"/>
                <w:color w:val="auto"/>
              </w:rPr>
            </w:pPr>
            <w:r>
              <w:rPr>
                <w:rFonts w:ascii="Arial" w:cs="Arial" w:eastAsia="Arial" w:hAnsi="Arial"/>
                <w:sz w:val="9"/>
                <w:szCs w:val="9"/>
                <w:color w:val="auto"/>
                <w:w w:val="93"/>
              </w:rPr>
              <w:t>US$(000)</w:t>
            </w:r>
          </w:p>
        </w:tc>
        <w:tc>
          <w:tcPr>
            <w:tcW w:w="820" w:type="dxa"/>
            <w:vAlign w:val="bottom"/>
            <w:gridSpan w:val="2"/>
          </w:tcPr>
          <w:p>
            <w:pPr>
              <w:jc w:val="center"/>
              <w:ind w:right="260"/>
              <w:spacing w:after="0"/>
              <w:rPr>
                <w:sz w:val="20"/>
                <w:szCs w:val="20"/>
                <w:color w:val="auto"/>
              </w:rPr>
            </w:pPr>
            <w:r>
              <w:rPr>
                <w:rFonts w:ascii="Arial" w:cs="Arial" w:eastAsia="Arial" w:hAnsi="Arial"/>
                <w:sz w:val="9"/>
                <w:szCs w:val="9"/>
                <w:color w:val="auto"/>
                <w:w w:val="93"/>
              </w:rPr>
              <w:t>US$(000)</w:t>
            </w:r>
          </w:p>
        </w:tc>
        <w:tc>
          <w:tcPr>
            <w:tcW w:w="820" w:type="dxa"/>
            <w:vAlign w:val="bottom"/>
            <w:gridSpan w:val="2"/>
          </w:tcPr>
          <w:p>
            <w:pPr>
              <w:jc w:val="center"/>
              <w:ind w:right="240"/>
              <w:spacing w:after="0"/>
              <w:rPr>
                <w:sz w:val="20"/>
                <w:szCs w:val="20"/>
                <w:color w:val="auto"/>
              </w:rPr>
            </w:pPr>
            <w:r>
              <w:rPr>
                <w:rFonts w:ascii="Arial" w:cs="Arial" w:eastAsia="Arial" w:hAnsi="Arial"/>
                <w:sz w:val="9"/>
                <w:szCs w:val="9"/>
                <w:color w:val="auto"/>
                <w:w w:val="88"/>
              </w:rPr>
              <w:t>US$(000)</w:t>
            </w:r>
          </w:p>
        </w:tc>
        <w:tc>
          <w:tcPr>
            <w:tcW w:w="660" w:type="dxa"/>
            <w:vAlign w:val="bottom"/>
            <w:gridSpan w:val="2"/>
          </w:tcPr>
          <w:p>
            <w:pPr>
              <w:ind w:left="100"/>
              <w:spacing w:after="0"/>
              <w:rPr>
                <w:sz w:val="20"/>
                <w:szCs w:val="20"/>
                <w:color w:val="auto"/>
              </w:rPr>
            </w:pPr>
            <w:r>
              <w:rPr>
                <w:rFonts w:ascii="Arial" w:cs="Arial" w:eastAsia="Arial" w:hAnsi="Arial"/>
                <w:sz w:val="9"/>
                <w:szCs w:val="9"/>
                <w:color w:val="auto"/>
              </w:rPr>
              <w:t>US$(000)</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color w:val="auto"/>
                <w:w w:val="93"/>
              </w:rPr>
              <w:t>US$(000)</w:t>
            </w:r>
          </w:p>
        </w:tc>
        <w:tc>
          <w:tcPr>
            <w:tcW w:w="80" w:type="dxa"/>
            <w:vAlign w:val="bottom"/>
          </w:tcPr>
          <w:p>
            <w:pPr>
              <w:spacing w:after="0"/>
              <w:rPr>
                <w:sz w:val="9"/>
                <w:szCs w:val="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760" w:type="dxa"/>
            <w:vAlign w:val="bottom"/>
            <w:gridSpan w:val="2"/>
          </w:tcPr>
          <w:p>
            <w:pPr>
              <w:ind w:left="100"/>
              <w:spacing w:after="0"/>
              <w:rPr>
                <w:sz w:val="20"/>
                <w:szCs w:val="20"/>
                <w:color w:val="auto"/>
              </w:rPr>
            </w:pPr>
            <w:r>
              <w:rPr>
                <w:rFonts w:ascii="Arial" w:cs="Arial" w:eastAsia="Arial" w:hAnsi="Arial"/>
                <w:sz w:val="9"/>
                <w:szCs w:val="9"/>
                <w:color w:val="auto"/>
              </w:rPr>
              <w:t>US$(000)</w:t>
            </w: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1000" w:type="dxa"/>
            <w:vAlign w:val="bottom"/>
            <w:gridSpan w:val="2"/>
          </w:tcPr>
          <w:p>
            <w:pPr>
              <w:jc w:val="center"/>
              <w:ind w:right="220"/>
              <w:spacing w:after="0"/>
              <w:rPr>
                <w:sz w:val="20"/>
                <w:szCs w:val="20"/>
                <w:color w:val="auto"/>
              </w:rPr>
            </w:pPr>
            <w:r>
              <w:rPr>
                <w:rFonts w:ascii="Arial" w:cs="Arial" w:eastAsia="Arial" w:hAnsi="Arial"/>
                <w:sz w:val="9"/>
                <w:szCs w:val="9"/>
                <w:color w:val="auto"/>
                <w:w w:val="88"/>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b w:val="1"/>
                <w:bCs w:val="1"/>
                <w:color w:val="auto"/>
              </w:rPr>
              <w:t>Balances as of January 1, 2009</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(73,107)</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140,693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815,387</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72,729</w:t>
            </w:r>
          </w:p>
        </w:tc>
        <w:tc>
          <w:tcPr>
            <w:tcW w:w="860" w:type="dxa"/>
            <w:vAlign w:val="bottom"/>
            <w:gridSpan w:val="3"/>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(118,122)</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379,680</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1,689,172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106,933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1,796,105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line="95" w:lineRule="exact"/>
              <w:rPr>
                <w:sz w:val="20"/>
                <w:szCs w:val="20"/>
                <w:color w:val="auto"/>
              </w:rPr>
            </w:pPr>
            <w:r>
              <w:rPr>
                <w:rFonts w:ascii="Arial" w:cs="Arial" w:eastAsia="Arial" w:hAnsi="Arial"/>
                <w:sz w:val="9"/>
                <w:szCs w:val="9"/>
                <w:color w:val="auto"/>
              </w:rPr>
              <w:t>Changes in equity for 2009 -</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469,785</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469,785</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34,651</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504,436</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216,248</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66,591</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282,839</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45,894</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328,733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216,248</w:t>
            </w:r>
          </w:p>
        </w:tc>
        <w:tc>
          <w:tcPr>
            <w:tcW w:w="860" w:type="dxa"/>
            <w:vAlign w:val="bottom"/>
            <w:gridSpan w:val="3"/>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66,591</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469,785</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752,624</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80,545</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833,169</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238,107</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(238,107)</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(119,303)</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(119,303)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(119,303)</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Purchase of treasury stock</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(1,135)</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(10,352)</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(11,487)</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(11,487)</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5,850</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5,850</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5,850</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(982)</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b w:val="1"/>
                <w:bCs w:val="1"/>
                <w:color w:val="auto"/>
              </w:rPr>
              <w:t>Balances as of December 31, 2009</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(74,242)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130,341</w:t>
            </w:r>
          </w:p>
        </w:tc>
        <w:tc>
          <w:tcPr>
            <w:tcW w:w="560" w:type="dxa"/>
            <w:vAlign w:val="bottom"/>
            <w:shd w:val="clear" w:color="auto" w:fill="CCFFCC"/>
          </w:tcPr>
          <w:p>
            <w:pPr>
              <w:jc w:val="right"/>
              <w:spacing w:after="0" w:line="88" w:lineRule="exact"/>
              <w:rPr>
                <w:sz w:val="20"/>
                <w:szCs w:val="20"/>
                <w:color w:val="auto"/>
              </w:rPr>
            </w:pPr>
            <w:r>
              <w:rPr>
                <w:rFonts w:ascii="Arial" w:cs="Arial" w:eastAsia="Arial" w:hAnsi="Arial"/>
                <w:sz w:val="9"/>
                <w:szCs w:val="9"/>
                <w:color w:val="auto"/>
              </w:rPr>
              <w:t>1,059,344</w:t>
            </w:r>
          </w:p>
        </w:tc>
        <w:tc>
          <w:tcPr>
            <w:tcW w:w="100" w:type="dxa"/>
            <w:vAlign w:val="bottom"/>
            <w:shd w:val="clear" w:color="auto" w:fill="CCFFCC"/>
          </w:tcPr>
          <w:p>
            <w:pPr>
              <w:spacing w:after="0"/>
              <w:rPr>
                <w:sz w:val="7"/>
                <w:szCs w:val="7"/>
                <w:color w:val="auto"/>
              </w:rPr>
            </w:pP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288,977</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(51,531)</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492,055</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2,316,856</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186,496</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2,503,352</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Changes in equity for 2010 -</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571,302</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571,302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32,013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603,315</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134,770</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(5,495)</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129,275</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22,657</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151,932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134,770</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(5,495)</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571,302</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700,577</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54,670</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755,247</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w w:val="99"/>
              </w:rPr>
              <w:t>Purchase of non-controlling interest, Note 2(b) and 3(b)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(4,289)</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(4,289)</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(180,682)</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(184,971)</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331,605</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(331,605)</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(135,595)</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(135,595)</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(135,595)</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Purchase of treasury stock,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(848)</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(14,154)</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(15,002)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(15,002)</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378</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3,450</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7,374</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11,202</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11,202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(3,982)</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(3,982)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2180" w:type="dxa"/>
            <w:vAlign w:val="bottom"/>
          </w:tcPr>
          <w:p>
            <w:pPr>
              <w:spacing w:after="0" w:line="88" w:lineRule="exact"/>
              <w:rPr>
                <w:sz w:val="20"/>
                <w:szCs w:val="20"/>
                <w:color w:val="auto"/>
              </w:rPr>
            </w:pPr>
            <w:r>
              <w:rPr>
                <w:rFonts w:ascii="Arial" w:cs="Arial" w:eastAsia="Arial" w:hAnsi="Arial"/>
                <w:sz w:val="9"/>
                <w:szCs w:val="9"/>
                <w:b w:val="1"/>
                <w:bCs w:val="1"/>
                <w:color w:val="auto"/>
              </w:rPr>
              <w:t>Balances as of December 31, 2010</w:t>
            </w:r>
          </w:p>
        </w:tc>
        <w:tc>
          <w:tcPr>
            <w:tcW w:w="1180" w:type="dxa"/>
            <w:vAlign w:val="bottom"/>
            <w:gridSpan w:val="2"/>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(74,712)</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119,637</w:t>
            </w:r>
          </w:p>
        </w:tc>
        <w:tc>
          <w:tcPr>
            <w:tcW w:w="560" w:type="dxa"/>
            <w:vAlign w:val="bottom"/>
          </w:tcPr>
          <w:p>
            <w:pPr>
              <w:jc w:val="right"/>
              <w:spacing w:after="0" w:line="88" w:lineRule="exact"/>
              <w:rPr>
                <w:sz w:val="20"/>
                <w:szCs w:val="20"/>
                <w:color w:val="auto"/>
              </w:rPr>
            </w:pPr>
            <w:r>
              <w:rPr>
                <w:rFonts w:ascii="Arial" w:cs="Arial" w:eastAsia="Arial" w:hAnsi="Arial"/>
                <w:sz w:val="9"/>
                <w:szCs w:val="9"/>
                <w:color w:val="auto"/>
              </w:rPr>
              <w:t>1,398,323</w:t>
            </w:r>
          </w:p>
        </w:tc>
        <w:tc>
          <w:tcPr>
            <w:tcW w:w="100" w:type="dxa"/>
            <w:vAlign w:val="bottom"/>
          </w:tcPr>
          <w:p>
            <w:pPr>
              <w:spacing w:after="0"/>
              <w:rPr>
                <w:sz w:val="7"/>
                <w:szCs w:val="7"/>
                <w:color w:val="auto"/>
              </w:rPr>
            </w:pPr>
          </w:p>
        </w:tc>
        <w:tc>
          <w:tcPr>
            <w:tcW w:w="860" w:type="dxa"/>
            <w:vAlign w:val="bottom"/>
            <w:gridSpan w:val="3"/>
          </w:tcPr>
          <w:p>
            <w:pPr>
              <w:jc w:val="right"/>
              <w:ind w:right="120"/>
              <w:spacing w:after="0" w:line="88" w:lineRule="exact"/>
              <w:rPr>
                <w:sz w:val="20"/>
                <w:szCs w:val="20"/>
                <w:color w:val="auto"/>
              </w:rPr>
            </w:pPr>
            <w:r>
              <w:rPr>
                <w:rFonts w:ascii="Arial" w:cs="Arial" w:eastAsia="Arial" w:hAnsi="Arial"/>
                <w:sz w:val="9"/>
                <w:szCs w:val="9"/>
                <w:color w:val="auto"/>
              </w:rPr>
              <w:t>423,747</w:t>
            </w:r>
          </w:p>
        </w:tc>
        <w:tc>
          <w:tcPr>
            <w:tcW w:w="860" w:type="dxa"/>
            <w:vAlign w:val="bottom"/>
            <w:gridSpan w:val="3"/>
          </w:tcPr>
          <w:p>
            <w:pPr>
              <w:jc w:val="right"/>
              <w:ind w:right="180"/>
              <w:spacing w:after="0" w:line="88" w:lineRule="exact"/>
              <w:rPr>
                <w:sz w:val="20"/>
                <w:szCs w:val="20"/>
                <w:color w:val="auto"/>
              </w:rPr>
            </w:pPr>
            <w:r>
              <w:rPr>
                <w:rFonts w:ascii="Arial" w:cs="Arial" w:eastAsia="Arial" w:hAnsi="Arial"/>
                <w:sz w:val="9"/>
                <w:szCs w:val="9"/>
                <w:color w:val="auto"/>
              </w:rPr>
              <w:t>(57,026)</w:t>
            </w:r>
          </w:p>
        </w:tc>
        <w:tc>
          <w:tcPr>
            <w:tcW w:w="760" w:type="dxa"/>
            <w:vAlign w:val="bottom"/>
            <w:gridSpan w:val="2"/>
          </w:tcPr>
          <w:p>
            <w:pPr>
              <w:jc w:val="right"/>
              <w:ind w:right="200"/>
              <w:spacing w:after="0" w:line="88" w:lineRule="exact"/>
              <w:rPr>
                <w:sz w:val="20"/>
                <w:szCs w:val="20"/>
                <w:color w:val="auto"/>
              </w:rPr>
            </w:pPr>
            <w:r>
              <w:rPr>
                <w:rFonts w:ascii="Arial" w:cs="Arial" w:eastAsia="Arial" w:hAnsi="Arial"/>
                <w:sz w:val="9"/>
                <w:szCs w:val="9"/>
                <w:color w:val="auto"/>
              </w:rPr>
              <w:t>591,868</w:t>
            </w:r>
          </w:p>
        </w:tc>
        <w:tc>
          <w:tcPr>
            <w:tcW w:w="78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2,873,749</w:t>
            </w:r>
          </w:p>
        </w:tc>
        <w:tc>
          <w:tcPr>
            <w:tcW w:w="100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56,502</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2,930,251</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Changes in equity for 2011 -</w:t>
            </w:r>
          </w:p>
        </w:tc>
        <w:tc>
          <w:tcPr>
            <w:tcW w:w="920" w:type="dxa"/>
            <w:vAlign w:val="bottom"/>
            <w:shd w:val="clear" w:color="auto" w:fill="CCFFCC"/>
          </w:tcPr>
          <w:p>
            <w:pPr>
              <w:spacing w:after="0"/>
              <w:rPr>
                <w:sz w:val="8"/>
                <w:szCs w:val="8"/>
                <w:color w:val="auto"/>
              </w:rPr>
            </w:pPr>
          </w:p>
        </w:tc>
        <w:tc>
          <w:tcPr>
            <w:tcW w:w="26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709,272</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709,272</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14,518</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723,790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(28,405)</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1,852</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(26,553)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4,570</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(21,983)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2180" w:type="dxa"/>
            <w:vAlign w:val="bottom"/>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00"/>
              <w:spacing w:after="0" w:line="88" w:lineRule="exact"/>
              <w:rPr>
                <w:sz w:val="20"/>
                <w:szCs w:val="20"/>
                <w:color w:val="auto"/>
              </w:rPr>
            </w:pPr>
            <w:r>
              <w:rPr>
                <w:rFonts w:ascii="Arial" w:cs="Arial" w:eastAsia="Arial" w:hAnsi="Arial"/>
                <w:sz w:val="9"/>
                <w:szCs w:val="9"/>
                <w:color w:val="auto"/>
              </w:rPr>
              <w:t>(28,405)</w:t>
            </w:r>
          </w:p>
        </w:tc>
        <w:tc>
          <w:tcPr>
            <w:tcW w:w="860" w:type="dxa"/>
            <w:vAlign w:val="bottom"/>
            <w:gridSpan w:val="3"/>
          </w:tcPr>
          <w:p>
            <w:pPr>
              <w:jc w:val="right"/>
              <w:ind w:right="220"/>
              <w:spacing w:after="0" w:line="88" w:lineRule="exact"/>
              <w:rPr>
                <w:sz w:val="20"/>
                <w:szCs w:val="20"/>
                <w:color w:val="auto"/>
              </w:rPr>
            </w:pPr>
            <w:r>
              <w:rPr>
                <w:rFonts w:ascii="Arial" w:cs="Arial" w:eastAsia="Arial" w:hAnsi="Arial"/>
                <w:sz w:val="9"/>
                <w:szCs w:val="9"/>
                <w:color w:val="auto"/>
              </w:rPr>
              <w:t>1,852</w:t>
            </w:r>
          </w:p>
        </w:tc>
        <w:tc>
          <w:tcPr>
            <w:tcW w:w="760" w:type="dxa"/>
            <w:vAlign w:val="bottom"/>
            <w:gridSpan w:val="2"/>
          </w:tcPr>
          <w:p>
            <w:pPr>
              <w:jc w:val="right"/>
              <w:ind w:right="200"/>
              <w:spacing w:after="0" w:line="88" w:lineRule="exact"/>
              <w:rPr>
                <w:sz w:val="20"/>
                <w:szCs w:val="20"/>
                <w:color w:val="auto"/>
              </w:rPr>
            </w:pPr>
            <w:r>
              <w:rPr>
                <w:rFonts w:ascii="Arial" w:cs="Arial" w:eastAsia="Arial" w:hAnsi="Arial"/>
                <w:sz w:val="9"/>
                <w:szCs w:val="9"/>
                <w:color w:val="auto"/>
              </w:rPr>
              <w:t>709,272</w:t>
            </w:r>
          </w:p>
        </w:tc>
        <w:tc>
          <w:tcPr>
            <w:tcW w:w="78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682,719</w:t>
            </w:r>
          </w:p>
        </w:tc>
        <w:tc>
          <w:tcPr>
            <w:tcW w:w="100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19,088</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701,807</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Purchase of non-controlling interest</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(1,228)</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(1,228)</w:t>
            </w:r>
          </w:p>
        </w:tc>
        <w:tc>
          <w:tcPr>
            <w:tcW w:w="100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(1,171)</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(2,399)</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407,822</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(407,822)</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(155,535)</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(155,535)</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(155,535)</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Purchase of treasury stock, Note 18(b)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(827)</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(16,661)</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(17,488)</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(17,488)</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662</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8,169</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6,832</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15,663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15,663</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(2,081)</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(2,081)</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(7,578)</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(9,659)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2180" w:type="dxa"/>
            <w:vAlign w:val="bottom"/>
            <w:shd w:val="clear" w:color="auto" w:fill="CCFFCC"/>
          </w:tcPr>
          <w:p>
            <w:pPr>
              <w:spacing w:after="0" w:line="88" w:lineRule="exact"/>
              <w:rPr>
                <w:sz w:val="20"/>
                <w:szCs w:val="20"/>
                <w:color w:val="auto"/>
              </w:rPr>
            </w:pPr>
            <w:r>
              <w:rPr>
                <w:rFonts w:ascii="Arial" w:cs="Arial" w:eastAsia="Arial" w:hAnsi="Arial"/>
                <w:sz w:val="9"/>
                <w:szCs w:val="9"/>
                <w:b w:val="1"/>
                <w:bCs w:val="1"/>
                <w:color w:val="auto"/>
              </w:rPr>
              <w:t>Balances as of December 31, 2011</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(74,877)</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111,145</w:t>
            </w:r>
          </w:p>
        </w:tc>
        <w:tc>
          <w:tcPr>
            <w:tcW w:w="560" w:type="dxa"/>
            <w:vAlign w:val="bottom"/>
            <w:shd w:val="clear" w:color="auto" w:fill="CCFFCC"/>
          </w:tcPr>
          <w:p>
            <w:pPr>
              <w:jc w:val="right"/>
              <w:spacing w:after="0" w:line="88" w:lineRule="exact"/>
              <w:rPr>
                <w:sz w:val="20"/>
                <w:szCs w:val="20"/>
                <w:color w:val="auto"/>
              </w:rPr>
            </w:pPr>
            <w:r>
              <w:rPr>
                <w:rFonts w:ascii="Arial" w:cs="Arial" w:eastAsia="Arial" w:hAnsi="Arial"/>
                <w:sz w:val="9"/>
                <w:szCs w:val="9"/>
                <w:color w:val="auto"/>
              </w:rPr>
              <w:t>1,812,977</w:t>
            </w:r>
          </w:p>
        </w:tc>
        <w:tc>
          <w:tcPr>
            <w:tcW w:w="100" w:type="dxa"/>
            <w:vAlign w:val="bottom"/>
            <w:shd w:val="clear" w:color="auto" w:fill="CCFFCC"/>
          </w:tcPr>
          <w:p>
            <w:pPr>
              <w:spacing w:after="0"/>
              <w:rPr>
                <w:sz w:val="9"/>
                <w:szCs w:val="9"/>
                <w:color w:val="auto"/>
              </w:rPr>
            </w:pP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395,342</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(55,174)</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734,474</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3,395,799</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66,841</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3,462,640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723,790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214,898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93,882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82,289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10,661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8,440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income tax</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(9,057)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(16,333)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(61,927)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3,250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Net (gain) loss on financial assets designated at fair value through profit and loss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24,640</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(64,477)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Gain (loss) on sales of property, furniture and equipment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(37,881)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(24,120)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for shared-based compensation plan</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7,014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73,527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(sale) of trading securities, net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39,957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(43,048)</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in loans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(3,443,013)</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(2,943,128)</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(187,916)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(3,190)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1,001,408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4,074,938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(174,949)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1,082,383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liabilities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91,822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263,147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(126,552)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(1,705,534)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3,191,706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(495,441)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subsidiary</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(82,656)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(purchase) sale of investments available-for-sale</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(2,468,326)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1,393,345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(100,819)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(80,184)</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of non-controlling interest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(2,399)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(184,971)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(2,653,674)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1,128,455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149,736</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F-10</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0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 xml:space="preserve">Consolidated statements of cash flows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Issuance of bonds and notes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1,841,332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1,449,323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Redemption and payments of bonds and notes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(398,406)</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(858,890)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(17,488)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(15,002)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(155,535)</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(135,595)</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(119,303)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1,269,903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439,836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325,219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(3,089,305)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4,759,997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Translation gain (loss) on cash and cash equivalents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47,752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(52,240)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8,544,415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3,836,658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5,502,862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8,544,415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504,278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401,156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254,564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172,481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1,816,992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1,462,520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1,315,704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2010</w:t>
      </w:r>
    </w:p>
    <w:p>
      <w:pPr>
        <w:spacing w:after="0" w:line="20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29" w:lineRule="exact"/>
        <w:rPr>
          <w:rFonts w:ascii="Arial" w:cs="Arial" w:eastAsia="Arial" w:hAnsi="Arial"/>
          <w:sz w:val="18"/>
          <w:szCs w:val="18"/>
          <w:b w:val="1"/>
          <w:bCs w:val="1"/>
          <w:color w:val="auto"/>
        </w:rPr>
      </w:pPr>
    </w:p>
    <w:p>
      <w:pPr>
        <w:ind w:left="5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70" w:lineRule="exact"/>
        <w:rPr>
          <w:rFonts w:ascii="Arial" w:cs="Arial" w:eastAsia="Arial" w:hAnsi="Arial"/>
          <w:sz w:val="18"/>
          <w:szCs w:val="18"/>
          <w:b w:val="1"/>
          <w:bCs w:val="1"/>
          <w:color w:val="auto"/>
        </w:rPr>
      </w:pPr>
    </w:p>
    <w:p>
      <w:pPr>
        <w:ind w:left="52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services and products throughout Peru and in certain other countries (Bolivia and Panama).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18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25" w:lineRule="exact"/>
        <w:rPr>
          <w:rFonts w:ascii="Arial" w:cs="Arial" w:eastAsia="Arial" w:hAnsi="Arial"/>
          <w:sz w:val="18"/>
          <w:szCs w:val="18"/>
          <w:b w:val="1"/>
          <w:bCs w:val="1"/>
          <w:color w:val="auto"/>
        </w:rPr>
      </w:pPr>
    </w:p>
    <w:p>
      <w:pPr>
        <w:ind w:left="52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as of and for the year ended December 31, 2010 were approved in the General Shareholders’ meeting held on March 31, 2011. The accompanying consolidated financial statements as of and for the year ended December 31, 2011, were approved by the Board of Directors Meeting of February 22, 2012 and by the General Shareholders’ Meeting of March, 30 2012 without modifications.</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rFonts w:ascii="Arial" w:cs="Arial" w:eastAsia="Arial" w:hAnsi="Arial"/>
          <w:sz w:val="18"/>
          <w:szCs w:val="18"/>
          <w:b w:val="1"/>
          <w:bCs w:val="1"/>
          <w:color w:val="auto"/>
        </w:rPr>
      </w:pPr>
    </w:p>
    <w:p>
      <w:pPr>
        <w:ind w:left="1000" w:hanging="492"/>
        <w:spacing w:after="0" w:line="286" w:lineRule="auto"/>
        <w:tabs>
          <w:tab w:leader="none" w:pos="1000" w:val="left"/>
        </w:tabs>
        <w:numPr>
          <w:ilvl w:val="1"/>
          <w:numId w:val="3"/>
        </w:numPr>
        <w:rPr>
          <w:rFonts w:ascii="Arial" w:cs="Arial" w:eastAsia="Arial" w:hAnsi="Arial"/>
          <w:sz w:val="17"/>
          <w:szCs w:val="17"/>
          <w:color w:val="auto"/>
        </w:rPr>
      </w:pPr>
      <w:r>
        <w:rPr>
          <w:rFonts w:ascii="Arial" w:cs="Arial" w:eastAsia="Arial" w:hAnsi="Arial"/>
          <w:sz w:val="17"/>
          <w:szCs w:val="17"/>
          <w:color w:val="auto"/>
        </w:rPr>
        <w:t>During 2011, Credicorp, through its Peruvian subsidiary Pacífico S.A. Entidad Prestadora de Salud (EPS), acquired the following Peruvian entities specialized in providing health services, health and wellness programs, primary and specialized ambulatory services, and comprehensive acute care services (hereinafter referred as “private hospitals”), for a total amount of approximately US$82.7 million:</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1980" w:type="dxa"/>
            <w:vAlign w:val="bottom"/>
          </w:tcPr>
          <w:p>
            <w:pPr>
              <w:jc w:val="center"/>
              <w:ind w:left="299"/>
              <w:spacing w:after="0"/>
              <w:rPr>
                <w:sz w:val="20"/>
                <w:szCs w:val="20"/>
                <w:color w:val="auto"/>
              </w:rPr>
            </w:pPr>
            <w:r>
              <w:rPr>
                <w:rFonts w:ascii="Arial" w:cs="Arial" w:eastAsia="Arial" w:hAnsi="Arial"/>
                <w:sz w:val="16"/>
                <w:szCs w:val="16"/>
                <w:b w:val="1"/>
                <w:bCs w:val="1"/>
                <w:color w:val="auto"/>
                <w:w w:val="89"/>
              </w:rPr>
              <w:t>Acquisition date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Activity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participation</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w:t>
            </w:r>
          </w:p>
        </w:tc>
      </w:tr>
      <w:tr>
        <w:trPr>
          <w:trHeight w:val="206"/>
        </w:trPr>
        <w:tc>
          <w:tcPr>
            <w:tcW w:w="3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US$(000)</w:t>
            </w:r>
          </w:p>
        </w:tc>
      </w:tr>
      <w:tr>
        <w:trPr>
          <w:trHeight w:val="209"/>
        </w:trPr>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740" w:type="dxa"/>
            <w:vAlign w:val="bottom"/>
            <w:shd w:val="clear" w:color="auto" w:fill="CCFFCC"/>
          </w:tcPr>
          <w:p>
            <w:pPr>
              <w:spacing w:after="0"/>
              <w:rPr>
                <w:sz w:val="20"/>
                <w:szCs w:val="20"/>
                <w:color w:val="auto"/>
              </w:rPr>
            </w:pPr>
            <w:r>
              <w:rPr>
                <w:rFonts w:ascii="Arial" w:cs="Arial" w:eastAsia="Arial" w:hAnsi="Arial"/>
                <w:sz w:val="16"/>
                <w:szCs w:val="16"/>
                <w:color w:val="auto"/>
              </w:rPr>
              <w:t>Doctor + S.A.C.</w:t>
            </w:r>
          </w:p>
        </w:tc>
        <w:tc>
          <w:tcPr>
            <w:tcW w:w="1980" w:type="dxa"/>
            <w:vAlign w:val="bottom"/>
            <w:shd w:val="clear" w:color="auto" w:fill="CCFFCC"/>
          </w:tcPr>
          <w:p>
            <w:pPr>
              <w:jc w:val="center"/>
              <w:ind w:left="279"/>
              <w:spacing w:after="0"/>
              <w:rPr>
                <w:sz w:val="20"/>
                <w:szCs w:val="20"/>
                <w:color w:val="auto"/>
              </w:rPr>
            </w:pPr>
            <w:r>
              <w:rPr>
                <w:rFonts w:ascii="Arial" w:cs="Arial" w:eastAsia="Arial" w:hAnsi="Arial"/>
                <w:sz w:val="16"/>
                <w:szCs w:val="16"/>
                <w:color w:val="auto"/>
                <w:w w:val="90"/>
              </w:rPr>
              <w:t>July,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Health services</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La Esperanza del Perú S.A.</w:t>
            </w:r>
          </w:p>
        </w:tc>
        <w:tc>
          <w:tcPr>
            <w:tcW w:w="1980" w:type="dxa"/>
            <w:vAlign w:val="bottom"/>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70.00</w:t>
            </w:r>
          </w:p>
        </w:tc>
        <w:tc>
          <w:tcPr>
            <w:tcW w:w="1060" w:type="dxa"/>
            <w:vAlign w:val="bottom"/>
          </w:tcPr>
          <w:p>
            <w:pPr>
              <w:jc w:val="right"/>
              <w:spacing w:after="0"/>
              <w:rPr>
                <w:sz w:val="20"/>
                <w:szCs w:val="20"/>
                <w:color w:val="auto"/>
              </w:rPr>
            </w:pPr>
            <w:r>
              <w:rPr>
                <w:rFonts w:ascii="Arial" w:cs="Arial" w:eastAsia="Arial" w:hAnsi="Arial"/>
                <w:sz w:val="16"/>
                <w:szCs w:val="16"/>
                <w:color w:val="auto"/>
              </w:rPr>
              <w:t>17,606</w:t>
            </w:r>
          </w:p>
        </w:tc>
        <w:tc>
          <w:tcPr>
            <w:tcW w:w="100" w:type="dxa"/>
            <w:vAlign w:val="bottom"/>
          </w:tcPr>
          <w:p>
            <w:pPr>
              <w:spacing w:after="0"/>
              <w:rPr>
                <w:sz w:val="17"/>
                <w:szCs w:val="17"/>
                <w:color w:val="auto"/>
              </w:rPr>
            </w:pPr>
          </w:p>
        </w:tc>
      </w:tr>
      <w:tr>
        <w:trPr>
          <w:trHeight w:val="203"/>
        </w:trPr>
        <w:tc>
          <w:tcPr>
            <w:tcW w:w="3740" w:type="dxa"/>
            <w:vAlign w:val="bottom"/>
            <w:shd w:val="clear" w:color="auto" w:fill="CCFFCC"/>
          </w:tcPr>
          <w:p>
            <w:pPr>
              <w:ind w:left="40"/>
              <w:spacing w:after="0"/>
              <w:rPr>
                <w:sz w:val="20"/>
                <w:szCs w:val="20"/>
                <w:color w:val="auto"/>
              </w:rPr>
            </w:pPr>
            <w:r>
              <w:rPr>
                <w:rFonts w:ascii="Arial" w:cs="Arial" w:eastAsia="Arial" w:hAnsi="Arial"/>
                <w:sz w:val="16"/>
                <w:szCs w:val="16"/>
                <w:color w:val="auto"/>
              </w:rPr>
              <w:t>Análisis Clínicos ML S.R.L.</w:t>
            </w:r>
          </w:p>
        </w:tc>
        <w:tc>
          <w:tcPr>
            <w:tcW w:w="1980" w:type="dxa"/>
            <w:vAlign w:val="bottom"/>
            <w:shd w:val="clear" w:color="auto" w:fill="CCFFCC"/>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Laboratory</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Galeno I.E.M. S.A.C.</w:t>
            </w:r>
          </w:p>
        </w:tc>
        <w:tc>
          <w:tcPr>
            <w:tcW w:w="1980" w:type="dxa"/>
            <w:vAlign w:val="bottom"/>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7"/>
                <w:szCs w:val="17"/>
                <w:color w:val="auto"/>
              </w:rPr>
            </w:pPr>
          </w:p>
        </w:tc>
      </w:tr>
      <w:tr>
        <w:trPr>
          <w:trHeight w:val="203"/>
        </w:trPr>
        <w:tc>
          <w:tcPr>
            <w:tcW w:w="3740" w:type="dxa"/>
            <w:vAlign w:val="bottom"/>
            <w:shd w:val="clear" w:color="auto" w:fill="CCFFCC"/>
          </w:tcPr>
          <w:p>
            <w:pPr>
              <w:spacing w:after="0"/>
              <w:rPr>
                <w:sz w:val="20"/>
                <w:szCs w:val="20"/>
                <w:color w:val="auto"/>
              </w:rPr>
            </w:pPr>
            <w:r>
              <w:rPr>
                <w:rFonts w:ascii="Arial" w:cs="Arial" w:eastAsia="Arial" w:hAnsi="Arial"/>
                <w:sz w:val="16"/>
                <w:szCs w:val="16"/>
                <w:color w:val="auto"/>
              </w:rPr>
              <w:t>Oncocare S.R.L.</w:t>
            </w:r>
          </w:p>
        </w:tc>
        <w:tc>
          <w:tcPr>
            <w:tcW w:w="1980" w:type="dxa"/>
            <w:vAlign w:val="bottom"/>
            <w:shd w:val="clear" w:color="auto" w:fill="CCFFCC"/>
          </w:tcPr>
          <w:p>
            <w:pPr>
              <w:jc w:val="center"/>
              <w:ind w:left="299"/>
              <w:spacing w:after="0"/>
              <w:rPr>
                <w:sz w:val="20"/>
                <w:szCs w:val="20"/>
                <w:color w:val="auto"/>
              </w:rPr>
            </w:pPr>
            <w:r>
              <w:rPr>
                <w:rFonts w:ascii="Arial" w:cs="Arial" w:eastAsia="Arial" w:hAnsi="Arial"/>
                <w:sz w:val="16"/>
                <w:szCs w:val="16"/>
                <w:color w:val="auto"/>
                <w:w w:val="91"/>
              </w:rPr>
              <w:t>November,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80.00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Sistemas de Administración Hospitalaria S.A.C.</w:t>
            </w:r>
          </w:p>
        </w:tc>
        <w:tc>
          <w:tcPr>
            <w:tcW w:w="1980" w:type="dxa"/>
            <w:vAlign w:val="bottom"/>
          </w:tcPr>
          <w:p>
            <w:pPr>
              <w:jc w:val="center"/>
              <w:ind w:left="279"/>
              <w:spacing w:after="0"/>
              <w:rPr>
                <w:sz w:val="20"/>
                <w:szCs w:val="20"/>
                <w:color w:val="auto"/>
              </w:rPr>
            </w:pPr>
            <w:r>
              <w:rPr>
                <w:rFonts w:ascii="Arial" w:cs="Arial" w:eastAsia="Arial" w:hAnsi="Arial"/>
                <w:sz w:val="16"/>
                <w:szCs w:val="16"/>
                <w:color w:val="auto"/>
                <w:w w:val="89"/>
              </w:rPr>
              <w:t>December,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97.32</w:t>
            </w:r>
          </w:p>
        </w:tc>
        <w:tc>
          <w:tcPr>
            <w:tcW w:w="1060" w:type="dxa"/>
            <w:vAlign w:val="bottom"/>
          </w:tcPr>
          <w:p>
            <w:pPr>
              <w:jc w:val="right"/>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17"/>
                <w:szCs w:val="17"/>
                <w:color w:val="auto"/>
              </w:rPr>
            </w:pPr>
          </w:p>
        </w:tc>
      </w:tr>
      <w:tr>
        <w:trPr>
          <w:trHeight w:val="203"/>
        </w:trPr>
        <w:tc>
          <w:tcPr>
            <w:tcW w:w="3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Servicios de Salud San Isidro</w:t>
            </w:r>
          </w:p>
        </w:tc>
        <w:tc>
          <w:tcPr>
            <w:tcW w:w="1980" w:type="dxa"/>
            <w:vAlign w:val="bottom"/>
            <w:tcBorders>
              <w:bottom w:val="single" w:sz="8" w:color="CCFFCC"/>
            </w:tcBorders>
            <w:shd w:val="clear" w:color="auto" w:fill="CCFFCC"/>
          </w:tcPr>
          <w:p>
            <w:pPr>
              <w:jc w:val="center"/>
              <w:ind w:left="279"/>
              <w:spacing w:after="0"/>
              <w:rPr>
                <w:sz w:val="20"/>
                <w:szCs w:val="20"/>
                <w:color w:val="auto"/>
              </w:rPr>
            </w:pPr>
            <w:r>
              <w:rPr>
                <w:rFonts w:ascii="Arial" w:cs="Arial" w:eastAsia="Arial" w:hAnsi="Arial"/>
                <w:sz w:val="16"/>
                <w:szCs w:val="16"/>
                <w:color w:val="auto"/>
                <w:w w:val="89"/>
              </w:rPr>
              <w:t>December, 2011</w:t>
            </w:r>
          </w:p>
        </w:tc>
        <w:tc>
          <w:tcPr>
            <w:tcW w:w="14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13,220</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96"/>
        </w:trPr>
        <w:tc>
          <w:tcPr>
            <w:tcW w:w="37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82,656</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76" w:lineRule="auto"/>
        <w:rPr>
          <w:sz w:val="20"/>
          <w:szCs w:val="20"/>
          <w:color w:val="auto"/>
        </w:rPr>
      </w:pPr>
      <w:r>
        <w:rPr>
          <w:rFonts w:ascii="Arial" w:cs="Arial" w:eastAsia="Arial" w:hAnsi="Arial"/>
          <w:sz w:val="17"/>
          <w:szCs w:val="17"/>
          <w:color w:val="auto"/>
        </w:rPr>
        <w:t>The acquisitions of these entities were recorded using the acquisition method, as required by IFRS 3, “Business Combinations”, applicable at the date of the transaction. Assets and liabilities were recorded at their estimated fair values at the acquisition dates, including the identified intangible assets unrecorded in the statements of financial position of each entity. The non-controlling interest in the acquiree was measured at fair value. Acquisition cost incurred were expensed and included in the caption “Administrative expenses” of the consolidated statements of income. Book value and the total fair value of the identified assets and liabilities were as follows:</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560" w:type="dxa"/>
            <w:vAlign w:val="bottom"/>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Book</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recognized on</w:t>
            </w:r>
          </w:p>
        </w:tc>
      </w:tr>
      <w:tr>
        <w:trPr>
          <w:trHeight w:val="220"/>
        </w:trPr>
        <w:tc>
          <w:tcPr>
            <w:tcW w:w="556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adjustments</w:t>
            </w: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acquisition</w:t>
            </w:r>
          </w:p>
        </w:tc>
      </w:tr>
      <w:tr>
        <w:trPr>
          <w:trHeight w:val="230"/>
        </w:trPr>
        <w:tc>
          <w:tcPr>
            <w:tcW w:w="55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receivables, net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8,761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8,761</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 Note 9(a)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25,356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21,514</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46,870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Intangible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Licenses, Note 10(a)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12,271</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12,271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Brand name, Note 10(a)</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10,587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10,587</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Client relationships, Note 10(a)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3,116</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3,212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r>
      <w:tr>
        <w:trPr>
          <w:trHeight w:val="216"/>
        </w:trPr>
        <w:tc>
          <w:tcPr>
            <w:tcW w:w="55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7,177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7,177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24,447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24,157</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1,334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14,333</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15,667</w:t>
            </w:r>
          </w:p>
        </w:tc>
      </w:tr>
      <w:tr>
        <w:trPr>
          <w:trHeight w:val="210"/>
        </w:trPr>
        <w:tc>
          <w:tcPr>
            <w:tcW w:w="55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identifiable net assets at fair value</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4,371</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33,445</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37,816</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controlling interest measured at fair value</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(700)</w:t>
            </w:r>
          </w:p>
        </w:tc>
        <w:tc>
          <w:tcPr>
            <w:tcW w:w="16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Goodwill arising on acquisition, Note 10(b)</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45,540</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45,540</w:t>
            </w:r>
          </w:p>
        </w:tc>
      </w:tr>
      <w:tr>
        <w:trPr>
          <w:trHeight w:val="210"/>
        </w:trPr>
        <w:tc>
          <w:tcPr>
            <w:tcW w:w="55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Purchase consideration</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4,371</w:t>
            </w:r>
          </w:p>
        </w:tc>
        <w:tc>
          <w:tcPr>
            <w:tcW w:w="18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78,285</w:t>
            </w:r>
          </w:p>
        </w:tc>
        <w:tc>
          <w:tcPr>
            <w:tcW w:w="180" w:type="dxa"/>
            <w:vAlign w:val="bottom"/>
            <w:shd w:val="clear" w:color="auto" w:fill="CCFFCC"/>
          </w:tcPr>
          <w:p>
            <w:pPr>
              <w:spacing w:after="0"/>
              <w:rPr>
                <w:sz w:val="20"/>
                <w:szCs w:val="20"/>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82,656</w:t>
            </w:r>
          </w:p>
        </w:tc>
      </w:tr>
      <w:tr>
        <w:trPr>
          <w:trHeight w:val="20"/>
        </w:trPr>
        <w:tc>
          <w:tcPr>
            <w:tcW w:w="55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Fair values of licenses, brand name and client relationship were estimated using the MEEM method (“Multi-period Excess Earnings Method”) based on discounted cash flows calculations of future benefits related to these intangible.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Considering the dates of acquisition, the initial accounting for the business combination is incomplete by the end of the reporting period. Therefore; certain amounts reported are provisional amounts. Credicorp during the measurement period, if necessary, will retrospectively adjust the provisional amounts recognized, including net assets or liabilities, at the acquisition dates to reflect new information obtained about facts and circumstances that existed as of the acquisition dates.</w:t>
      </w:r>
    </w:p>
    <w:p>
      <w:pPr>
        <w:spacing w:after="0" w:line="187" w:lineRule="exact"/>
        <w:rPr>
          <w:sz w:val="20"/>
          <w:szCs w:val="20"/>
          <w:color w:val="auto"/>
        </w:rPr>
      </w:pPr>
    </w:p>
    <w:p>
      <w:pPr>
        <w:ind w:left="1020" w:right="20"/>
        <w:spacing w:after="0" w:line="342" w:lineRule="auto"/>
        <w:rPr>
          <w:sz w:val="20"/>
          <w:szCs w:val="20"/>
          <w:color w:val="auto"/>
        </w:rPr>
      </w:pPr>
      <w:r>
        <w:rPr>
          <w:rFonts w:ascii="Arial" w:cs="Arial" w:eastAsia="Arial" w:hAnsi="Arial"/>
          <w:sz w:val="16"/>
          <w:szCs w:val="16"/>
          <w:color w:val="auto"/>
        </w:rPr>
        <w:t>The measurement period ends as soon as Credicorp receives the information seeked about facts and circumstances as of the acquisition dates or learns that more information is not obtainable. However, the measurement period will not exceed one year from the acquisition dates.</w:t>
      </w:r>
    </w:p>
    <w:p>
      <w:pPr>
        <w:spacing w:after="0" w:line="124" w:lineRule="exact"/>
        <w:rPr>
          <w:sz w:val="20"/>
          <w:szCs w:val="20"/>
          <w:color w:val="auto"/>
        </w:rPr>
      </w:pPr>
    </w:p>
    <w:p>
      <w:pPr>
        <w:ind w:left="1000" w:hanging="49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Non-controlling interest of Subsidiaries -</w:t>
      </w:r>
    </w:p>
    <w:p>
      <w:pPr>
        <w:spacing w:after="0" w:line="225"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During October 2010, Credicorp reached an agreement with American Life Insurance Company (hereinafter “ALICO”) to acquire its 20.10 percent and 38.00 percent stakes in El Pacifico Peruano – Suiza Compañía de Seguros y Reaseguros (PPS) and Pacifico Vida Compañía de Seguros y Reaseguros S.A. (PPV), respectively. Credicorp acquired PPV's shares and its subsidiary, Grupo Crédito S.A., acquired PPS’s shares. An additional 1.18 percent of non-controlling interest was acquired by Grupo Crédito S.A. from minority shareholders.</w:t>
      </w:r>
    </w:p>
    <w:p>
      <w:pPr>
        <w:spacing w:after="0" w:line="154" w:lineRule="exact"/>
        <w:rPr>
          <w:sz w:val="20"/>
          <w:szCs w:val="20"/>
          <w:color w:val="auto"/>
        </w:rPr>
      </w:pPr>
    </w:p>
    <w:p>
      <w:pPr>
        <w:ind w:left="1020" w:right="80"/>
        <w:spacing w:after="0" w:line="312" w:lineRule="auto"/>
        <w:rPr>
          <w:sz w:val="20"/>
          <w:szCs w:val="20"/>
          <w:color w:val="auto"/>
        </w:rPr>
      </w:pPr>
      <w:r>
        <w:rPr>
          <w:rFonts w:ascii="Arial" w:cs="Arial" w:eastAsia="Arial" w:hAnsi="Arial"/>
          <w:sz w:val="16"/>
          <w:szCs w:val="16"/>
          <w:color w:val="auto"/>
        </w:rPr>
        <w:t>The acquisition was recorded following IFRS 3 “Business Combinations” and IAS 27 (amendments) “Consolidated and Separate Financial Statements”, see Note 3(b). The total cash consideration paid was approximately US$174.0 million. The difference of US$3.3 million between the consideration paid and the carrying value of the interest acquired was recognized in “Retained earnings” within consolidated equity.</w:t>
      </w:r>
    </w:p>
    <w:p>
      <w:pPr>
        <w:spacing w:after="0" w:line="147" w:lineRule="exact"/>
        <w:rPr>
          <w:sz w:val="20"/>
          <w:szCs w:val="20"/>
          <w:color w:val="auto"/>
        </w:rPr>
      </w:pPr>
    </w:p>
    <w:p>
      <w:pPr>
        <w:ind w:left="1000" w:hanging="49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Empresa Financiera Edyficar S.A.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During October and November 2009, Credicorp, through its subsidiary BCP, acquired 99.79 percent of the capital stock of Empresa Financiera Edyficar S.A. (a Peruvian financial entity, serving micro and small size entrepreneurs, hereinafter “Edyficar”) for approximately US$96.1 million in cash.</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acquisition of Edyficar was recorded using the purchase method, as required by IFRS 3, “Business Combinations”, applicable at the date of the transaction. Book value and fair value of the identified assets and liabilities were as follows:</w:t>
      </w:r>
    </w:p>
    <w:p>
      <w:pPr>
        <w:spacing w:after="0" w:line="16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Book</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Fair value of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adjustments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acquired entity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80" w:type="dxa"/>
            <w:vAlign w:val="bottom"/>
          </w:tcPr>
          <w:p>
            <w:pPr>
              <w:jc w:val="right"/>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218,218</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(10,295)</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207,923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Client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6,574</w:t>
            </w:r>
          </w:p>
        </w:tc>
        <w:tc>
          <w:tcPr>
            <w:tcW w:w="184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Brand name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13,159</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Goodwill, Note 10(b)</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50,696</w:t>
            </w: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11,802</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3,263</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38,590</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Due to banks</w:t>
            </w:r>
          </w:p>
        </w:tc>
        <w:tc>
          <w:tcPr>
            <w:tcW w:w="1080" w:type="dxa"/>
            <w:vAlign w:val="bottom"/>
          </w:tcPr>
          <w:p>
            <w:pPr>
              <w:jc w:val="right"/>
              <w:spacing w:after="0"/>
              <w:rPr>
                <w:sz w:val="20"/>
                <w:szCs w:val="20"/>
                <w:color w:val="auto"/>
              </w:rPr>
            </w:pPr>
            <w:r>
              <w:rPr>
                <w:rFonts w:ascii="Arial" w:cs="Arial" w:eastAsia="Arial" w:hAnsi="Arial"/>
                <w:sz w:val="18"/>
                <w:szCs w:val="18"/>
                <w:color w:val="auto"/>
              </w:rPr>
              <w:t>138,257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6,611</w:t>
            </w: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25,054</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831</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40,184</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55,955</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96,139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5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170" w:lineRule="exact"/>
        <w:rPr>
          <w:rFonts w:ascii="Arial" w:cs="Arial" w:eastAsia="Arial" w:hAnsi="Arial"/>
          <w:sz w:val="18"/>
          <w:szCs w:val="18"/>
          <w:b w:val="1"/>
          <w:bCs w:val="1"/>
          <w:color w:val="auto"/>
        </w:rPr>
      </w:pPr>
    </w:p>
    <w:p>
      <w:pPr>
        <w:ind w:left="1000" w:hanging="492"/>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25" w:lineRule="exact"/>
        <w:rPr>
          <w:sz w:val="20"/>
          <w:szCs w:val="20"/>
          <w:color w:val="auto"/>
        </w:rPr>
      </w:pPr>
    </w:p>
    <w:p>
      <w:pPr>
        <w:ind w:left="1020" w:right="180"/>
        <w:spacing w:after="0" w:line="276" w:lineRule="auto"/>
        <w:rPr>
          <w:sz w:val="20"/>
          <w:szCs w:val="20"/>
          <w:color w:val="auto"/>
        </w:rPr>
      </w:pPr>
      <w:r>
        <w:rPr>
          <w:rFonts w:ascii="Arial" w:cs="Arial" w:eastAsia="Arial" w:hAnsi="Arial"/>
          <w:sz w:val="17"/>
          <w:szCs w:val="17"/>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trading securities, available-for-sale investments, derivative financial instruments, share-based payment and financial assets designated at fair value through profit or loss, which were measured at fair value. The consolidated financial statements are presented in United States Dollars (US$), and all values are rounded to the nearest US$ thousands, except when otherwise indicated.</w:t>
      </w:r>
    </w:p>
    <w:p>
      <w:pPr>
        <w:spacing w:after="0" w:line="17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60"/>
        <w:spacing w:after="0" w:line="293"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the estimated useful life of property, furniture and equipment, the estimated useful life of intangible assets and goodwill, the valuation of derivative financial instruments and the deferred tax assets and liabilities. The accounting criteria used for each of these items are described in this note.</w:t>
      </w:r>
    </w:p>
    <w:p>
      <w:pPr>
        <w:spacing w:after="0" w:line="165" w:lineRule="exact"/>
        <w:rPr>
          <w:sz w:val="20"/>
          <w:szCs w:val="20"/>
          <w:color w:val="auto"/>
        </w:rPr>
      </w:pPr>
    </w:p>
    <w:p>
      <w:pPr>
        <w:ind w:left="1020" w:right="160"/>
        <w:spacing w:after="0" w:line="264"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2011. The adoption of the following new and revised accounting standards did not have any significant impact on the consolidated financial position or performance of the Group:</w:t>
      </w:r>
    </w:p>
    <w:p>
      <w:pPr>
        <w:spacing w:after="0" w:line="181" w:lineRule="exact"/>
        <w:rPr>
          <w:sz w:val="20"/>
          <w:szCs w:val="20"/>
          <w:color w:val="auto"/>
        </w:rPr>
      </w:pPr>
    </w:p>
    <w:p>
      <w:pPr>
        <w:ind w:left="1520" w:right="20" w:hanging="499"/>
        <w:spacing w:after="0" w:line="308"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IAS 24 “Related Party Disclosures” (amendment), effective for periods beginning on or after January 1, 2011. The amendment simplifies the identification of related party relationships, particularly in relation to significant influence and joint control.</w:t>
      </w:r>
    </w:p>
    <w:p>
      <w:pPr>
        <w:spacing w:after="0" w:line="146" w:lineRule="exact"/>
        <w:rPr>
          <w:rFonts w:ascii="Arial" w:cs="Arial" w:eastAsia="Arial" w:hAnsi="Arial"/>
          <w:sz w:val="17"/>
          <w:szCs w:val="17"/>
          <w:color w:val="auto"/>
        </w:rPr>
      </w:pPr>
    </w:p>
    <w:p>
      <w:pPr>
        <w:ind w:left="1520" w:hanging="499"/>
        <w:spacing w:after="0" w:line="25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for annual periods beginning on or after February 1, 2010. The IAS amends the definition of a financial liability in order to classify rights issues (and certain options or warrants) as equity instruments in cases where such rights are given pro rata to all of the existing owners of the same class of an entity’s non-derivative equity instruments, or to acquire a fixed number of the entity’s own equity instruments for a fixed amount in any currency.</w:t>
      </w:r>
    </w:p>
    <w:p>
      <w:pPr>
        <w:spacing w:after="0" w:line="188" w:lineRule="exact"/>
        <w:rPr>
          <w:rFonts w:ascii="Arial" w:cs="Arial" w:eastAsia="Arial" w:hAnsi="Arial"/>
          <w:sz w:val="18"/>
          <w:szCs w:val="18"/>
          <w:color w:val="auto"/>
        </w:rPr>
      </w:pPr>
    </w:p>
    <w:p>
      <w:pPr>
        <w:ind w:left="1520" w:right="40" w:hanging="499"/>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for periods beginning on or after January 1, 2011. The IFRIC permits an entity to treat the prepayment of a minimum funding requirement as an asset.</w:t>
      </w:r>
    </w:p>
    <w:p>
      <w:pPr>
        <w:spacing w:after="0" w:line="170" w:lineRule="exact"/>
        <w:rPr>
          <w:rFonts w:ascii="Arial" w:cs="Arial" w:eastAsia="Arial" w:hAnsi="Arial"/>
          <w:sz w:val="18"/>
          <w:szCs w:val="18"/>
          <w:color w:val="auto"/>
        </w:rPr>
      </w:pPr>
    </w:p>
    <w:p>
      <w:pPr>
        <w:ind w:left="1520" w:hanging="499"/>
        <w:spacing w:after="0" w:line="259"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IFRIC 19 “Extinguishing Financial Liabilities with Equity Instruments”, effective for annual periods beginning on or after July 1, 2010. The interpretation clarifies that equity instruments issued to a creditor to extinguish a financial liability qualify as consideration paid. The equity instruments issued are measured at their fair value. In case this cannot be reliably measured, they are measured at the fair value of the liability extinguished. Any gain or loss is recognized immediately in profit or loss.</w:t>
      </w:r>
    </w:p>
    <w:p>
      <w:pPr>
        <w:spacing w:after="0" w:line="186" w:lineRule="exact"/>
        <w:rPr>
          <w:rFonts w:ascii="Arial" w:cs="Arial" w:eastAsia="Arial" w:hAnsi="Arial"/>
          <w:sz w:val="18"/>
          <w:szCs w:val="18"/>
          <w:color w:val="auto"/>
        </w:rPr>
      </w:pPr>
    </w:p>
    <w:p>
      <w:pPr>
        <w:ind w:left="1520" w:right="60" w:hanging="499"/>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Improvements to IFRSs (issued in May 2010). The IASB issued Improvements to IFRSs, an omnibus of amendments and improvements to its IFRS standards.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Subsidiaries -</w:t>
      </w:r>
    </w:p>
    <w:p>
      <w:pPr>
        <w:spacing w:after="0" w:line="225" w:lineRule="exact"/>
        <w:rPr>
          <w:sz w:val="20"/>
          <w:szCs w:val="20"/>
          <w:color w:val="auto"/>
        </w:rPr>
      </w:pPr>
    </w:p>
    <w:p>
      <w:pPr>
        <w:ind w:left="1020" w:right="580"/>
        <w:spacing w:after="0" w:line="277" w:lineRule="auto"/>
        <w:rPr>
          <w:sz w:val="20"/>
          <w:szCs w:val="20"/>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170" w:lineRule="exact"/>
        <w:rPr>
          <w:sz w:val="20"/>
          <w:szCs w:val="20"/>
          <w:color w:val="auto"/>
        </w:rPr>
      </w:pPr>
    </w:p>
    <w:p>
      <w:pPr>
        <w:jc w:val="both"/>
        <w:ind w:left="1000" w:right="100"/>
        <w:spacing w:after="0" w:line="286" w:lineRule="auto"/>
        <w:rPr>
          <w:sz w:val="20"/>
          <w:szCs w:val="20"/>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66"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Business combinations made after January 1, 2010 are accounted for using the acquisition method. The cost of an acquisition is measured as the aggregate of the consideration transferred, measured at acquisition date fair value and the amount of any non-controlling interest in the acquiree. For each business combination, the acquirer measures the noncontrolling interest in the acquiree at fair value. Acquisition costs incurred are expensed and included in the caption “Administrative expenses” of the consolidated statement of income.</w:t>
      </w:r>
    </w:p>
    <w:p>
      <w:pPr>
        <w:spacing w:after="0" w:line="154"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When the Group acquires a business, it assesses the financial assets and liabilities assumed for appropriate classification and designation in accordance with the contractual terms, economic circumstances and pertinent conditions as at the acquisition date. This includes the separation of embedded derivatives in host contracts by the acquiree.</w:t>
      </w:r>
    </w:p>
    <w:p>
      <w:pPr>
        <w:spacing w:after="0" w:line="181" w:lineRule="exact"/>
        <w:rPr>
          <w:sz w:val="20"/>
          <w:szCs w:val="20"/>
          <w:color w:val="auto"/>
        </w:rPr>
      </w:pPr>
    </w:p>
    <w:p>
      <w:pPr>
        <w:ind w:left="1020" w:right="80"/>
        <w:spacing w:after="0" w:line="259" w:lineRule="auto"/>
        <w:rPr>
          <w:sz w:val="20"/>
          <w:szCs w:val="20"/>
          <w:color w:val="auto"/>
        </w:rPr>
      </w:pPr>
      <w:r>
        <w:rPr>
          <w:rFonts w:ascii="Arial" w:cs="Arial" w:eastAsia="Arial" w:hAnsi="Arial"/>
          <w:sz w:val="18"/>
          <w:szCs w:val="18"/>
          <w:color w:val="auto"/>
        </w:rPr>
        <w:t>Any contingent consideration to be transferred by the acquirer is recognized at fair value at the acquisition date. Subsequent changes to the fair value of the contingent consideration which is deemed to be an asset or liability, will be recognized either in profit or loss or as a change to other comprehensive income. If the contingent consideration is classified as equity, it should not be remeasured until it is finally settled within equity.</w:t>
      </w:r>
    </w:p>
    <w:p>
      <w:pPr>
        <w:spacing w:after="0" w:line="187" w:lineRule="exact"/>
        <w:rPr>
          <w:sz w:val="20"/>
          <w:szCs w:val="20"/>
          <w:color w:val="auto"/>
        </w:rPr>
      </w:pPr>
    </w:p>
    <w:p>
      <w:pPr>
        <w:jc w:val="both"/>
        <w:ind w:left="1020" w:right="240"/>
        <w:spacing w:after="0" w:line="286" w:lineRule="auto"/>
        <w:rPr>
          <w:sz w:val="20"/>
          <w:szCs w:val="20"/>
          <w:color w:val="auto"/>
        </w:rPr>
      </w:pPr>
      <w:r>
        <w:rPr>
          <w:rFonts w:ascii="Arial" w:cs="Arial" w:eastAsia="Arial" w:hAnsi="Arial"/>
          <w:sz w:val="17"/>
          <w:szCs w:val="17"/>
          <w:color w:val="auto"/>
        </w:rPr>
        <w:t>Business combinations prior to January 1, 2010, in comparison to the above-mentioned requirements, were accounted for using the purchase method. Transaction costs directly attributable to the acquisition formed part of the acquisition costs. The non-controlling interest (formerly known as minority interest) was measured at the proportionate share of the acquiree’s identifiable net assets.</w:t>
      </w:r>
    </w:p>
    <w:p>
      <w:pPr>
        <w:spacing w:after="0" w:line="166"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Contingent consideration was recognized if, and only if, the Group had a present obligation, the economic outflow was more likely than not and a reliable estimate was determinable. Subsequent adjustments to the contingent consideration were recognized as part of goodwill.</w:t>
      </w:r>
    </w:p>
    <w:p>
      <w:pPr>
        <w:spacing w:after="0" w:line="124" w:lineRule="exact"/>
        <w:rPr>
          <w:sz w:val="20"/>
          <w:szCs w:val="20"/>
          <w:color w:val="auto"/>
        </w:rPr>
      </w:pPr>
    </w:p>
    <w:p>
      <w:pPr>
        <w:ind w:left="1020" w:right="500"/>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Net equity attributable to the non-controlling interest is presented in the consolidated statements of financial position. Income attributable to the non-controlling interest is presented separately in the consolidated income statements and the consolidated statements of comprehensive income.</w:t>
      </w:r>
    </w:p>
    <w:p>
      <w:pPr>
        <w:spacing w:after="0" w:line="181" w:lineRule="exact"/>
        <w:rPr>
          <w:sz w:val="20"/>
          <w:szCs w:val="20"/>
          <w:color w:val="auto"/>
        </w:rPr>
      </w:pPr>
    </w:p>
    <w:p>
      <w:pPr>
        <w:ind w:left="1020" w:right="300"/>
        <w:spacing w:after="0" w:line="342" w:lineRule="auto"/>
        <w:rPr>
          <w:sz w:val="20"/>
          <w:szCs w:val="20"/>
          <w:color w:val="auto"/>
        </w:rPr>
      </w:pPr>
      <w:r>
        <w:rPr>
          <w:rFonts w:ascii="Arial" w:cs="Arial" w:eastAsia="Arial" w:hAnsi="Arial"/>
          <w:sz w:val="16"/>
          <w:szCs w:val="16"/>
          <w:color w:val="auto"/>
        </w:rPr>
        <w:t>Acquisitions of non-controlling interest prior to January 1, 2010, were accounted for using the parent entity extension method, whereby, the difference between the consideration and the book value of the share of the net assets acquired were recognized in goodwill.</w:t>
      </w:r>
    </w:p>
    <w:p>
      <w:pPr>
        <w:spacing w:after="0" w:line="124"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Acquisitions of non-controlling interest starting January1, 2010, are recorded directly in equity; the difference between the amounts paid and the share of the net assets acquired is a debit or credit to equity. Therefore, no additional goodwill is recorded upon purchase of non-controlling interest nor a gain or loss is recognized upon disposal of a non-controlling interest.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Associates -</w:t>
      </w:r>
    </w:p>
    <w:p>
      <w:pPr>
        <w:spacing w:after="0" w:line="225" w:lineRule="exact"/>
        <w:rPr>
          <w:sz w:val="20"/>
          <w:szCs w:val="20"/>
          <w:color w:val="auto"/>
        </w:rPr>
      </w:pPr>
    </w:p>
    <w:p>
      <w:pPr>
        <w:ind w:left="1020" w:right="100"/>
        <w:spacing w:after="0" w:line="257"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2011 and 2010, the following entities comprise the Group (individual financial statements data is presented in accordance with</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40" w:type="dxa"/>
            <w:vAlign w:val="bottom"/>
            <w:gridSpan w:val="3"/>
          </w:tcPr>
          <w:p>
            <w:pPr>
              <w:ind w:left="20"/>
              <w:spacing w:after="0"/>
              <w:rPr>
                <w:sz w:val="20"/>
                <w:szCs w:val="20"/>
                <w:color w:val="auto"/>
              </w:rPr>
            </w:pPr>
            <w:r>
              <w:rPr>
                <w:rFonts w:ascii="Arial" w:cs="Arial" w:eastAsia="Arial" w:hAnsi="Arial"/>
                <w:sz w:val="9"/>
                <w:szCs w:val="9"/>
                <w:b w:val="1"/>
                <w:bCs w:val="1"/>
                <w:color w:val="auto"/>
              </w:rPr>
              <w:t>Percentage of participation (direct and</w:t>
            </w: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80" w:type="dxa"/>
            <w:vAlign w:val="bottom"/>
            <w:gridSpan w:val="2"/>
          </w:tcPr>
          <w:p>
            <w:pPr>
              <w:spacing w:after="0" w:line="84" w:lineRule="exact"/>
              <w:rPr>
                <w:sz w:val="20"/>
                <w:szCs w:val="20"/>
                <w:color w:val="auto"/>
              </w:rPr>
            </w:pPr>
            <w:r>
              <w:rPr>
                <w:rFonts w:ascii="Arial" w:cs="Arial" w:eastAsia="Arial" w:hAnsi="Arial"/>
                <w:sz w:val="9"/>
                <w:szCs w:val="9"/>
                <w:b w:val="1"/>
                <w:bCs w:val="1"/>
                <w:color w:val="auto"/>
              </w:rPr>
              <w:t>Entity</w:t>
            </w:r>
          </w:p>
        </w:tc>
        <w:tc>
          <w:tcPr>
            <w:tcW w:w="1020" w:type="dxa"/>
            <w:vAlign w:val="bottom"/>
          </w:tcPr>
          <w:p>
            <w:pPr>
              <w:jc w:val="right"/>
              <w:ind w:right="55"/>
              <w:spacing w:after="0" w:line="84" w:lineRule="exact"/>
              <w:rPr>
                <w:sz w:val="20"/>
                <w:szCs w:val="20"/>
                <w:color w:val="auto"/>
              </w:rPr>
            </w:pPr>
            <w:r>
              <w:rPr>
                <w:rFonts w:ascii="Arial" w:cs="Arial" w:eastAsia="Arial" w:hAnsi="Arial"/>
                <w:sz w:val="9"/>
                <w:szCs w:val="9"/>
                <w:b w:val="1"/>
                <w:bCs w:val="1"/>
                <w:color w:val="auto"/>
              </w:rPr>
              <w:t>indirect)</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ind w:right="15"/>
              <w:spacing w:after="0" w:line="84" w:lineRule="exact"/>
              <w:rPr>
                <w:sz w:val="20"/>
                <w:szCs w:val="20"/>
                <w:color w:val="auto"/>
              </w:rPr>
            </w:pPr>
            <w:r>
              <w:rPr>
                <w:rFonts w:ascii="Arial" w:cs="Arial" w:eastAsia="Arial" w:hAnsi="Arial"/>
                <w:sz w:val="9"/>
                <w:szCs w:val="9"/>
                <w:b w:val="1"/>
                <w:bCs w:val="1"/>
                <w:color w:val="auto"/>
              </w:rPr>
              <w:t>Assets</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Liabilities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Equity</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3"/>
          </w:tcPr>
          <w:p>
            <w:pPr>
              <w:jc w:val="right"/>
              <w:ind w:right="480"/>
              <w:spacing w:after="0" w:line="84" w:lineRule="exact"/>
              <w:rPr>
                <w:sz w:val="20"/>
                <w:szCs w:val="20"/>
                <w:color w:val="auto"/>
              </w:rPr>
            </w:pPr>
            <w:r>
              <w:rPr>
                <w:rFonts w:ascii="Arial" w:cs="Arial" w:eastAsia="Arial" w:hAnsi="Arial"/>
                <w:sz w:val="9"/>
                <w:szCs w:val="9"/>
                <w:b w:val="1"/>
                <w:bCs w:val="1"/>
                <w:color w:val="auto"/>
              </w:rPr>
              <w:t>Net income (loss)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Borders>
              <w:top w:val="single" w:sz="8" w:color="auto"/>
            </w:tcBorders>
          </w:tcPr>
          <w:p>
            <w:pPr>
              <w:jc w:val="right"/>
              <w:ind w:right="555"/>
              <w:spacing w:after="0" w:line="81" w:lineRule="exact"/>
              <w:rPr>
                <w:sz w:val="20"/>
                <w:szCs w:val="20"/>
                <w:color w:val="auto"/>
              </w:rPr>
            </w:pPr>
            <w:r>
              <w:rPr>
                <w:rFonts w:ascii="Arial" w:cs="Arial" w:eastAsia="Arial" w:hAnsi="Arial"/>
                <w:sz w:val="9"/>
                <w:szCs w:val="9"/>
                <w:b w:val="1"/>
                <w:bCs w:val="1"/>
                <w:color w:val="auto"/>
              </w:rPr>
              <w:t>2011</w:t>
            </w:r>
          </w:p>
        </w:tc>
        <w:tc>
          <w:tcPr>
            <w:tcW w:w="500" w:type="dxa"/>
            <w:vAlign w:val="bottom"/>
            <w:tcBorders>
              <w:top w:val="single" w:sz="8" w:color="auto"/>
            </w:tcBorders>
          </w:tcPr>
          <w:p>
            <w:pPr>
              <w:jc w:val="right"/>
              <w:ind w:right="195"/>
              <w:spacing w:after="0" w:line="81" w:lineRule="exact"/>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7"/>
                <w:szCs w:val="7"/>
                <w:color w:val="auto"/>
              </w:rPr>
            </w:pPr>
          </w:p>
        </w:tc>
        <w:tc>
          <w:tcPr>
            <w:tcW w:w="920" w:type="dxa"/>
            <w:vAlign w:val="bottom"/>
            <w:tcBorders>
              <w:top w:val="single" w:sz="8" w:color="auto"/>
            </w:tcBorders>
          </w:tcPr>
          <w:p>
            <w:pPr>
              <w:jc w:val="right"/>
              <w:ind w:right="475"/>
              <w:spacing w:after="0" w:line="81" w:lineRule="exact"/>
              <w:rPr>
                <w:sz w:val="20"/>
                <w:szCs w:val="20"/>
                <w:color w:val="auto"/>
              </w:rPr>
            </w:pPr>
            <w:r>
              <w:rPr>
                <w:rFonts w:ascii="Arial" w:cs="Arial" w:eastAsia="Arial" w:hAnsi="Arial"/>
                <w:sz w:val="9"/>
                <w:szCs w:val="9"/>
                <w:b w:val="1"/>
                <w:bCs w:val="1"/>
                <w:color w:val="auto"/>
              </w:rPr>
              <w:t>2011</w:t>
            </w:r>
          </w:p>
        </w:tc>
        <w:tc>
          <w:tcPr>
            <w:tcW w:w="560" w:type="dxa"/>
            <w:vAlign w:val="bottom"/>
            <w:tcBorders>
              <w:top w:val="single" w:sz="8" w:color="auto"/>
            </w:tcBorders>
          </w:tcPr>
          <w:p>
            <w:pPr>
              <w:jc w:val="right"/>
              <w:ind w:right="195"/>
              <w:spacing w:after="0" w:line="81" w:lineRule="exact"/>
              <w:rPr>
                <w:sz w:val="20"/>
                <w:szCs w:val="20"/>
                <w:color w:val="auto"/>
              </w:rPr>
            </w:pPr>
            <w:r>
              <w:rPr>
                <w:rFonts w:ascii="Arial" w:cs="Arial" w:eastAsia="Arial" w:hAnsi="Arial"/>
                <w:sz w:val="9"/>
                <w:szCs w:val="9"/>
                <w:b w:val="1"/>
                <w:bCs w:val="1"/>
                <w:color w:val="auto"/>
              </w:rPr>
              <w:t>2010</w:t>
            </w:r>
          </w:p>
        </w:tc>
        <w:tc>
          <w:tcPr>
            <w:tcW w:w="180" w:type="dxa"/>
            <w:vAlign w:val="bottom"/>
          </w:tcPr>
          <w:p>
            <w:pPr>
              <w:spacing w:after="0"/>
              <w:rPr>
                <w:sz w:val="7"/>
                <w:szCs w:val="7"/>
                <w:color w:val="auto"/>
              </w:rPr>
            </w:pPr>
          </w:p>
        </w:tc>
        <w:tc>
          <w:tcPr>
            <w:tcW w:w="920" w:type="dxa"/>
            <w:vAlign w:val="bottom"/>
            <w:tcBorders>
              <w:top w:val="single" w:sz="8" w:color="auto"/>
            </w:tcBorders>
          </w:tcPr>
          <w:p>
            <w:pPr>
              <w:jc w:val="right"/>
              <w:ind w:right="475"/>
              <w:spacing w:after="0" w:line="81" w:lineRule="exact"/>
              <w:rPr>
                <w:sz w:val="20"/>
                <w:szCs w:val="20"/>
                <w:color w:val="auto"/>
              </w:rPr>
            </w:pPr>
            <w:r>
              <w:rPr>
                <w:rFonts w:ascii="Arial" w:cs="Arial" w:eastAsia="Arial" w:hAnsi="Arial"/>
                <w:sz w:val="9"/>
                <w:szCs w:val="9"/>
                <w:b w:val="1"/>
                <w:bCs w:val="1"/>
                <w:color w:val="auto"/>
              </w:rPr>
              <w:t>2011</w:t>
            </w:r>
          </w:p>
        </w:tc>
        <w:tc>
          <w:tcPr>
            <w:tcW w:w="500" w:type="dxa"/>
            <w:vAlign w:val="bottom"/>
            <w:tcBorders>
              <w:top w:val="single" w:sz="8" w:color="auto"/>
            </w:tcBorders>
          </w:tcPr>
          <w:p>
            <w:pPr>
              <w:jc w:val="right"/>
              <w:ind w:right="175"/>
              <w:spacing w:after="0" w:line="81" w:lineRule="exact"/>
              <w:rPr>
                <w:sz w:val="20"/>
                <w:szCs w:val="20"/>
                <w:color w:val="auto"/>
              </w:rPr>
            </w:pPr>
            <w:r>
              <w:rPr>
                <w:rFonts w:ascii="Arial" w:cs="Arial" w:eastAsia="Arial" w:hAnsi="Arial"/>
                <w:sz w:val="9"/>
                <w:szCs w:val="9"/>
                <w:b w:val="1"/>
                <w:bCs w:val="1"/>
                <w:color w:val="auto"/>
              </w:rPr>
              <w:t>2010</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ind w:right="435"/>
              <w:spacing w:after="0" w:line="81" w:lineRule="exact"/>
              <w:rPr>
                <w:sz w:val="20"/>
                <w:szCs w:val="20"/>
                <w:color w:val="auto"/>
              </w:rPr>
            </w:pPr>
            <w:r>
              <w:rPr>
                <w:rFonts w:ascii="Arial" w:cs="Arial" w:eastAsia="Arial" w:hAnsi="Arial"/>
                <w:sz w:val="9"/>
                <w:szCs w:val="9"/>
                <w:b w:val="1"/>
                <w:bCs w:val="1"/>
                <w:color w:val="auto"/>
              </w:rPr>
              <w:t>2011</w:t>
            </w:r>
          </w:p>
        </w:tc>
        <w:tc>
          <w:tcPr>
            <w:tcW w:w="520" w:type="dxa"/>
            <w:vAlign w:val="bottom"/>
            <w:tcBorders>
              <w:top w:val="single" w:sz="8" w:color="auto"/>
            </w:tcBorders>
          </w:tcPr>
          <w:p>
            <w:pPr>
              <w:jc w:val="right"/>
              <w:ind w:right="155"/>
              <w:spacing w:after="0" w:line="81"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780" w:type="dxa"/>
            <w:vAlign w:val="bottom"/>
            <w:tcBorders>
              <w:top w:val="single" w:sz="8" w:color="auto"/>
            </w:tcBorders>
          </w:tcPr>
          <w:p>
            <w:pPr>
              <w:jc w:val="right"/>
              <w:ind w:right="355"/>
              <w:spacing w:after="0" w:line="81" w:lineRule="exact"/>
              <w:rPr>
                <w:sz w:val="20"/>
                <w:szCs w:val="20"/>
                <w:color w:val="auto"/>
              </w:rPr>
            </w:pPr>
            <w:r>
              <w:rPr>
                <w:rFonts w:ascii="Arial" w:cs="Arial" w:eastAsia="Arial" w:hAnsi="Arial"/>
                <w:sz w:val="9"/>
                <w:szCs w:val="9"/>
                <w:b w:val="1"/>
                <w:bCs w:val="1"/>
                <w:color w:val="auto"/>
              </w:rPr>
              <w:t>2011</w:t>
            </w:r>
          </w:p>
        </w:tc>
        <w:tc>
          <w:tcPr>
            <w:tcW w:w="620" w:type="dxa"/>
            <w:vAlign w:val="bottom"/>
            <w:tcBorders>
              <w:top w:val="single" w:sz="8" w:color="auto"/>
            </w:tcBorders>
          </w:tcPr>
          <w:p>
            <w:pPr>
              <w:jc w:val="right"/>
              <w:ind w:right="175"/>
              <w:spacing w:after="0" w:line="81" w:lineRule="exact"/>
              <w:rPr>
                <w:sz w:val="20"/>
                <w:szCs w:val="20"/>
                <w:color w:val="auto"/>
              </w:rPr>
            </w:pPr>
            <w:r>
              <w:rPr>
                <w:rFonts w:ascii="Arial" w:cs="Arial" w:eastAsia="Arial" w:hAnsi="Arial"/>
                <w:sz w:val="9"/>
                <w:szCs w:val="9"/>
                <w:b w:val="1"/>
                <w:bCs w:val="1"/>
                <w:color w:val="auto"/>
              </w:rPr>
              <w:t>2010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20" w:type="dxa"/>
            <w:vAlign w:val="bottom"/>
          </w:tcPr>
          <w:p>
            <w:pPr>
              <w:jc w:val="right"/>
              <w:ind w:right="615"/>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920" w:type="dxa"/>
            <w:vAlign w:val="bottom"/>
          </w:tcPr>
          <w:p>
            <w:pPr>
              <w:jc w:val="right"/>
              <w:ind w:right="395"/>
              <w:spacing w:after="0"/>
              <w:rPr>
                <w:sz w:val="20"/>
                <w:szCs w:val="20"/>
                <w:color w:val="auto"/>
              </w:rPr>
            </w:pPr>
            <w:r>
              <w:rPr>
                <w:rFonts w:ascii="Arial" w:cs="Arial" w:eastAsia="Arial" w:hAnsi="Arial"/>
                <w:sz w:val="9"/>
                <w:szCs w:val="9"/>
                <w:color w:val="auto"/>
              </w:rPr>
              <w:t>US$(000)</w:t>
            </w:r>
          </w:p>
        </w:tc>
        <w:tc>
          <w:tcPr>
            <w:tcW w:w="740" w:type="dxa"/>
            <w:vAlign w:val="bottom"/>
            <w:gridSpan w:val="2"/>
          </w:tcPr>
          <w:p>
            <w:pPr>
              <w:ind w:left="60"/>
              <w:spacing w:after="0"/>
              <w:rPr>
                <w:sz w:val="20"/>
                <w:szCs w:val="20"/>
                <w:color w:val="auto"/>
              </w:rPr>
            </w:pPr>
            <w:r>
              <w:rPr>
                <w:rFonts w:ascii="Arial" w:cs="Arial" w:eastAsia="Arial" w:hAnsi="Arial"/>
                <w:sz w:val="9"/>
                <w:szCs w:val="9"/>
                <w:color w:val="auto"/>
              </w:rPr>
              <w:t>US$(000)</w:t>
            </w:r>
          </w:p>
        </w:tc>
        <w:tc>
          <w:tcPr>
            <w:tcW w:w="920" w:type="dxa"/>
            <w:vAlign w:val="bottom"/>
          </w:tcPr>
          <w:p>
            <w:pPr>
              <w:jc w:val="right"/>
              <w:ind w:right="395"/>
              <w:spacing w:after="0"/>
              <w:rPr>
                <w:sz w:val="20"/>
                <w:szCs w:val="20"/>
                <w:color w:val="auto"/>
              </w:rPr>
            </w:pPr>
            <w:r>
              <w:rPr>
                <w:rFonts w:ascii="Arial" w:cs="Arial" w:eastAsia="Arial" w:hAnsi="Arial"/>
                <w:sz w:val="9"/>
                <w:szCs w:val="9"/>
                <w:color w:val="auto"/>
              </w:rPr>
              <w:t>US$(000)</w:t>
            </w:r>
          </w:p>
        </w:tc>
        <w:tc>
          <w:tcPr>
            <w:tcW w:w="680" w:type="dxa"/>
            <w:vAlign w:val="bottom"/>
            <w:gridSpan w:val="2"/>
          </w:tcPr>
          <w:p>
            <w:pPr>
              <w:spacing w:after="0"/>
              <w:rPr>
                <w:sz w:val="20"/>
                <w:szCs w:val="20"/>
                <w:color w:val="auto"/>
              </w:rPr>
            </w:pPr>
            <w:r>
              <w:rPr>
                <w:rFonts w:ascii="Arial" w:cs="Arial" w:eastAsia="Arial" w:hAnsi="Arial"/>
                <w:sz w:val="9"/>
                <w:szCs w:val="9"/>
                <w:color w:val="auto"/>
              </w:rPr>
              <w:t>US$(000)</w:t>
            </w:r>
          </w:p>
        </w:tc>
        <w:tc>
          <w:tcPr>
            <w:tcW w:w="880" w:type="dxa"/>
            <w:vAlign w:val="bottom"/>
          </w:tcPr>
          <w:p>
            <w:pPr>
              <w:jc w:val="right"/>
              <w:ind w:right="355"/>
              <w:spacing w:after="0"/>
              <w:rPr>
                <w:sz w:val="20"/>
                <w:szCs w:val="20"/>
                <w:color w:val="auto"/>
              </w:rPr>
            </w:pPr>
            <w:r>
              <w:rPr>
                <w:rFonts w:ascii="Arial" w:cs="Arial" w:eastAsia="Arial" w:hAnsi="Arial"/>
                <w:sz w:val="9"/>
                <w:szCs w:val="9"/>
                <w:color w:val="auto"/>
              </w:rPr>
              <w:t>US$(000)</w:t>
            </w:r>
          </w:p>
        </w:tc>
        <w:tc>
          <w:tcPr>
            <w:tcW w:w="720" w:type="dxa"/>
            <w:vAlign w:val="bottom"/>
            <w:gridSpan w:val="2"/>
          </w:tcPr>
          <w:p>
            <w:pPr>
              <w:jc w:val="right"/>
              <w:ind w:right="320"/>
              <w:spacing w:after="0"/>
              <w:rPr>
                <w:sz w:val="20"/>
                <w:szCs w:val="20"/>
                <w:color w:val="auto"/>
              </w:rPr>
            </w:pPr>
            <w:r>
              <w:rPr>
                <w:rFonts w:ascii="Arial" w:cs="Arial" w:eastAsia="Arial" w:hAnsi="Arial"/>
                <w:sz w:val="9"/>
                <w:szCs w:val="9"/>
                <w:color w:val="auto"/>
                <w:w w:val="98"/>
              </w:rPr>
              <w:t>US$(000)</w:t>
            </w:r>
          </w:p>
        </w:tc>
        <w:tc>
          <w:tcPr>
            <w:tcW w:w="780" w:type="dxa"/>
            <w:vAlign w:val="bottom"/>
          </w:tcPr>
          <w:p>
            <w:pPr>
              <w:jc w:val="right"/>
              <w:ind w:right="255"/>
              <w:spacing w:after="0"/>
              <w:rPr>
                <w:sz w:val="20"/>
                <w:szCs w:val="20"/>
                <w:color w:val="auto"/>
              </w:rPr>
            </w:pPr>
            <w:r>
              <w:rPr>
                <w:rFonts w:ascii="Arial" w:cs="Arial" w:eastAsia="Arial" w:hAnsi="Arial"/>
                <w:sz w:val="9"/>
                <w:szCs w:val="9"/>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US$(000)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16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Banco de Crédito del Perú and Subsidiaries (i)</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97.65</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97.60</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26,976,489</w:t>
            </w:r>
          </w:p>
        </w:tc>
        <w:tc>
          <w:tcPr>
            <w:tcW w:w="56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25,376,947</w:t>
            </w:r>
          </w:p>
        </w:tc>
        <w:tc>
          <w:tcPr>
            <w:tcW w:w="180" w:type="dxa"/>
            <w:vAlign w:val="bottom"/>
            <w:shd w:val="clear" w:color="auto" w:fill="CCFFCC"/>
          </w:tcPr>
          <w:p>
            <w:pPr>
              <w:spacing w:after="0"/>
              <w:rPr>
                <w:sz w:val="8"/>
                <w:szCs w:val="8"/>
                <w:color w:val="auto"/>
              </w:rPr>
            </w:pP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24,633,735</w:t>
            </w:r>
          </w:p>
        </w:tc>
        <w:tc>
          <w:tcPr>
            <w:tcW w:w="50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23,383,760</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2,342,754</w:t>
            </w:r>
          </w:p>
        </w:tc>
        <w:tc>
          <w:tcPr>
            <w:tcW w:w="52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1,993,187</w:t>
            </w:r>
          </w:p>
        </w:tc>
        <w:tc>
          <w:tcPr>
            <w:tcW w:w="200" w:type="dxa"/>
            <w:vAlign w:val="bottom"/>
            <w:shd w:val="clear" w:color="auto" w:fill="CCFFCC"/>
          </w:tcPr>
          <w:p>
            <w:pPr>
              <w:spacing w:after="0"/>
              <w:rPr>
                <w:sz w:val="8"/>
                <w:szCs w:val="8"/>
                <w:color w:val="auto"/>
              </w:rPr>
            </w:pP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577,711</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476,316</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160" w:type="dxa"/>
            <w:vAlign w:val="bottom"/>
          </w:tcPr>
          <w:p>
            <w:pPr>
              <w:spacing w:after="0" w:line="88" w:lineRule="exact"/>
              <w:rPr>
                <w:sz w:val="20"/>
                <w:szCs w:val="20"/>
                <w:color w:val="auto"/>
              </w:rPr>
            </w:pPr>
            <w:r>
              <w:rPr>
                <w:rFonts w:ascii="Arial" w:cs="Arial" w:eastAsia="Arial" w:hAnsi="Arial"/>
                <w:sz w:val="9"/>
                <w:szCs w:val="9"/>
                <w:color w:val="auto"/>
                <w:w w:val="99"/>
              </w:rPr>
              <w:t>Atlantic Security Holding Corporation and Subsidiaries</w:t>
            </w: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ind w:left="120"/>
              <w:spacing w:after="0" w:line="102" w:lineRule="exact"/>
              <w:rPr>
                <w:sz w:val="20"/>
                <w:szCs w:val="20"/>
                <w:color w:val="auto"/>
              </w:rPr>
            </w:pPr>
            <w:r>
              <w:rPr>
                <w:rFonts w:ascii="Arial" w:cs="Arial" w:eastAsia="Arial" w:hAnsi="Arial"/>
                <w:sz w:val="9"/>
                <w:szCs w:val="9"/>
                <w:color w:val="auto"/>
              </w:rPr>
              <w:t>(ii)</w:t>
            </w:r>
          </w:p>
        </w:tc>
        <w:tc>
          <w:tcPr>
            <w:tcW w:w="1020" w:type="dxa"/>
            <w:vAlign w:val="bottom"/>
          </w:tcPr>
          <w:p>
            <w:pPr>
              <w:jc w:val="right"/>
              <w:ind w:right="315"/>
              <w:spacing w:after="0" w:line="102" w:lineRule="exact"/>
              <w:rPr>
                <w:sz w:val="20"/>
                <w:szCs w:val="20"/>
                <w:color w:val="auto"/>
              </w:rPr>
            </w:pPr>
            <w:r>
              <w:rPr>
                <w:rFonts w:ascii="Arial" w:cs="Arial" w:eastAsia="Arial" w:hAnsi="Arial"/>
                <w:sz w:val="9"/>
                <w:szCs w:val="9"/>
                <w:color w:val="auto"/>
              </w:rPr>
              <w:t>100.00</w:t>
            </w:r>
          </w:p>
        </w:tc>
        <w:tc>
          <w:tcPr>
            <w:tcW w:w="72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100.00</w:t>
            </w:r>
          </w:p>
        </w:tc>
        <w:tc>
          <w:tcPr>
            <w:tcW w:w="920" w:type="dxa"/>
            <w:vAlign w:val="bottom"/>
          </w:tcPr>
          <w:p>
            <w:pPr>
              <w:jc w:val="right"/>
              <w:ind w:right="255"/>
              <w:spacing w:after="0" w:line="102" w:lineRule="exact"/>
              <w:rPr>
                <w:sz w:val="20"/>
                <w:szCs w:val="20"/>
                <w:color w:val="auto"/>
              </w:rPr>
            </w:pPr>
            <w:r>
              <w:rPr>
                <w:rFonts w:ascii="Arial" w:cs="Arial" w:eastAsia="Arial" w:hAnsi="Arial"/>
                <w:sz w:val="9"/>
                <w:szCs w:val="9"/>
                <w:color w:val="auto"/>
              </w:rPr>
              <w:t>1,586,083</w:t>
            </w:r>
          </w:p>
        </w:tc>
        <w:tc>
          <w:tcPr>
            <w:tcW w:w="560" w:type="dxa"/>
            <w:vAlign w:val="bottom"/>
          </w:tcPr>
          <w:p>
            <w:pPr>
              <w:jc w:val="right"/>
              <w:spacing w:after="0" w:line="102" w:lineRule="exact"/>
              <w:rPr>
                <w:sz w:val="20"/>
                <w:szCs w:val="20"/>
                <w:color w:val="auto"/>
              </w:rPr>
            </w:pPr>
            <w:r>
              <w:rPr>
                <w:rFonts w:ascii="Arial" w:cs="Arial" w:eastAsia="Arial" w:hAnsi="Arial"/>
                <w:sz w:val="9"/>
                <w:szCs w:val="9"/>
                <w:color w:val="auto"/>
              </w:rPr>
              <w:t>1,400,479</w:t>
            </w:r>
          </w:p>
        </w:tc>
        <w:tc>
          <w:tcPr>
            <w:tcW w:w="180" w:type="dxa"/>
            <w:vAlign w:val="bottom"/>
          </w:tcPr>
          <w:p>
            <w:pPr>
              <w:spacing w:after="0"/>
              <w:rPr>
                <w:sz w:val="8"/>
                <w:szCs w:val="8"/>
                <w:color w:val="auto"/>
              </w:rPr>
            </w:pPr>
          </w:p>
        </w:tc>
        <w:tc>
          <w:tcPr>
            <w:tcW w:w="920" w:type="dxa"/>
            <w:vAlign w:val="bottom"/>
          </w:tcPr>
          <w:p>
            <w:pPr>
              <w:jc w:val="right"/>
              <w:ind w:right="255"/>
              <w:spacing w:after="0" w:line="102" w:lineRule="exact"/>
              <w:rPr>
                <w:sz w:val="20"/>
                <w:szCs w:val="20"/>
                <w:color w:val="auto"/>
              </w:rPr>
            </w:pPr>
            <w:r>
              <w:rPr>
                <w:rFonts w:ascii="Arial" w:cs="Arial" w:eastAsia="Arial" w:hAnsi="Arial"/>
                <w:sz w:val="9"/>
                <w:szCs w:val="9"/>
                <w:color w:val="auto"/>
              </w:rPr>
              <w:t>1,363,444</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1,162,691</w:t>
            </w:r>
          </w:p>
        </w:tc>
        <w:tc>
          <w:tcPr>
            <w:tcW w:w="180" w:type="dxa"/>
            <w:vAlign w:val="bottom"/>
          </w:tcPr>
          <w:p>
            <w:pPr>
              <w:spacing w:after="0"/>
              <w:rPr>
                <w:sz w:val="8"/>
                <w:szCs w:val="8"/>
                <w:color w:val="auto"/>
              </w:rPr>
            </w:pPr>
          </w:p>
        </w:tc>
        <w:tc>
          <w:tcPr>
            <w:tcW w:w="880" w:type="dxa"/>
            <w:vAlign w:val="bottom"/>
          </w:tcPr>
          <w:p>
            <w:pPr>
              <w:jc w:val="right"/>
              <w:ind w:right="235"/>
              <w:spacing w:after="0" w:line="102" w:lineRule="exact"/>
              <w:rPr>
                <w:sz w:val="20"/>
                <w:szCs w:val="20"/>
                <w:color w:val="auto"/>
              </w:rPr>
            </w:pPr>
            <w:r>
              <w:rPr>
                <w:rFonts w:ascii="Arial" w:cs="Arial" w:eastAsia="Arial" w:hAnsi="Arial"/>
                <w:sz w:val="9"/>
                <w:szCs w:val="9"/>
                <w:color w:val="auto"/>
              </w:rPr>
              <w:t>222,639</w:t>
            </w:r>
          </w:p>
        </w:tc>
        <w:tc>
          <w:tcPr>
            <w:tcW w:w="7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237,788</w:t>
            </w:r>
          </w:p>
        </w:tc>
        <w:tc>
          <w:tcPr>
            <w:tcW w:w="780" w:type="dxa"/>
            <w:vAlign w:val="bottom"/>
          </w:tcPr>
          <w:p>
            <w:pPr>
              <w:jc w:val="right"/>
              <w:ind w:right="135"/>
              <w:spacing w:after="0" w:line="102" w:lineRule="exact"/>
              <w:rPr>
                <w:sz w:val="20"/>
                <w:szCs w:val="20"/>
                <w:color w:val="auto"/>
              </w:rPr>
            </w:pPr>
            <w:r>
              <w:rPr>
                <w:rFonts w:ascii="Arial" w:cs="Arial" w:eastAsia="Arial" w:hAnsi="Arial"/>
                <w:sz w:val="9"/>
                <w:szCs w:val="9"/>
                <w:color w:val="auto"/>
              </w:rPr>
              <w:t>42,454</w:t>
            </w:r>
          </w:p>
        </w:tc>
        <w:tc>
          <w:tcPr>
            <w:tcW w:w="72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48,801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160" w:type="dxa"/>
            <w:vAlign w:val="bottom"/>
            <w:shd w:val="clear" w:color="auto" w:fill="CCFFCC"/>
          </w:tcPr>
          <w:p>
            <w:pPr>
              <w:spacing w:after="0" w:line="88" w:lineRule="exact"/>
              <w:rPr>
                <w:sz w:val="20"/>
                <w:szCs w:val="20"/>
                <w:color w:val="auto"/>
              </w:rPr>
            </w:pPr>
            <w:r>
              <w:rPr>
                <w:rFonts w:ascii="Arial" w:cs="Arial" w:eastAsia="Arial" w:hAnsi="Arial"/>
                <w:sz w:val="9"/>
                <w:szCs w:val="9"/>
                <w:color w:val="auto"/>
              </w:rPr>
              <w:t>El Pacífico Peruano-Suiza Compañía de Seguros y</w:t>
            </w:r>
          </w:p>
        </w:tc>
        <w:tc>
          <w:tcPr>
            <w:tcW w:w="1020" w:type="dxa"/>
            <w:vAlign w:val="bottom"/>
            <w:shd w:val="clear" w:color="auto" w:fill="CCFFCC"/>
          </w:tcPr>
          <w:p>
            <w:pPr>
              <w:spacing w:after="0"/>
              <w:rPr>
                <w:sz w:val="7"/>
                <w:szCs w:val="7"/>
                <w:color w:val="auto"/>
              </w:rPr>
            </w:pPr>
          </w:p>
        </w:tc>
        <w:tc>
          <w:tcPr>
            <w:tcW w:w="50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5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50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shd w:val="clear" w:color="auto" w:fill="CCFFCC"/>
          </w:tcPr>
          <w:p>
            <w:pPr>
              <w:ind w:left="120"/>
              <w:spacing w:after="0" w:line="102" w:lineRule="exact"/>
              <w:rPr>
                <w:sz w:val="20"/>
                <w:szCs w:val="20"/>
                <w:color w:val="auto"/>
              </w:rPr>
            </w:pPr>
            <w:r>
              <w:rPr>
                <w:rFonts w:ascii="Arial" w:cs="Arial" w:eastAsia="Arial" w:hAnsi="Arial"/>
                <w:sz w:val="9"/>
                <w:szCs w:val="9"/>
                <w:color w:val="auto"/>
              </w:rPr>
              <w:t>Reaseguros and Subsidiaries (iii)</w:t>
            </w:r>
          </w:p>
        </w:tc>
        <w:tc>
          <w:tcPr>
            <w:tcW w:w="1020" w:type="dxa"/>
            <w:vAlign w:val="bottom"/>
            <w:shd w:val="clear" w:color="auto" w:fill="CCFFCC"/>
          </w:tcPr>
          <w:p>
            <w:pPr>
              <w:jc w:val="right"/>
              <w:ind w:right="315"/>
              <w:spacing w:after="0" w:line="102" w:lineRule="exact"/>
              <w:rPr>
                <w:sz w:val="20"/>
                <w:szCs w:val="20"/>
                <w:color w:val="auto"/>
              </w:rPr>
            </w:pPr>
            <w:r>
              <w:rPr>
                <w:rFonts w:ascii="Arial" w:cs="Arial" w:eastAsia="Arial" w:hAnsi="Arial"/>
                <w:sz w:val="9"/>
                <w:szCs w:val="9"/>
                <w:color w:val="auto"/>
              </w:rPr>
              <w:t>97.68</w:t>
            </w:r>
          </w:p>
        </w:tc>
        <w:tc>
          <w:tcPr>
            <w:tcW w:w="72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97.26</w:t>
            </w:r>
          </w:p>
        </w:tc>
        <w:tc>
          <w:tcPr>
            <w:tcW w:w="920" w:type="dxa"/>
            <w:vAlign w:val="bottom"/>
            <w:shd w:val="clear" w:color="auto" w:fill="CCFFCC"/>
          </w:tcPr>
          <w:p>
            <w:pPr>
              <w:jc w:val="right"/>
              <w:ind w:right="255"/>
              <w:spacing w:after="0" w:line="102" w:lineRule="exact"/>
              <w:rPr>
                <w:sz w:val="20"/>
                <w:szCs w:val="20"/>
                <w:color w:val="auto"/>
              </w:rPr>
            </w:pPr>
            <w:r>
              <w:rPr>
                <w:rFonts w:ascii="Arial" w:cs="Arial" w:eastAsia="Arial" w:hAnsi="Arial"/>
                <w:sz w:val="9"/>
                <w:szCs w:val="9"/>
                <w:color w:val="auto"/>
              </w:rPr>
              <w:t>2,148,960</w:t>
            </w:r>
          </w:p>
        </w:tc>
        <w:tc>
          <w:tcPr>
            <w:tcW w:w="56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1,781,952</w:t>
            </w:r>
          </w:p>
        </w:tc>
        <w:tc>
          <w:tcPr>
            <w:tcW w:w="180" w:type="dxa"/>
            <w:vAlign w:val="bottom"/>
            <w:shd w:val="clear" w:color="auto" w:fill="CCFFCC"/>
          </w:tcPr>
          <w:p>
            <w:pPr>
              <w:spacing w:after="0"/>
              <w:rPr>
                <w:sz w:val="8"/>
                <w:szCs w:val="8"/>
                <w:color w:val="auto"/>
              </w:rPr>
            </w:pPr>
          </w:p>
        </w:tc>
        <w:tc>
          <w:tcPr>
            <w:tcW w:w="920" w:type="dxa"/>
            <w:vAlign w:val="bottom"/>
            <w:shd w:val="clear" w:color="auto" w:fill="CCFFCC"/>
          </w:tcPr>
          <w:p>
            <w:pPr>
              <w:jc w:val="right"/>
              <w:ind w:right="255"/>
              <w:spacing w:after="0" w:line="102" w:lineRule="exact"/>
              <w:rPr>
                <w:sz w:val="20"/>
                <w:szCs w:val="20"/>
                <w:color w:val="auto"/>
              </w:rPr>
            </w:pPr>
            <w:r>
              <w:rPr>
                <w:rFonts w:ascii="Arial" w:cs="Arial" w:eastAsia="Arial" w:hAnsi="Arial"/>
                <w:sz w:val="9"/>
                <w:szCs w:val="9"/>
                <w:color w:val="auto"/>
              </w:rPr>
              <w:t>1,654,490</w:t>
            </w:r>
          </w:p>
        </w:tc>
        <w:tc>
          <w:tcPr>
            <w:tcW w:w="5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1,366,883</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102" w:lineRule="exact"/>
              <w:rPr>
                <w:sz w:val="20"/>
                <w:szCs w:val="20"/>
                <w:color w:val="auto"/>
              </w:rPr>
            </w:pPr>
            <w:r>
              <w:rPr>
                <w:rFonts w:ascii="Arial" w:cs="Arial" w:eastAsia="Arial" w:hAnsi="Arial"/>
                <w:sz w:val="9"/>
                <w:szCs w:val="9"/>
                <w:color w:val="auto"/>
              </w:rPr>
              <w:t>494,470</w:t>
            </w:r>
          </w:p>
        </w:tc>
        <w:tc>
          <w:tcPr>
            <w:tcW w:w="7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415,069</w:t>
            </w:r>
          </w:p>
        </w:tc>
        <w:tc>
          <w:tcPr>
            <w:tcW w:w="780" w:type="dxa"/>
            <w:vAlign w:val="bottom"/>
            <w:shd w:val="clear" w:color="auto" w:fill="CCFFCC"/>
          </w:tcPr>
          <w:p>
            <w:pPr>
              <w:jc w:val="right"/>
              <w:ind w:right="135"/>
              <w:spacing w:after="0" w:line="102" w:lineRule="exact"/>
              <w:rPr>
                <w:sz w:val="20"/>
                <w:szCs w:val="20"/>
                <w:color w:val="auto"/>
              </w:rPr>
            </w:pPr>
            <w:r>
              <w:rPr>
                <w:rFonts w:ascii="Arial" w:cs="Arial" w:eastAsia="Arial" w:hAnsi="Arial"/>
                <w:sz w:val="9"/>
                <w:szCs w:val="9"/>
                <w:color w:val="auto"/>
              </w:rPr>
              <w:t>67,257</w:t>
            </w:r>
          </w:p>
        </w:tc>
        <w:tc>
          <w:tcPr>
            <w:tcW w:w="720" w:type="dxa"/>
            <w:vAlign w:val="bottom"/>
            <w:gridSpan w:val="2"/>
            <w:shd w:val="clear" w:color="auto" w:fill="CCFFCC"/>
          </w:tcPr>
          <w:p>
            <w:pPr>
              <w:jc w:val="right"/>
              <w:ind w:right="100"/>
              <w:spacing w:after="0" w:line="102" w:lineRule="exact"/>
              <w:rPr>
                <w:sz w:val="20"/>
                <w:szCs w:val="20"/>
                <w:color w:val="auto"/>
              </w:rPr>
            </w:pPr>
            <w:r>
              <w:rPr>
                <w:rFonts w:ascii="Arial" w:cs="Arial" w:eastAsia="Arial" w:hAnsi="Arial"/>
                <w:sz w:val="9"/>
                <w:szCs w:val="9"/>
                <w:color w:val="auto"/>
              </w:rPr>
              <w:t>67,422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line="95" w:lineRule="exact"/>
              <w:rPr>
                <w:sz w:val="20"/>
                <w:szCs w:val="20"/>
                <w:color w:val="auto"/>
              </w:rPr>
            </w:pPr>
            <w:r>
              <w:rPr>
                <w:rFonts w:ascii="Arial" w:cs="Arial" w:eastAsia="Arial" w:hAnsi="Arial"/>
                <w:sz w:val="9"/>
                <w:szCs w:val="9"/>
                <w:color w:val="auto"/>
              </w:rPr>
              <w:t>Prima AFP S.A. (iv)</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270,239</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276,140</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92,311</w:t>
            </w:r>
          </w:p>
        </w:tc>
        <w:tc>
          <w:tcPr>
            <w:tcW w:w="6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92,437</w:t>
            </w:r>
          </w:p>
        </w:tc>
        <w:tc>
          <w:tcPr>
            <w:tcW w:w="880" w:type="dxa"/>
            <w:vAlign w:val="bottom"/>
          </w:tcPr>
          <w:p>
            <w:pPr>
              <w:jc w:val="right"/>
              <w:ind w:right="235"/>
              <w:spacing w:after="0" w:line="95" w:lineRule="exact"/>
              <w:rPr>
                <w:sz w:val="20"/>
                <w:szCs w:val="20"/>
                <w:color w:val="auto"/>
              </w:rPr>
            </w:pPr>
            <w:r>
              <w:rPr>
                <w:rFonts w:ascii="Arial" w:cs="Arial" w:eastAsia="Arial" w:hAnsi="Arial"/>
                <w:sz w:val="9"/>
                <w:szCs w:val="9"/>
                <w:color w:val="auto"/>
              </w:rPr>
              <w:t>177,928</w:t>
            </w:r>
          </w:p>
        </w:tc>
        <w:tc>
          <w:tcPr>
            <w:tcW w:w="7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183,703</w:t>
            </w:r>
          </w:p>
        </w:tc>
        <w:tc>
          <w:tcPr>
            <w:tcW w:w="780" w:type="dxa"/>
            <w:vAlign w:val="bottom"/>
          </w:tcPr>
          <w:p>
            <w:pPr>
              <w:jc w:val="right"/>
              <w:ind w:right="135"/>
              <w:spacing w:after="0" w:line="95" w:lineRule="exact"/>
              <w:rPr>
                <w:sz w:val="20"/>
                <w:szCs w:val="20"/>
                <w:color w:val="auto"/>
              </w:rPr>
            </w:pPr>
            <w:r>
              <w:rPr>
                <w:rFonts w:ascii="Arial" w:cs="Arial" w:eastAsia="Arial" w:hAnsi="Arial"/>
                <w:sz w:val="9"/>
                <w:szCs w:val="9"/>
                <w:color w:val="auto"/>
              </w:rPr>
              <w:t>32,393</w:t>
            </w:r>
          </w:p>
        </w:tc>
        <w:tc>
          <w:tcPr>
            <w:tcW w:w="7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25,506</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Grupo Crédito S.A. (v)</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101,029</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37,590</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76,121</w:t>
            </w:r>
          </w:p>
        </w:tc>
        <w:tc>
          <w:tcPr>
            <w:tcW w:w="6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21,404</w:t>
            </w: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24,908</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16,186</w:t>
            </w: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6,988</w:t>
            </w:r>
          </w:p>
        </w:tc>
        <w:tc>
          <w:tcPr>
            <w:tcW w:w="72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(2,424)</w:t>
            </w: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9"/>
                <w:szCs w:val="9"/>
                <w:color w:val="auto"/>
              </w:rPr>
              <w:t>CCR Inc. (vi)</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760,772</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962,028</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820,580</w:t>
            </w: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1,028,393</w:t>
            </w:r>
          </w:p>
        </w:tc>
        <w:tc>
          <w:tcPr>
            <w:tcW w:w="180" w:type="dxa"/>
            <w:vAlign w:val="bottom"/>
          </w:tcPr>
          <w:p>
            <w:pPr>
              <w:spacing w:after="0"/>
              <w:rPr>
                <w:sz w:val="8"/>
                <w:szCs w:val="8"/>
                <w:color w:val="auto"/>
              </w:rPr>
            </w:pPr>
          </w:p>
        </w:tc>
        <w:tc>
          <w:tcPr>
            <w:tcW w:w="880" w:type="dxa"/>
            <w:vAlign w:val="bottom"/>
          </w:tcPr>
          <w:p>
            <w:pPr>
              <w:jc w:val="right"/>
              <w:ind w:right="195"/>
              <w:spacing w:after="0" w:line="95" w:lineRule="exact"/>
              <w:rPr>
                <w:sz w:val="20"/>
                <w:szCs w:val="20"/>
                <w:color w:val="auto"/>
              </w:rPr>
            </w:pPr>
            <w:r>
              <w:rPr>
                <w:rFonts w:ascii="Arial" w:cs="Arial" w:eastAsia="Arial" w:hAnsi="Arial"/>
                <w:sz w:val="9"/>
                <w:szCs w:val="9"/>
                <w:color w:val="auto"/>
              </w:rPr>
              <w:t>(59,808)</w:t>
            </w:r>
          </w:p>
        </w:tc>
        <w:tc>
          <w:tcPr>
            <w:tcW w:w="720" w:type="dxa"/>
            <w:vAlign w:val="bottom"/>
            <w:gridSpan w:val="2"/>
          </w:tcPr>
          <w:p>
            <w:pPr>
              <w:jc w:val="right"/>
              <w:ind w:right="160"/>
              <w:spacing w:after="0" w:line="95" w:lineRule="exact"/>
              <w:rPr>
                <w:sz w:val="20"/>
                <w:szCs w:val="20"/>
                <w:color w:val="auto"/>
              </w:rPr>
            </w:pPr>
            <w:r>
              <w:rPr>
                <w:rFonts w:ascii="Arial" w:cs="Arial" w:eastAsia="Arial" w:hAnsi="Arial"/>
                <w:sz w:val="9"/>
                <w:szCs w:val="9"/>
                <w:color w:val="auto"/>
              </w:rPr>
              <w:t>(66,365)</w:t>
            </w:r>
          </w:p>
        </w:tc>
        <w:tc>
          <w:tcPr>
            <w:tcW w:w="780" w:type="dxa"/>
            <w:vAlign w:val="bottom"/>
          </w:tcPr>
          <w:p>
            <w:pPr>
              <w:jc w:val="right"/>
              <w:ind w:right="95"/>
              <w:spacing w:after="0" w:line="95" w:lineRule="exact"/>
              <w:rPr>
                <w:sz w:val="20"/>
                <w:szCs w:val="20"/>
                <w:color w:val="auto"/>
              </w:rPr>
            </w:pPr>
            <w:r>
              <w:rPr>
                <w:rFonts w:ascii="Arial" w:cs="Arial" w:eastAsia="Arial" w:hAnsi="Arial"/>
                <w:sz w:val="9"/>
                <w:szCs w:val="9"/>
                <w:color w:val="auto"/>
              </w:rPr>
              <w:t>(1,243)</w:t>
            </w:r>
          </w:p>
        </w:tc>
        <w:tc>
          <w:tcPr>
            <w:tcW w:w="72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(2,765)</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Credicorp Securities Inc. (vii)</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2,825</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4,048</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179</w:t>
            </w:r>
          </w:p>
        </w:tc>
        <w:tc>
          <w:tcPr>
            <w:tcW w:w="50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597</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2,646</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3,451</w:t>
            </w: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1,088</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1,998</w:t>
            </w: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9"/>
                <w:szCs w:val="9"/>
                <w:color w:val="auto"/>
              </w:rPr>
              <w:t>BCP Emisiones Latam 1 S.A. (viii)</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100.00</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100.00</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118,451</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126,855</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117,861</w:t>
            </w:r>
          </w:p>
        </w:tc>
        <w:tc>
          <w:tcPr>
            <w:tcW w:w="6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126,191</w:t>
            </w:r>
          </w:p>
        </w:tc>
        <w:tc>
          <w:tcPr>
            <w:tcW w:w="880" w:type="dxa"/>
            <w:vAlign w:val="bottom"/>
          </w:tcPr>
          <w:p>
            <w:pPr>
              <w:jc w:val="right"/>
              <w:ind w:right="235"/>
              <w:spacing w:after="0" w:line="95" w:lineRule="exact"/>
              <w:rPr>
                <w:sz w:val="20"/>
                <w:szCs w:val="20"/>
                <w:color w:val="auto"/>
              </w:rPr>
            </w:pPr>
            <w:r>
              <w:rPr>
                <w:rFonts w:ascii="Arial" w:cs="Arial" w:eastAsia="Arial" w:hAnsi="Arial"/>
                <w:sz w:val="9"/>
                <w:szCs w:val="9"/>
                <w:color w:val="auto"/>
              </w:rPr>
              <w:t>590</w:t>
            </w:r>
          </w:p>
        </w:tc>
        <w:tc>
          <w:tcPr>
            <w:tcW w:w="520" w:type="dxa"/>
            <w:vAlign w:val="bottom"/>
          </w:tcPr>
          <w:p>
            <w:pPr>
              <w:jc w:val="right"/>
              <w:spacing w:after="0" w:line="95" w:lineRule="exact"/>
              <w:rPr>
                <w:sz w:val="20"/>
                <w:szCs w:val="20"/>
                <w:color w:val="auto"/>
              </w:rPr>
            </w:pPr>
            <w:r>
              <w:rPr>
                <w:rFonts w:ascii="Arial" w:cs="Arial" w:eastAsia="Arial" w:hAnsi="Arial"/>
                <w:sz w:val="9"/>
                <w:szCs w:val="9"/>
                <w:color w:val="auto"/>
              </w:rPr>
              <w:t>664</w:t>
            </w:r>
          </w:p>
        </w:tc>
        <w:tc>
          <w:tcPr>
            <w:tcW w:w="200" w:type="dxa"/>
            <w:vAlign w:val="bottom"/>
          </w:tcPr>
          <w:p>
            <w:pPr>
              <w:spacing w:after="0"/>
              <w:rPr>
                <w:sz w:val="8"/>
                <w:szCs w:val="8"/>
                <w:color w:val="auto"/>
              </w:rPr>
            </w:pPr>
          </w:p>
        </w:tc>
        <w:tc>
          <w:tcPr>
            <w:tcW w:w="780" w:type="dxa"/>
            <w:vAlign w:val="bottom"/>
          </w:tcPr>
          <w:p>
            <w:pPr>
              <w:jc w:val="right"/>
              <w:ind w:right="135"/>
              <w:spacing w:after="0" w:line="95" w:lineRule="exact"/>
              <w:rPr>
                <w:sz w:val="20"/>
                <w:szCs w:val="20"/>
                <w:color w:val="auto"/>
              </w:rPr>
            </w:pPr>
            <w:r>
              <w:rPr>
                <w:rFonts w:ascii="Arial" w:cs="Arial" w:eastAsia="Arial" w:hAnsi="Arial"/>
                <w:sz w:val="9"/>
                <w:szCs w:val="9"/>
                <w:color w:val="auto"/>
              </w:rPr>
              <w:t>74</w:t>
            </w:r>
          </w:p>
        </w:tc>
        <w:tc>
          <w:tcPr>
            <w:tcW w:w="7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109</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Tarjeta Naranja Perú S.A.C. (ix)</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76.00</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8,277</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803</w:t>
            </w:r>
          </w:p>
        </w:tc>
        <w:tc>
          <w:tcPr>
            <w:tcW w:w="6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w:t>
            </w: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7,474</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shd w:val="clear" w:color="auto" w:fill="CCFFCC"/>
          </w:tcPr>
          <w:p>
            <w:pPr>
              <w:jc w:val="right"/>
              <w:ind w:right="95"/>
              <w:spacing w:after="0" w:line="95" w:lineRule="exact"/>
              <w:rPr>
                <w:sz w:val="20"/>
                <w:szCs w:val="20"/>
                <w:color w:val="auto"/>
              </w:rPr>
            </w:pPr>
            <w:r>
              <w:rPr>
                <w:rFonts w:ascii="Arial" w:cs="Arial" w:eastAsia="Arial" w:hAnsi="Arial"/>
                <w:sz w:val="9"/>
                <w:szCs w:val="9"/>
                <w:color w:val="auto"/>
              </w:rPr>
              <w:t>(2,169)</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right="80" w:hanging="492"/>
        <w:spacing w:after="0" w:line="289"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Banco de Crédito del Perú (BCP) is a universal bank incorporated in Peru in 1889. Its activities are supervised by the Superintendence of Banking, Insurance and AFP (the Peruvian banking, insurance and AFP authority, hereafter “the SBS” for its Spanish acronym). During 2010, Credicorp transferred BCP shares representing approximately 84.9 percent of BCP capital stock to its fully owned subsidiary Grupo Crédito S.A. This transfer had no effect in the accompanying consolidated financial statements; no gains or losses arose from the transfer. During 2011, the Group, through Grupo Crédito S.A., acquired 0.0429 percent of BCP shares owned by non-controlling interest (during 2010, Credicorp acquired 0.19 percent of BCP shares owned by non-controlling interest). BCP and Subsidiaries hold as of December 31, 2011 and 2010, 95.92 percent of the capital stock of Banco de Crédito de Bolivia (BCB), a universal bank operating in Bolivia (Credicorp holds directly an additional 4.08 percent). As of December 31, 2011, BCB’s assets, liabilities, equity and net income amounted to US$1,195.5, US$1,083.9, US$111.6 and US$22.3 million, respectively (US$1,122.0, US$1,026.4, US$95.6 and US$15.8 million, respectively, as of December 31, 2010).</w:t>
      </w:r>
    </w:p>
    <w:p>
      <w:pPr>
        <w:spacing w:after="0" w:line="166" w:lineRule="exact"/>
        <w:rPr>
          <w:rFonts w:ascii="Arial" w:cs="Arial" w:eastAsia="Arial" w:hAnsi="Arial"/>
          <w:sz w:val="16"/>
          <w:szCs w:val="16"/>
          <w:color w:val="auto"/>
        </w:rPr>
      </w:pPr>
    </w:p>
    <w:p>
      <w:pPr>
        <w:ind w:left="1000" w:right="120" w:hanging="492"/>
        <w:spacing w:after="0" w:line="31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Atlantic Security Holding Corporation (ASHC) is incorporated in the Cayman Islands; its main activity is to invest in capital stock.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146" w:lineRule="exact"/>
        <w:rPr>
          <w:rFonts w:ascii="Arial" w:cs="Arial" w:eastAsia="Arial" w:hAnsi="Arial"/>
          <w:sz w:val="16"/>
          <w:szCs w:val="16"/>
          <w:color w:val="auto"/>
        </w:rPr>
      </w:pPr>
    </w:p>
    <w:p>
      <w:pPr>
        <w:ind w:left="1000" w:right="140" w:hanging="492"/>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PPS is incorporated in Peru, it provides property, casualty, life, health and personal insurance. Its main subsidiaries are PPV and EPS. PPS and its subsidiaries activities are supervised by the SBS. During 2011, Credicorp transferred PPV shares representing approximately 24 percent of PPV capital stock to its subsidiary PPS. This transfer had no effect in the accompanying consolidated financial statements; no gains or losses arose from the transfer. During 2011, the Group, through Grupo Crédito S.A., acquired 0.079 percent of PPS shares owned by non-controlling interest. As explained in more detail in Note 2(a), during 2011, EPS acquired various Peruvian entities specialized in providing health care services.</w:t>
      </w:r>
    </w:p>
    <w:p>
      <w:pPr>
        <w:spacing w:after="0" w:line="193" w:lineRule="exact"/>
        <w:rPr>
          <w:rFonts w:ascii="Arial" w:cs="Arial" w:eastAsia="Arial" w:hAnsi="Arial"/>
          <w:sz w:val="18"/>
          <w:szCs w:val="18"/>
          <w:color w:val="auto"/>
        </w:rPr>
      </w:pPr>
    </w:p>
    <w:p>
      <w:pPr>
        <w:ind w:left="1000" w:hanging="492"/>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 AFP S.A. is a private pension fund administrator incorporated in Peru, its activities are supervised by the SBS.</w:t>
      </w:r>
    </w:p>
    <w:p>
      <w:pPr>
        <w:spacing w:after="0" w:line="225" w:lineRule="exact"/>
        <w:rPr>
          <w:rFonts w:ascii="Arial" w:cs="Arial" w:eastAsia="Arial" w:hAnsi="Arial"/>
          <w:sz w:val="18"/>
          <w:szCs w:val="18"/>
          <w:color w:val="auto"/>
        </w:rPr>
      </w:pPr>
    </w:p>
    <w:p>
      <w:pPr>
        <w:ind w:left="1000" w:right="580" w:hanging="49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 also holds part of the Group’s shares in BCP, Prima AFP S.A., PPS and BCP Emisiones Latam 1 S.A. Grupo Crédito S.A. balances are presented net of its investments in said entities.</w:t>
      </w:r>
    </w:p>
    <w:p>
      <w:pPr>
        <w:spacing w:after="0" w:line="181" w:lineRule="exact"/>
        <w:rPr>
          <w:rFonts w:ascii="Arial" w:cs="Arial" w:eastAsia="Arial" w:hAnsi="Arial"/>
          <w:sz w:val="18"/>
          <w:szCs w:val="18"/>
          <w:color w:val="auto"/>
        </w:rPr>
      </w:pPr>
    </w:p>
    <w:p>
      <w:pPr>
        <w:ind w:left="1000" w:right="280" w:hanging="492"/>
        <w:spacing w:after="0" w:line="286"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CCR Inc., is a special purposes entity incorporated in The Bahamas in 2001, its main activity is to manage certain loans granted to BCP by foreign financial entities, see Note 15(a)(vi). These loans are collateralized by transactions performed by BCP. As of December 31, 2011 and 2010, the negative equity is generated by unrealized losses from cash flow hedges derivatives.</w:t>
      </w:r>
    </w:p>
    <w:p>
      <w:pPr>
        <w:spacing w:after="0" w:line="165" w:lineRule="exact"/>
        <w:rPr>
          <w:rFonts w:ascii="Arial" w:cs="Arial" w:eastAsia="Arial" w:hAnsi="Arial"/>
          <w:sz w:val="17"/>
          <w:szCs w:val="17"/>
          <w:color w:val="auto"/>
        </w:rPr>
      </w:pPr>
    </w:p>
    <w:p>
      <w:pPr>
        <w:ind w:left="1000" w:right="700" w:hanging="49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70" w:lineRule="exact"/>
        <w:rPr>
          <w:rFonts w:ascii="Arial" w:cs="Arial" w:eastAsia="Arial" w:hAnsi="Arial"/>
          <w:sz w:val="18"/>
          <w:szCs w:val="18"/>
          <w:color w:val="auto"/>
        </w:rPr>
      </w:pPr>
    </w:p>
    <w:p>
      <w:pPr>
        <w:ind w:left="1000" w:right="160" w:hanging="492"/>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15(a)(ii).</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Tarjeta Naranja Perú S.A.C., was incorporated in Peru, in 2011. Its main activity is to promote the use of a credit card named “Tarjeta Naranja”.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25" w:lineRule="exact"/>
        <w:rPr>
          <w:sz w:val="20"/>
          <w:szCs w:val="20"/>
          <w:color w:val="auto"/>
        </w:rPr>
      </w:pPr>
    </w:p>
    <w:p>
      <w:pPr>
        <w:ind w:left="1020" w:right="40"/>
        <w:spacing w:after="0" w:line="279" w:lineRule="auto"/>
        <w:rPr>
          <w:sz w:val="20"/>
          <w:szCs w:val="20"/>
          <w:color w:val="auto"/>
        </w:rPr>
      </w:pPr>
      <w:r>
        <w:rPr>
          <w:rFonts w:ascii="Arial" w:cs="Arial" w:eastAsia="Arial" w:hAnsi="Arial"/>
          <w:sz w:val="17"/>
          <w:szCs w:val="17"/>
          <w:color w:val="auto"/>
        </w:rPr>
        <w:t>The Group has determined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71" w:lineRule="exact"/>
        <w:rPr>
          <w:sz w:val="20"/>
          <w:szCs w:val="20"/>
          <w:color w:val="auto"/>
        </w:rPr>
      </w:pPr>
    </w:p>
    <w:p>
      <w:pPr>
        <w:ind w:left="1020" w:right="140"/>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70" w:lineRule="exact"/>
        <w:rPr>
          <w:sz w:val="20"/>
          <w:szCs w:val="20"/>
          <w:color w:val="auto"/>
        </w:rPr>
      </w:pPr>
    </w:p>
    <w:p>
      <w:pPr>
        <w:ind w:left="1520" w:right="400" w:hanging="499"/>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at the date of the consolidated statements of financial position.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25"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resulting translation differences are recognized in the consolidated statements of income.</w:t>
      </w:r>
    </w:p>
    <w:p>
      <w:pPr>
        <w:spacing w:after="0" w:line="225" w:lineRule="exact"/>
        <w:rPr>
          <w:sz w:val="20"/>
          <w:szCs w:val="20"/>
          <w:color w:val="auto"/>
        </w:rPr>
      </w:pPr>
    </w:p>
    <w:p>
      <w:pPr>
        <w:ind w:left="1000" w:hanging="492"/>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sz w:val="20"/>
          <w:szCs w:val="20"/>
          <w:color w:val="auto"/>
        </w:rPr>
      </w:pPr>
    </w:p>
    <w:p>
      <w:pPr>
        <w:ind w:left="1040" w:right="40"/>
        <w:spacing w:after="0" w:line="253" w:lineRule="auto"/>
        <w:rPr>
          <w:sz w:val="20"/>
          <w:szCs w:val="20"/>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statements of income using the effective interest rate method,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1" w:lineRule="exact"/>
        <w:rPr>
          <w:sz w:val="20"/>
          <w:szCs w:val="20"/>
          <w:color w:val="auto"/>
        </w:rPr>
      </w:pPr>
    </w:p>
    <w:p>
      <w:pPr>
        <w:ind w:left="1000" w:right="240"/>
        <w:spacing w:after="0" w:line="259" w:lineRule="auto"/>
        <w:rPr>
          <w:sz w:val="20"/>
          <w:szCs w:val="20"/>
          <w:color w:val="auto"/>
        </w:rPr>
      </w:pPr>
      <w:r>
        <w:rPr>
          <w:rFonts w:ascii="Arial" w:cs="Arial" w:eastAsia="Arial" w:hAnsi="Arial"/>
          <w:sz w:val="18"/>
          <w:szCs w:val="18"/>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187"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25" w:lineRule="exact"/>
        <w:rPr>
          <w:sz w:val="20"/>
          <w:szCs w:val="20"/>
          <w:color w:val="auto"/>
        </w:rPr>
      </w:pPr>
    </w:p>
    <w:p>
      <w:pPr>
        <w:ind w:left="1000" w:hanging="49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activities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Accounting policies for insurance activities</w:t>
      </w:r>
    </w:p>
    <w:p>
      <w:pPr>
        <w:spacing w:after="0" w:line="23" w:lineRule="exact"/>
        <w:rPr>
          <w:sz w:val="20"/>
          <w:szCs w:val="20"/>
          <w:color w:val="auto"/>
        </w:rPr>
      </w:pPr>
    </w:p>
    <w:p>
      <w:pPr>
        <w:ind w:left="1020" w:right="400"/>
        <w:spacing w:after="0" w:line="261" w:lineRule="auto"/>
        <w:rPr>
          <w:sz w:val="20"/>
          <w:szCs w:val="20"/>
          <w:color w:val="auto"/>
        </w:rPr>
      </w:pPr>
      <w:r>
        <w:rPr>
          <w:rFonts w:ascii="Arial" w:cs="Arial" w:eastAsia="Arial" w:hAnsi="Arial"/>
          <w:sz w:val="18"/>
          <w:szCs w:val="18"/>
          <w:color w:val="auto"/>
        </w:rPr>
        <w:t>For the adoption of IFRS 4 “Insurance contracts”, Management concluded that USGAAP used as of December 31, 2004 was the relevant framework to be used, as permitted by IFRS 4.</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Product classification:</w:t>
      </w:r>
    </w:p>
    <w:p>
      <w:pPr>
        <w:spacing w:after="0" w:line="225"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88" w:lineRule="exact"/>
        <w:rPr>
          <w:sz w:val="20"/>
          <w:szCs w:val="20"/>
          <w:color w:val="auto"/>
        </w:rPr>
      </w:pPr>
    </w:p>
    <w:p>
      <w:pPr>
        <w:ind w:left="1020" w:right="440"/>
        <w:spacing w:after="0" w:line="308" w:lineRule="auto"/>
        <w:rPr>
          <w:sz w:val="20"/>
          <w:szCs w:val="20"/>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47" w:lineRule="exact"/>
        <w:rPr>
          <w:sz w:val="20"/>
          <w:szCs w:val="20"/>
          <w:color w:val="auto"/>
        </w:rPr>
      </w:pPr>
    </w:p>
    <w:p>
      <w:pPr>
        <w:ind w:left="1020" w:right="140"/>
        <w:spacing w:after="0" w:line="277" w:lineRule="auto"/>
        <w:rPr>
          <w:sz w:val="20"/>
          <w:szCs w:val="20"/>
          <w:color w:val="auto"/>
        </w:rPr>
      </w:pPr>
      <w:r>
        <w:rPr>
          <w:rFonts w:ascii="Arial" w:cs="Arial" w:eastAsia="Arial" w:hAnsi="Arial"/>
          <w:sz w:val="18"/>
          <w:szCs w:val="18"/>
          <w:color w:val="auto"/>
        </w:rPr>
        <w:t>Life insurance contracts offered by the Group include retirement, disability, survival fixed pensions, traditional life and unit linked insurance contracts. The non-life insurance contracts mainly include motor, household, commercial and healthcare.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Group cedes insurance risk in the normal course of the operations for all of its businesses. Reinsurance assets represent balances due from reinsurance companies. Reinsurance ceded is placed on both a proportional and non–proportional basis.</w:t>
      </w:r>
    </w:p>
    <w:p>
      <w:pPr>
        <w:spacing w:after="0" w:line="170" w:lineRule="exact"/>
        <w:rPr>
          <w:sz w:val="20"/>
          <w:szCs w:val="20"/>
          <w:color w:val="auto"/>
        </w:rPr>
      </w:pPr>
    </w:p>
    <w:p>
      <w:pPr>
        <w:ind w:left="1020" w:right="160"/>
        <w:spacing w:after="0" w:line="308" w:lineRule="auto"/>
        <w:rPr>
          <w:sz w:val="20"/>
          <w:szCs w:val="20"/>
          <w:color w:val="auto"/>
        </w:rPr>
      </w:pPr>
      <w:r>
        <w:rPr>
          <w:rFonts w:ascii="Arial" w:cs="Arial" w:eastAsia="Arial" w:hAnsi="Arial"/>
          <w:sz w:val="17"/>
          <w:szCs w:val="17"/>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147" w:lineRule="exact"/>
        <w:rPr>
          <w:sz w:val="20"/>
          <w:szCs w:val="20"/>
          <w:color w:val="auto"/>
        </w:rPr>
      </w:pPr>
    </w:p>
    <w:p>
      <w:pPr>
        <w:ind w:left="1020" w:right="100"/>
        <w:spacing w:after="0" w:line="257" w:lineRule="auto"/>
        <w:rPr>
          <w:sz w:val="20"/>
          <w:szCs w:val="20"/>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statements of income.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25" w:lineRule="exact"/>
        <w:rPr>
          <w:sz w:val="20"/>
          <w:szCs w:val="20"/>
          <w:color w:val="auto"/>
        </w:rPr>
      </w:pPr>
    </w:p>
    <w:p>
      <w:pPr>
        <w:ind w:left="1020" w:right="120"/>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1020" w:right="580"/>
        <w:spacing w:after="0" w:line="312" w:lineRule="auto"/>
        <w:rPr>
          <w:sz w:val="20"/>
          <w:szCs w:val="20"/>
          <w:color w:val="auto"/>
        </w:rPr>
      </w:pPr>
      <w:r>
        <w:rPr>
          <w:rFonts w:ascii="Arial" w:cs="Arial" w:eastAsia="Arial" w:hAnsi="Arial"/>
          <w:sz w:val="16"/>
          <w:szCs w:val="16"/>
          <w:color w:val="auto"/>
        </w:rPr>
        <w:t>Premiums and claims are presented on a gross basis for both ceded and assumed reinsurance, see notes 22 and 23.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receivables</w:t>
      </w:r>
    </w:p>
    <w:p>
      <w:pPr>
        <w:spacing w:after="0" w:line="225" w:lineRule="exact"/>
        <w:rPr>
          <w:sz w:val="20"/>
          <w:szCs w:val="20"/>
          <w:color w:val="auto"/>
        </w:rPr>
      </w:pPr>
    </w:p>
    <w:p>
      <w:pPr>
        <w:ind w:left="1020" w:right="60"/>
        <w:spacing w:after="0" w:line="255" w:lineRule="auto"/>
        <w:rPr>
          <w:sz w:val="20"/>
          <w:szCs w:val="20"/>
          <w:color w:val="auto"/>
        </w:rPr>
      </w:pPr>
      <w:r>
        <w:rPr>
          <w:rFonts w:ascii="Arial" w:cs="Arial" w:eastAsia="Arial" w:hAnsi="Arial"/>
          <w:sz w:val="18"/>
          <w:szCs w:val="18"/>
          <w:color w:val="auto"/>
        </w:rPr>
        <w:t>Insurance receivables are recognized when due and measured on initial recognition at the fair value of the consideration received or receivable. Subsequent to initial recognition, insurance receivables are measured at amortized cost. As of December 31, 2011 and 2010 the carrying value of the insurance receivables is similar to its fair value due to its short term. The carrying value of insurance receivables is reviewed for impairment whenever events or circumstances indicate that the carrying amount may not be recoverable, with the impairment loss recorded in the consolidated statements of income. Insurance receivables are derecognized when the derecognition criteria for financial assets, as described in Note 3(g), has been met.</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assets</w:t>
      </w:r>
    </w:p>
    <w:p>
      <w:pPr>
        <w:spacing w:after="0" w:line="225"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“Unit- Linked” assets represent financial instruments held for purposes of funding a group of life insurance contracts and for which investment gains and losses accrue directly to the policyholders who bear the investment risk. Each account has specific objectives, and the financial assets are carried at fair value. The balance of each account is legally segregated and is not subject to claims that arise out of any other business of the Group. The liabilities for these accounts are equal to the account assets, net of the commission that the Group charges for the management of these contracts.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Deferred acquisition costs (DAC)</w:t>
      </w:r>
    </w:p>
    <w:p>
      <w:pPr>
        <w:spacing w:after="0" w:line="225"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Those direct costs that vary with and are related to traditional life and unit linked insurance contracts are deferred; all other acquisition costs are recognized as an expense when incurred. The acquisition costs comprise primarily agent commissions related to the underwriting and policy issuance costs.</w:t>
      </w:r>
    </w:p>
    <w:p>
      <w:pPr>
        <w:spacing w:after="0" w:line="181" w:lineRule="exact"/>
        <w:rPr>
          <w:sz w:val="20"/>
          <w:szCs w:val="20"/>
          <w:color w:val="auto"/>
        </w:rPr>
      </w:pPr>
    </w:p>
    <w:p>
      <w:pPr>
        <w:ind w:left="1020" w:right="560"/>
        <w:spacing w:after="0" w:line="277" w:lineRule="auto"/>
        <w:rPr>
          <w:sz w:val="20"/>
          <w:szCs w:val="20"/>
          <w:color w:val="auto"/>
        </w:rPr>
      </w:pPr>
      <w:r>
        <w:rPr>
          <w:rFonts w:ascii="Arial" w:cs="Arial" w:eastAsia="Arial" w:hAnsi="Arial"/>
          <w:sz w:val="18"/>
          <w:szCs w:val="18"/>
          <w:color w:val="auto"/>
        </w:rPr>
        <w:t>Subsequent to initial recognition, these costs are amortized on a straight line basis based on the averaged expiration period of the related insurance contracts. Amortization is recorded in the consolidated statements of income.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jc w:val="both"/>
        <w:ind w:left="1020" w:right="10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statements of income. DAC is also considered in the liability adequacy test for each reporting period.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 commissions</w:t>
      </w:r>
    </w:p>
    <w:p>
      <w:pPr>
        <w:spacing w:after="0" w:line="225"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coverage of the insurance contracts.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contract liabilities</w:t>
      </w:r>
    </w:p>
    <w:p>
      <w:pPr>
        <w:spacing w:after="0" w:line="225" w:lineRule="exact"/>
        <w:rPr>
          <w:sz w:val="20"/>
          <w:szCs w:val="20"/>
          <w:color w:val="auto"/>
        </w:rPr>
      </w:pPr>
    </w:p>
    <w:p>
      <w:pPr>
        <w:ind w:left="1520" w:hanging="499"/>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Life insurance liabilities are recognized when contracts are entered into.</w:t>
      </w:r>
    </w:p>
    <w:p>
      <w:pPr>
        <w:spacing w:after="0" w:line="225" w:lineRule="exact"/>
        <w:rPr>
          <w:rFonts w:ascii="Arial" w:cs="Arial" w:eastAsia="Arial" w:hAnsi="Arial"/>
          <w:sz w:val="18"/>
          <w:szCs w:val="18"/>
          <w:color w:val="auto"/>
        </w:rPr>
      </w:pPr>
    </w:p>
    <w:p>
      <w:pPr>
        <w:ind w:left="1540" w:right="20"/>
        <w:spacing w:after="0" w:line="276" w:lineRule="auto"/>
        <w:rPr>
          <w:rFonts w:ascii="Arial" w:cs="Arial" w:eastAsia="Arial" w:hAnsi="Arial"/>
          <w:sz w:val="18"/>
          <w:szCs w:val="18"/>
          <w:color w:val="auto"/>
        </w:rPr>
      </w:pPr>
      <w:r>
        <w:rPr>
          <w:rFonts w:ascii="Arial" w:cs="Arial" w:eastAsia="Arial" w:hAnsi="Arial"/>
          <w:sz w:val="17"/>
          <w:szCs w:val="17"/>
          <w:color w:val="auto"/>
        </w:rPr>
        <w:t>The liabilities of retirement, disability and survival fixed pensions are determined as the sum of the discounted value of expected future pensions to be paid during a defined or non defined period, computed upon the basis of mortality tables and discount interest rates. Traditional life and unit linked insurance contract liabilities are determined as the sum of the discounted value of expected future benefits, claims handling, administration expenses, policyholder options and guarantees and investment income, less the discounted value of the expected theoretical premiums that would be required to meet the future cash outflows.</w:t>
      </w:r>
    </w:p>
    <w:p>
      <w:pPr>
        <w:spacing w:after="0" w:line="172" w:lineRule="exact"/>
        <w:rPr>
          <w:rFonts w:ascii="Arial" w:cs="Arial" w:eastAsia="Arial" w:hAnsi="Arial"/>
          <w:sz w:val="18"/>
          <w:szCs w:val="18"/>
          <w:color w:val="auto"/>
        </w:rPr>
      </w:pPr>
    </w:p>
    <w:p>
      <w:pPr>
        <w:jc w:val="both"/>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The liabilities of retirement, disability and survival fixed pensions and traditional life insurance contracts are based on assumptions established at the time the contract was issued. Current assumptions are used to update the interest accrued for unit linked insurance contracts.</w:t>
      </w:r>
    </w:p>
    <w:p>
      <w:pPr>
        <w:spacing w:after="0" w:line="181" w:lineRule="exact"/>
        <w:rPr>
          <w:rFonts w:ascii="Arial" w:cs="Arial" w:eastAsia="Arial" w:hAnsi="Arial"/>
          <w:sz w:val="18"/>
          <w:szCs w:val="18"/>
          <w:color w:val="auto"/>
        </w:rPr>
      </w:pPr>
    </w:p>
    <w:p>
      <w:pPr>
        <w:ind w:left="1540"/>
        <w:spacing w:after="0" w:line="273" w:lineRule="auto"/>
        <w:rPr>
          <w:rFonts w:ascii="Arial" w:cs="Arial" w:eastAsia="Arial" w:hAnsi="Arial"/>
          <w:sz w:val="18"/>
          <w:szCs w:val="18"/>
          <w:color w:val="auto"/>
        </w:rPr>
      </w:pPr>
      <w:r>
        <w:rPr>
          <w:rFonts w:ascii="Arial" w:cs="Arial" w:eastAsia="Arial" w:hAnsi="Arial"/>
          <w:sz w:val="17"/>
          <w:szCs w:val="17"/>
          <w:color w:val="auto"/>
        </w:rPr>
        <w:t>Furthermore, the liability for life insurance contracts comprises the provision for unearned premiums and unexpired risks, as well as for claims outstanding, which includes an estimate of the incurred but non-reported claims to the Group (hereinafter “IBNR”). IBNR reserves as of December 31, 2011 and 2010, were determined on the basis of the Chain Ladder methodology (a generally accepted actuarial method), whereby the weighted average of past claim development is projected into the future; the projection is based on the ratios of cumulative past claims. Adjustments to the liabilities at each reporting date are recorded in the consolidated statements of income. The liability is derecognized when the contract expires, is discharged or is cancelled.</w:t>
      </w:r>
    </w:p>
    <w:p>
      <w:pPr>
        <w:spacing w:after="0" w:line="178" w:lineRule="exact"/>
        <w:rPr>
          <w:rFonts w:ascii="Arial" w:cs="Arial" w:eastAsia="Arial" w:hAnsi="Arial"/>
          <w:sz w:val="18"/>
          <w:szCs w:val="18"/>
          <w:color w:val="auto"/>
        </w:rPr>
      </w:pPr>
    </w:p>
    <w:p>
      <w:pPr>
        <w:ind w:left="1540" w:right="20"/>
        <w:spacing w:after="0" w:line="286" w:lineRule="auto"/>
        <w:rPr>
          <w:rFonts w:ascii="Arial" w:cs="Arial" w:eastAsia="Arial" w:hAnsi="Arial"/>
          <w:sz w:val="18"/>
          <w:szCs w:val="18"/>
          <w:color w:val="auto"/>
        </w:rPr>
      </w:pPr>
      <w:r>
        <w:rPr>
          <w:rFonts w:ascii="Arial" w:cs="Arial" w:eastAsia="Arial" w:hAnsi="Arial"/>
          <w:sz w:val="17"/>
          <w:szCs w:val="17"/>
          <w:color w:val="auto"/>
        </w:rPr>
        <w:t>At each reporting date, an assessment is made of whether the recognized life insurance liabilities are adequate, net of related DAC, by using an existing liability adequacy test as laid out under IFRS 4. As of December 31, 2011 and 2010, Management determined that the liabilities were adequate and; therefore, it has not recorded any additional life insurance liability.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3380" w:hanging="519"/>
        <w:spacing w:after="0" w:line="563" w:lineRule="auto"/>
        <w:tabs>
          <w:tab w:leader="none" w:pos="1521"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Non-life insurance contract liabilities (which comprises general insurance and healthcare) Non-life insurance contract liabilities are recognized when contracts are entered into.</w:t>
      </w:r>
    </w:p>
    <w:p>
      <w:pPr>
        <w:spacing w:after="0" w:line="1" w:lineRule="exact"/>
        <w:rPr>
          <w:rFonts w:ascii="Arial" w:cs="Arial" w:eastAsia="Arial" w:hAnsi="Arial"/>
          <w:sz w:val="16"/>
          <w:szCs w:val="16"/>
          <w:color w:val="auto"/>
        </w:rPr>
      </w:pPr>
    </w:p>
    <w:p>
      <w:pPr>
        <w:ind w:left="1540"/>
        <w:spacing w:after="0" w:line="289" w:lineRule="auto"/>
        <w:rPr>
          <w:rFonts w:ascii="Arial" w:cs="Arial" w:eastAsia="Arial" w:hAnsi="Arial"/>
          <w:sz w:val="16"/>
          <w:szCs w:val="16"/>
          <w:color w:val="auto"/>
        </w:rPr>
      </w:pPr>
      <w:r>
        <w:rPr>
          <w:rFonts w:ascii="Arial" w:cs="Arial" w:eastAsia="Arial" w:hAnsi="Arial"/>
          <w:sz w:val="16"/>
          <w:szCs w:val="16"/>
          <w:color w:val="auto"/>
        </w:rPr>
        <w:t>These liabilities are known as the outstanding claims provision, which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IBNR are estimated and included in the provision (liabilities). IBNR reserves as of December 31, 2011 and 2010,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166" w:lineRule="exact"/>
        <w:rPr>
          <w:rFonts w:ascii="Arial" w:cs="Arial" w:eastAsia="Arial" w:hAnsi="Arial"/>
          <w:sz w:val="16"/>
          <w:szCs w:val="16"/>
          <w:color w:val="auto"/>
        </w:rPr>
      </w:pPr>
    </w:p>
    <w:p>
      <w:pPr>
        <w:ind w:left="1540"/>
        <w:spacing w:after="0" w:line="277" w:lineRule="auto"/>
        <w:rPr>
          <w:rFonts w:ascii="Arial" w:cs="Arial" w:eastAsia="Arial" w:hAnsi="Arial"/>
          <w:sz w:val="16"/>
          <w:szCs w:val="16"/>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70" w:lineRule="exact"/>
        <w:rPr>
          <w:rFonts w:ascii="Arial" w:cs="Arial" w:eastAsia="Arial" w:hAnsi="Arial"/>
          <w:sz w:val="16"/>
          <w:szCs w:val="16"/>
          <w:color w:val="auto"/>
        </w:rPr>
      </w:pPr>
    </w:p>
    <w:p>
      <w:pPr>
        <w:ind w:left="1540" w:right="40"/>
        <w:spacing w:after="0" w:line="257" w:lineRule="auto"/>
        <w:rPr>
          <w:rFonts w:ascii="Arial" w:cs="Arial" w:eastAsia="Arial" w:hAnsi="Arial"/>
          <w:sz w:val="16"/>
          <w:szCs w:val="16"/>
          <w:color w:val="auto"/>
        </w:rPr>
      </w:pPr>
      <w:r>
        <w:rPr>
          <w:rFonts w:ascii="Arial" w:cs="Arial" w:eastAsia="Arial" w:hAnsi="Arial"/>
          <w:sz w:val="18"/>
          <w:szCs w:val="18"/>
          <w:color w:val="auto"/>
        </w:rPr>
        <w:t>At each reporting date the Group reviews its unexpired risk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income statement by setting up a provision for liability adequacy. As of December 31, 2011 and 2010, Management determined that the liabilities were adequate; therefore, it has not recorded any additional non life insurance liabilities.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recognition</w:t>
      </w:r>
    </w:p>
    <w:p>
      <w:pPr>
        <w:spacing w:after="0" w:line="225" w:lineRule="exact"/>
        <w:rPr>
          <w:sz w:val="20"/>
          <w:szCs w:val="20"/>
          <w:color w:val="auto"/>
        </w:rPr>
      </w:pPr>
    </w:p>
    <w:p>
      <w:pPr>
        <w:ind w:left="1520" w:hanging="499"/>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Life insurance contracts</w:t>
      </w:r>
    </w:p>
    <w:p>
      <w:pPr>
        <w:spacing w:after="0" w:line="225" w:lineRule="exact"/>
        <w:rPr>
          <w:rFonts w:ascii="Arial" w:cs="Arial" w:eastAsia="Arial" w:hAnsi="Arial"/>
          <w:sz w:val="18"/>
          <w:szCs w:val="18"/>
          <w:color w:val="auto"/>
        </w:rPr>
      </w:pPr>
    </w:p>
    <w:p>
      <w:pPr>
        <w:ind w:left="1540" w:right="520"/>
        <w:spacing w:after="0" w:line="277"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due from policyholder. For single premium business, revenue is recognized on the date on which the policy is effective.</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Non-life insurance contracts</w:t>
      </w:r>
    </w:p>
    <w:p>
      <w:pPr>
        <w:spacing w:after="0" w:line="225" w:lineRule="exact"/>
        <w:rPr>
          <w:rFonts w:ascii="Arial" w:cs="Arial" w:eastAsia="Arial" w:hAnsi="Arial"/>
          <w:sz w:val="18"/>
          <w:szCs w:val="18"/>
          <w:color w:val="auto"/>
        </w:rPr>
      </w:pPr>
    </w:p>
    <w:p>
      <w:pPr>
        <w:ind w:left="1540" w:right="20"/>
        <w:spacing w:after="0" w:line="312" w:lineRule="auto"/>
        <w:rPr>
          <w:rFonts w:ascii="Arial" w:cs="Arial" w:eastAsia="Arial" w:hAnsi="Arial"/>
          <w:sz w:val="18"/>
          <w:szCs w:val="18"/>
          <w:color w:val="auto"/>
        </w:rPr>
      </w:pPr>
      <w:r>
        <w:rPr>
          <w:rFonts w:ascii="Arial" w:cs="Arial" w:eastAsia="Arial" w:hAnsi="Arial"/>
          <w:sz w:val="16"/>
          <w:szCs w:val="16"/>
          <w:color w:val="auto"/>
        </w:rPr>
        <w:t>Gross non-life insurance direct and assumed premiums comprise the total premiums written and are recognized at the contract inception as a receivable. At the same time, it is recorded a reserve for unearned premiums which represents premiums for risks that have not yet expired. Unearned premiums are recognized into income over the contract period which is also the coverage and risk period.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25" w:lineRule="exact"/>
        <w:rPr>
          <w:sz w:val="20"/>
          <w:szCs w:val="20"/>
          <w:color w:val="auto"/>
        </w:rPr>
      </w:pPr>
    </w:p>
    <w:p>
      <w:pPr>
        <w:ind w:left="1540" w:right="20"/>
        <w:spacing w:after="0" w:line="308" w:lineRule="auto"/>
        <w:rPr>
          <w:sz w:val="20"/>
          <w:szCs w:val="20"/>
          <w:color w:val="auto"/>
        </w:rPr>
      </w:pPr>
      <w:r>
        <w:rPr>
          <w:rFonts w:ascii="Arial" w:cs="Arial" w:eastAsia="Arial" w:hAnsi="Arial"/>
          <w:sz w:val="17"/>
          <w:szCs w:val="17"/>
          <w:color w:val="auto"/>
        </w:rPr>
        <w:t>Unit linked insurance contract policyholders are charged for policy administration services, investment management services, surrenders and other contract fees. These fees are recognized as revenue in the consolidated statements of income when due.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Benefits, claims and expenses recognition</w:t>
      </w:r>
    </w:p>
    <w:p>
      <w:pPr>
        <w:spacing w:after="0" w:line="225" w:lineRule="exact"/>
        <w:rPr>
          <w:sz w:val="20"/>
          <w:szCs w:val="20"/>
          <w:color w:val="auto"/>
        </w:rPr>
      </w:pPr>
    </w:p>
    <w:p>
      <w:pPr>
        <w:ind w:left="1520" w:hanging="49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225" w:lineRule="exact"/>
        <w:rPr>
          <w:rFonts w:ascii="Arial" w:cs="Arial" w:eastAsia="Arial" w:hAnsi="Arial"/>
          <w:sz w:val="18"/>
          <w:szCs w:val="18"/>
          <w:color w:val="auto"/>
        </w:rPr>
      </w:pPr>
    </w:p>
    <w:p>
      <w:pPr>
        <w:ind w:left="1540"/>
        <w:spacing w:after="0" w:line="264" w:lineRule="auto"/>
        <w:rPr>
          <w:rFonts w:ascii="Arial" w:cs="Arial" w:eastAsia="Arial" w:hAnsi="Arial"/>
          <w:sz w:val="18"/>
          <w:szCs w:val="18"/>
          <w:color w:val="auto"/>
        </w:rPr>
      </w:pPr>
      <w:r>
        <w:rPr>
          <w:rFonts w:ascii="Arial" w:cs="Arial" w:eastAsia="Arial" w:hAnsi="Arial"/>
          <w:sz w:val="18"/>
          <w:szCs w:val="18"/>
          <w:color w:val="auto"/>
        </w:rPr>
        <w:t>Gross benefits and claims for life insurance contracts include the cost of all claims arising during the year including internal and external claims handling costs that are directly related to the processing and settlement of claims. Death, survival and disability claims are recorded on the basis of notifications received. Pension payments are recorded when due.</w:t>
      </w:r>
    </w:p>
    <w:p>
      <w:pPr>
        <w:spacing w:after="0" w:line="181" w:lineRule="exact"/>
        <w:rPr>
          <w:rFonts w:ascii="Arial" w:cs="Arial" w:eastAsia="Arial" w:hAnsi="Arial"/>
          <w:sz w:val="18"/>
          <w:szCs w:val="18"/>
          <w:color w:val="auto"/>
        </w:rPr>
      </w:pPr>
    </w:p>
    <w:p>
      <w:pPr>
        <w:ind w:left="1540" w:right="12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25" w:lineRule="exact"/>
        <w:rPr>
          <w:rFonts w:ascii="Arial" w:cs="Arial" w:eastAsia="Arial" w:hAnsi="Arial"/>
          <w:sz w:val="18"/>
          <w:szCs w:val="18"/>
          <w:color w:val="auto"/>
        </w:rPr>
      </w:pPr>
    </w:p>
    <w:p>
      <w:pPr>
        <w:ind w:left="1540" w:right="80"/>
        <w:spacing w:after="0" w:line="342" w:lineRule="auto"/>
        <w:rPr>
          <w:rFonts w:ascii="Arial" w:cs="Arial" w:eastAsia="Arial" w:hAnsi="Arial"/>
          <w:sz w:val="18"/>
          <w:szCs w:val="18"/>
          <w:color w:val="auto"/>
        </w:rPr>
      </w:pPr>
      <w:r>
        <w:rPr>
          <w:rFonts w:ascii="Arial" w:cs="Arial" w:eastAsia="Arial" w:hAnsi="Arial"/>
          <w:sz w:val="16"/>
          <w:szCs w:val="16"/>
          <w:color w:val="auto"/>
        </w:rPr>
        <w:t>Comprise the total premiums payable for the whole coverage provided by contracts entered in the period and are recognized on the date on which the policy incepts. Unearned reinsurance premiums are deferred over the term of the underlying insurance contract.</w:t>
      </w:r>
    </w:p>
    <w:p>
      <w:pPr>
        <w:spacing w:after="0" w:line="123" w:lineRule="exact"/>
        <w:rPr>
          <w:rFonts w:ascii="Arial" w:cs="Arial" w:eastAsia="Arial" w:hAnsi="Arial"/>
          <w:sz w:val="18"/>
          <w:szCs w:val="18"/>
          <w:color w:val="auto"/>
        </w:rPr>
      </w:pPr>
    </w:p>
    <w:p>
      <w:pPr>
        <w:ind w:left="1520" w:hanging="49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48" w:lineRule="exact"/>
        <w:rPr>
          <w:sz w:val="20"/>
          <w:szCs w:val="20"/>
          <w:color w:val="auto"/>
        </w:rPr>
      </w:pPr>
    </w:p>
    <w:p>
      <w:pPr>
        <w:ind w:left="1000" w:hanging="492"/>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25" w:lineRule="exact"/>
        <w:rPr>
          <w:sz w:val="20"/>
          <w:szCs w:val="20"/>
          <w:color w:val="auto"/>
        </w:rPr>
      </w:pPr>
    </w:p>
    <w:p>
      <w:pPr>
        <w:jc w:val="both"/>
        <w:ind w:left="1020" w:right="200"/>
        <w:spacing w:after="0" w:line="264" w:lineRule="auto"/>
        <w:rPr>
          <w:sz w:val="20"/>
          <w:szCs w:val="20"/>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181" w:lineRule="exact"/>
        <w:rPr>
          <w:sz w:val="20"/>
          <w:szCs w:val="20"/>
          <w:color w:val="auto"/>
        </w:rPr>
      </w:pPr>
    </w:p>
    <w:p>
      <w:pPr>
        <w:ind w:left="1020" w:right="120"/>
        <w:spacing w:after="0" w:line="259" w:lineRule="auto"/>
        <w:rPr>
          <w:sz w:val="20"/>
          <w:szCs w:val="20"/>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87" w:lineRule="exact"/>
        <w:rPr>
          <w:sz w:val="20"/>
          <w:szCs w:val="20"/>
          <w:color w:val="auto"/>
        </w:rPr>
      </w:pPr>
    </w:p>
    <w:p>
      <w:pPr>
        <w:ind w:left="1020" w:right="280"/>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225" w:lineRule="exact"/>
        <w:rPr>
          <w:rFonts w:ascii="Arial" w:cs="Arial" w:eastAsia="Arial" w:hAnsi="Arial"/>
          <w:sz w:val="18"/>
          <w:szCs w:val="18"/>
          <w:color w:val="auto"/>
        </w:rPr>
      </w:pPr>
    </w:p>
    <w:p>
      <w:pPr>
        <w:ind w:left="1540" w:right="160"/>
        <w:spacing w:after="0" w:line="286" w:lineRule="auto"/>
        <w:rPr>
          <w:rFonts w:ascii="Arial" w:cs="Arial" w:eastAsia="Arial" w:hAnsi="Arial"/>
          <w:sz w:val="18"/>
          <w:szCs w:val="18"/>
          <w:color w:val="auto"/>
        </w:rPr>
      </w:pPr>
      <w:r>
        <w:rPr>
          <w:rFonts w:ascii="Arial" w:cs="Arial" w:eastAsia="Arial" w:hAnsi="Arial"/>
          <w:sz w:val="17"/>
          <w:szCs w:val="17"/>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165" w:lineRule="exact"/>
        <w:rPr>
          <w:rFonts w:ascii="Arial" w:cs="Arial" w:eastAsia="Arial" w:hAnsi="Arial"/>
          <w:sz w:val="18"/>
          <w:szCs w:val="18"/>
          <w:color w:val="auto"/>
        </w:rPr>
      </w:pPr>
    </w:p>
    <w:p>
      <w:pPr>
        <w:ind w:left="1540" w:right="14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70" w:lineRule="exact"/>
        <w:rPr>
          <w:rFonts w:ascii="Arial" w:cs="Arial" w:eastAsia="Arial" w:hAnsi="Arial"/>
          <w:sz w:val="18"/>
          <w:szCs w:val="18"/>
          <w:color w:val="auto"/>
        </w:rPr>
      </w:pPr>
    </w:p>
    <w:p>
      <w:pPr>
        <w:ind w:left="1540" w:right="260"/>
        <w:spacing w:after="0" w:line="277" w:lineRule="auto"/>
        <w:rPr>
          <w:rFonts w:ascii="Arial" w:cs="Arial" w:eastAsia="Arial" w:hAnsi="Arial"/>
          <w:sz w:val="18"/>
          <w:szCs w:val="18"/>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70" w:lineRule="exact"/>
        <w:rPr>
          <w:rFonts w:ascii="Arial" w:cs="Arial" w:eastAsia="Arial" w:hAnsi="Arial"/>
          <w:sz w:val="18"/>
          <w:szCs w:val="18"/>
          <w:color w:val="auto"/>
        </w:rPr>
      </w:pPr>
    </w:p>
    <w:p>
      <w:pPr>
        <w:ind w:left="2040" w:right="80" w:hanging="506"/>
        <w:spacing w:after="0" w:line="277" w:lineRule="auto"/>
        <w:tabs>
          <w:tab w:leader="none" w:pos="2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70" w:lineRule="exact"/>
        <w:rPr>
          <w:rFonts w:ascii="Arial" w:cs="Arial" w:eastAsia="Arial" w:hAnsi="Arial"/>
          <w:sz w:val="18"/>
          <w:szCs w:val="18"/>
          <w:color w:val="auto"/>
        </w:rPr>
      </w:pPr>
    </w:p>
    <w:p>
      <w:pPr>
        <w:ind w:left="2040" w:right="580" w:hanging="506"/>
        <w:spacing w:after="0" w:line="342" w:lineRule="auto"/>
        <w:tabs>
          <w:tab w:leader="none" w:pos="20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23" w:lineRule="exact"/>
        <w:rPr>
          <w:rFonts w:ascii="Arial" w:cs="Arial" w:eastAsia="Arial" w:hAnsi="Arial"/>
          <w:sz w:val="16"/>
          <w:szCs w:val="16"/>
          <w:color w:val="auto"/>
        </w:rPr>
      </w:pPr>
    </w:p>
    <w:p>
      <w:pPr>
        <w:ind w:left="2040" w:right="320" w:hanging="506"/>
        <w:spacing w:after="0" w:line="277" w:lineRule="auto"/>
        <w:tabs>
          <w:tab w:leader="none" w:pos="2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70"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Changes in fair value of designated financial assets through profit or loss upon initial recognition are recorded in the consolidated income statement caption “Net gain on financial assets designated at fair value through profit and loss”. Interest earned is accrued in the consolidated income statement in the caption “Interest and dividend income”, according to the terms of the contract. Dividend income is recorded when the collection right has been established.</w:t>
      </w:r>
    </w:p>
    <w:p>
      <w:pPr>
        <w:spacing w:after="0" w:line="187" w:lineRule="exact"/>
        <w:rPr>
          <w:sz w:val="20"/>
          <w:szCs w:val="20"/>
          <w:color w:val="auto"/>
        </w:rPr>
      </w:pPr>
    </w:p>
    <w:p>
      <w:pPr>
        <w:ind w:left="1520" w:hanging="499"/>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Loans and receivables are non-derivative financial assets with fixed or determinable payments that are not quoted in an active market.</w:t>
      </w:r>
    </w:p>
    <w:p>
      <w:pPr>
        <w:spacing w:after="0" w:line="248" w:lineRule="exact"/>
        <w:rPr>
          <w:rFonts w:ascii="Arial" w:cs="Arial" w:eastAsia="Arial" w:hAnsi="Arial"/>
          <w:sz w:val="18"/>
          <w:szCs w:val="18"/>
          <w:color w:val="auto"/>
        </w:rPr>
      </w:pPr>
    </w:p>
    <w:p>
      <w:pPr>
        <w:ind w:left="1540" w:right="80"/>
        <w:spacing w:after="0" w:line="257" w:lineRule="auto"/>
        <w:rPr>
          <w:rFonts w:ascii="Arial" w:cs="Arial" w:eastAsia="Arial" w:hAnsi="Arial"/>
          <w:sz w:val="18"/>
          <w:szCs w:val="18"/>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statements of income in the caption “Provision for loan losses”.</w:t>
      </w:r>
    </w:p>
    <w:p>
      <w:pPr>
        <w:spacing w:after="0" w:line="188" w:lineRule="exact"/>
        <w:rPr>
          <w:rFonts w:ascii="Arial" w:cs="Arial" w:eastAsia="Arial" w:hAnsi="Arial"/>
          <w:sz w:val="18"/>
          <w:szCs w:val="18"/>
          <w:color w:val="auto"/>
        </w:rPr>
      </w:pPr>
    </w:p>
    <w:p>
      <w:pPr>
        <w:ind w:left="154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480"/>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in an internal risk classification and considering any guarantees and collaterals received, Note 3(i) and 29.1.</w:t>
      </w:r>
    </w:p>
    <w:p>
      <w:pPr>
        <w:spacing w:after="0" w:line="181" w:lineRule="exact"/>
        <w:rPr>
          <w:sz w:val="20"/>
          <w:szCs w:val="20"/>
          <w:color w:val="auto"/>
        </w:rPr>
      </w:pPr>
    </w:p>
    <w:p>
      <w:pPr>
        <w:ind w:left="1520" w:hanging="499"/>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25" w:lineRule="exact"/>
        <w:rPr>
          <w:rFonts w:ascii="Arial" w:cs="Arial" w:eastAsia="Arial" w:hAnsi="Arial"/>
          <w:sz w:val="18"/>
          <w:szCs w:val="18"/>
          <w:color w:val="auto"/>
        </w:rPr>
      </w:pPr>
    </w:p>
    <w:p>
      <w:pPr>
        <w:ind w:left="1540" w:right="10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financial investments include equity investments and debt securities. Equity investments classified as available-for-sale are those that are neither classified as held for trading nor designated at a fair value through profit or loss. Debt securities in this category are those that are intended to be held for an indefinite period of time and that may be sold in response to needs for liquidity or in response to changes in the market conditions.</w:t>
      </w:r>
    </w:p>
    <w:p>
      <w:pPr>
        <w:spacing w:after="0" w:line="186"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statements of income in the caption “Impairment loss on available–for–sale investments” and removed from the available-for-sale reserve.</w:t>
      </w:r>
    </w:p>
    <w:p>
      <w:pPr>
        <w:spacing w:after="0" w:line="193" w:lineRule="exact"/>
        <w:rPr>
          <w:rFonts w:ascii="Arial" w:cs="Arial" w:eastAsia="Arial" w:hAnsi="Arial"/>
          <w:sz w:val="18"/>
          <w:szCs w:val="18"/>
          <w:color w:val="auto"/>
        </w:rPr>
      </w:pPr>
    </w:p>
    <w:p>
      <w:pPr>
        <w:ind w:left="1540" w:right="52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method and dividends earned are recognized when collection rights are established.</w:t>
      </w:r>
    </w:p>
    <w:p>
      <w:pPr>
        <w:spacing w:after="0" w:line="181" w:lineRule="exact"/>
        <w:rPr>
          <w:rFonts w:ascii="Arial" w:cs="Arial" w:eastAsia="Arial" w:hAnsi="Arial"/>
          <w:sz w:val="18"/>
          <w:szCs w:val="18"/>
          <w:color w:val="auto"/>
        </w:rPr>
      </w:pPr>
    </w:p>
    <w:p>
      <w:pPr>
        <w:ind w:left="1540" w:right="10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70" w:lineRule="exact"/>
        <w:rPr>
          <w:rFonts w:ascii="Arial" w:cs="Arial" w:eastAsia="Arial" w:hAnsi="Arial"/>
          <w:sz w:val="18"/>
          <w:szCs w:val="18"/>
          <w:color w:val="auto"/>
        </w:rPr>
      </w:pPr>
    </w:p>
    <w:p>
      <w:pPr>
        <w:ind w:left="1540" w:right="140"/>
        <w:spacing w:after="0" w:line="276" w:lineRule="auto"/>
        <w:rPr>
          <w:rFonts w:ascii="Arial" w:cs="Arial" w:eastAsia="Arial" w:hAnsi="Arial"/>
          <w:sz w:val="18"/>
          <w:szCs w:val="18"/>
          <w:color w:val="auto"/>
        </w:rPr>
      </w:pPr>
      <w:r>
        <w:rPr>
          <w:rFonts w:ascii="Arial" w:cs="Arial" w:eastAsia="Arial" w:hAnsi="Arial"/>
          <w:sz w:val="17"/>
          <w:szCs w:val="17"/>
          <w:color w:val="auto"/>
        </w:rPr>
        <w:t>The Group evaluates whether the ability and intention to sell its available-for-sale financial assets in the near term is still appropriate. When, in rare circumstances, the Group is unable to trade these financial assets due to inactive markets and management’s intention to do so significantly changes in the foreseeable future, the Group may elect to reclassify these financial assets. Reclassification to loans and receivables is permitted when the financial assets meet the definition of loans and receivables and the Group has the intent and ability to hold these assets for the foreseeable future or until maturity.</w:t>
      </w:r>
    </w:p>
    <w:p>
      <w:pPr>
        <w:spacing w:after="0" w:line="172" w:lineRule="exact"/>
        <w:rPr>
          <w:rFonts w:ascii="Arial" w:cs="Arial" w:eastAsia="Arial" w:hAnsi="Arial"/>
          <w:sz w:val="18"/>
          <w:szCs w:val="18"/>
          <w:color w:val="auto"/>
        </w:rPr>
      </w:pPr>
    </w:p>
    <w:p>
      <w:pPr>
        <w:ind w:left="1540" w:right="320"/>
        <w:spacing w:after="0" w:line="277" w:lineRule="auto"/>
        <w:rPr>
          <w:rFonts w:ascii="Arial" w:cs="Arial" w:eastAsia="Arial" w:hAnsi="Arial"/>
          <w:sz w:val="18"/>
          <w:szCs w:val="18"/>
          <w:color w:val="auto"/>
        </w:rPr>
      </w:pPr>
      <w:r>
        <w:rPr>
          <w:rFonts w:ascii="Arial" w:cs="Arial" w:eastAsia="Arial" w:hAnsi="Arial"/>
          <w:sz w:val="18"/>
          <w:szCs w:val="18"/>
          <w:color w:val="auto"/>
        </w:rPr>
        <w:t>Reclassification to the held-to-maturity category is permitted only when the Group has the ability and intention to hold the financial asset accordingly.</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2011 and 2010, the Group did not reclassify any of its available-for- sale financial investments.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25" w:lineRule="exact"/>
        <w:rPr>
          <w:rFonts w:ascii="Arial" w:cs="Arial" w:eastAsia="Arial" w:hAnsi="Arial"/>
          <w:sz w:val="18"/>
          <w:szCs w:val="18"/>
          <w:color w:val="auto"/>
        </w:rPr>
      </w:pPr>
    </w:p>
    <w:p>
      <w:pPr>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assets</w:t>
      </w:r>
    </w:p>
    <w:p>
      <w:pPr>
        <w:spacing w:after="0" w:line="225" w:lineRule="exact"/>
        <w:rPr>
          <w:sz w:val="20"/>
          <w:szCs w:val="20"/>
          <w:color w:val="auto"/>
        </w:rPr>
      </w:pPr>
    </w:p>
    <w:p>
      <w:pPr>
        <w:ind w:left="1020" w:right="220"/>
        <w:spacing w:after="0" w:line="276" w:lineRule="auto"/>
        <w:rPr>
          <w:sz w:val="20"/>
          <w:szCs w:val="20"/>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liabilities</w:t>
      </w:r>
    </w:p>
    <w:p>
      <w:pPr>
        <w:spacing w:after="0" w:line="225" w:lineRule="exact"/>
        <w:rPr>
          <w:sz w:val="20"/>
          <w:szCs w:val="20"/>
          <w:color w:val="auto"/>
        </w:rPr>
      </w:pPr>
    </w:p>
    <w:p>
      <w:pPr>
        <w:ind w:left="1020" w:right="380"/>
        <w:spacing w:after="0" w:line="279"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and the difference in the respective carrying amount is recognized in the consolidated income statement</w:t>
      </w:r>
    </w:p>
    <w:p>
      <w:pPr>
        <w:spacing w:after="0" w:line="171" w:lineRule="exact"/>
        <w:rPr>
          <w:sz w:val="20"/>
          <w:szCs w:val="20"/>
          <w:color w:val="auto"/>
        </w:rPr>
      </w:pPr>
    </w:p>
    <w:p>
      <w:pPr>
        <w:ind w:left="1000" w:hanging="492"/>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25" w:lineRule="exact"/>
        <w:rPr>
          <w:sz w:val="20"/>
          <w:szCs w:val="20"/>
          <w:color w:val="auto"/>
        </w:rPr>
      </w:pPr>
    </w:p>
    <w:p>
      <w:pPr>
        <w:ind w:left="1020" w:right="260"/>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81" w:lineRule="exact"/>
        <w:rPr>
          <w:sz w:val="20"/>
          <w:szCs w:val="20"/>
          <w:color w:val="auto"/>
        </w:rPr>
      </w:pPr>
    </w:p>
    <w:p>
      <w:pPr>
        <w:ind w:left="1000" w:hanging="492"/>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25" w:lineRule="exact"/>
        <w:rPr>
          <w:sz w:val="20"/>
          <w:szCs w:val="20"/>
          <w:color w:val="auto"/>
        </w:rPr>
      </w:pPr>
    </w:p>
    <w:p>
      <w:pPr>
        <w:ind w:left="1020"/>
        <w:spacing w:after="0" w:line="290" w:lineRule="auto"/>
        <w:rPr>
          <w:sz w:val="20"/>
          <w:szCs w:val="20"/>
          <w:color w:val="auto"/>
        </w:rPr>
      </w:pPr>
      <w:r>
        <w:rPr>
          <w:rFonts w:ascii="Arial" w:cs="Arial" w:eastAsia="Arial" w:hAnsi="Arial"/>
          <w:sz w:val="16"/>
          <w:szCs w:val="16"/>
          <w:color w:val="auto"/>
        </w:rPr>
        <w:t>The Group assesses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66" w:lineRule="exact"/>
        <w:rPr>
          <w:sz w:val="20"/>
          <w:szCs w:val="20"/>
          <w:color w:val="auto"/>
        </w:rPr>
      </w:pPr>
    </w:p>
    <w:p>
      <w:pPr>
        <w:ind w:left="1520" w:hanging="499"/>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25" w:lineRule="exact"/>
        <w:rPr>
          <w:rFonts w:ascii="Arial" w:cs="Arial" w:eastAsia="Arial" w:hAnsi="Arial"/>
          <w:sz w:val="18"/>
          <w:szCs w:val="18"/>
          <w:color w:val="auto"/>
        </w:rPr>
      </w:pPr>
    </w:p>
    <w:p>
      <w:pPr>
        <w:ind w:left="1540" w:right="20"/>
        <w:spacing w:after="0" w:line="255" w:lineRule="auto"/>
        <w:rPr>
          <w:rFonts w:ascii="Arial" w:cs="Arial" w:eastAsia="Arial" w:hAnsi="Arial"/>
          <w:sz w:val="18"/>
          <w:szCs w:val="18"/>
          <w:color w:val="auto"/>
        </w:rPr>
      </w:pPr>
      <w:r>
        <w:rPr>
          <w:rFonts w:ascii="Arial" w:cs="Arial" w:eastAsia="Arial" w:hAnsi="Arial"/>
          <w:sz w:val="18"/>
          <w:szCs w:val="18"/>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20"/>
        <w:spacing w:after="0" w:line="289"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A loan, together with the associated allowance, is written off when classified as loss, is fully provisioned and there is real and verifiable evidence that the loan is irrecoverable and collection efforts concluded without success, impossibility of foreclosures or all collateral has been realized or has been transferred to the Group. If in any subsequent year, the amount of the estimated impairment loss increases or decreases because of an event occurring after the impairment was recognized, the previously recognized impairment loss is increased or reduced by adjusting the allowance account.</w:t>
      </w:r>
    </w:p>
    <w:p>
      <w:pPr>
        <w:spacing w:after="0" w:line="167" w:lineRule="exact"/>
        <w:rPr>
          <w:sz w:val="20"/>
          <w:szCs w:val="20"/>
          <w:color w:val="auto"/>
        </w:rPr>
      </w:pPr>
    </w:p>
    <w:p>
      <w:pPr>
        <w:ind w:left="1540" w:right="140"/>
        <w:spacing w:after="0" w:line="277" w:lineRule="auto"/>
        <w:rPr>
          <w:sz w:val="20"/>
          <w:szCs w:val="20"/>
          <w:color w:val="auto"/>
        </w:rPr>
      </w:pPr>
      <w:r>
        <w:rPr>
          <w:rFonts w:ascii="Arial" w:cs="Arial" w:eastAsia="Arial" w:hAnsi="Arial"/>
          <w:sz w:val="18"/>
          <w:szCs w:val="18"/>
          <w:color w:val="auto"/>
        </w:rPr>
        <w:t>If in the future a write-off loan is later recovered, the recovery is recognized in the consolidated statements of income, as a credit to the caption “Provision for loan losses”.</w:t>
      </w:r>
    </w:p>
    <w:p>
      <w:pPr>
        <w:spacing w:after="0" w:line="170" w:lineRule="exact"/>
        <w:rPr>
          <w:sz w:val="20"/>
          <w:szCs w:val="20"/>
          <w:color w:val="auto"/>
        </w:rPr>
      </w:pPr>
    </w:p>
    <w:p>
      <w:pPr>
        <w:ind w:left="154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71" w:lineRule="exact"/>
        <w:rPr>
          <w:sz w:val="20"/>
          <w:szCs w:val="20"/>
          <w:color w:val="auto"/>
        </w:rPr>
      </w:pPr>
    </w:p>
    <w:p>
      <w:pPr>
        <w:ind w:left="1540" w:right="20"/>
        <w:spacing w:after="0" w:line="264" w:lineRule="auto"/>
        <w:rPr>
          <w:sz w:val="20"/>
          <w:szCs w:val="20"/>
          <w:color w:val="auto"/>
        </w:rPr>
      </w:pPr>
      <w:r>
        <w:rPr>
          <w:rFonts w:ascii="Arial" w:cs="Arial" w:eastAsia="Arial" w:hAnsi="Arial"/>
          <w:sz w:val="18"/>
          <w:szCs w:val="18"/>
          <w:color w:val="auto"/>
        </w:rPr>
        <w:t>For a collective evaluation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20"/>
        <w:spacing w:after="0" w:line="297" w:lineRule="auto"/>
        <w:rPr>
          <w:sz w:val="20"/>
          <w:szCs w:val="20"/>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58" w:lineRule="exact"/>
        <w:rPr>
          <w:sz w:val="20"/>
          <w:szCs w:val="20"/>
          <w:color w:val="auto"/>
        </w:rPr>
      </w:pPr>
    </w:p>
    <w:p>
      <w:pPr>
        <w:ind w:left="1520" w:hanging="499"/>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70" w:lineRule="exact"/>
        <w:rPr>
          <w:rFonts w:ascii="Arial" w:cs="Arial" w:eastAsia="Arial" w:hAnsi="Arial"/>
          <w:sz w:val="18"/>
          <w:szCs w:val="18"/>
          <w:color w:val="auto"/>
        </w:rPr>
      </w:pPr>
    </w:p>
    <w:p>
      <w:pPr>
        <w:ind w:left="1540" w:right="6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its fair value below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investments available-for-sale reserve of the consolidated statements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177" w:lineRule="exact"/>
        <w:rPr>
          <w:rFonts w:ascii="Arial" w:cs="Arial" w:eastAsia="Arial" w:hAnsi="Arial"/>
          <w:sz w:val="18"/>
          <w:szCs w:val="18"/>
          <w:color w:val="auto"/>
        </w:rPr>
      </w:pPr>
    </w:p>
    <w:p>
      <w:pPr>
        <w:ind w:left="1540"/>
        <w:spacing w:after="0" w:line="271" w:lineRule="auto"/>
        <w:rPr>
          <w:rFonts w:ascii="Arial" w:cs="Arial" w:eastAsia="Arial" w:hAnsi="Arial"/>
          <w:sz w:val="18"/>
          <w:szCs w:val="18"/>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statements of income. Future interest income is based on the reduced carrying amount and is accrued using the interest rate used to discount the future cash flows for the purpose of measuring the impairment loss. Interest income is recorded as part of “Interest and dividend income” of the consolidated income statement. If in a subsequent year, the fair value of a debt instrument increases and the increase can be objectively related to an event occurring after the impairment loss was recognized in the consolidated income statement, the impairment loss is reversed through the consolidated statements of income.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25" w:lineRule="exact"/>
        <w:rPr>
          <w:rFonts w:ascii="Arial" w:cs="Arial" w:eastAsia="Arial" w:hAnsi="Arial"/>
          <w:sz w:val="18"/>
          <w:szCs w:val="18"/>
          <w:color w:val="auto"/>
        </w:rPr>
      </w:pPr>
    </w:p>
    <w:p>
      <w:pPr>
        <w:ind w:left="1540" w:right="60"/>
        <w:spacing w:after="0" w:line="259" w:lineRule="auto"/>
        <w:rPr>
          <w:rFonts w:ascii="Arial" w:cs="Arial" w:eastAsia="Arial" w:hAnsi="Arial"/>
          <w:sz w:val="18"/>
          <w:szCs w:val="18"/>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86" w:lineRule="exact"/>
        <w:rPr>
          <w:rFonts w:ascii="Arial" w:cs="Arial" w:eastAsia="Arial" w:hAnsi="Arial"/>
          <w:sz w:val="18"/>
          <w:szCs w:val="18"/>
          <w:color w:val="auto"/>
        </w:rPr>
      </w:pPr>
    </w:p>
    <w:p>
      <w:pPr>
        <w:ind w:left="1000" w:hanging="492"/>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Leases -</w:t>
      </w:r>
    </w:p>
    <w:p>
      <w:pPr>
        <w:spacing w:after="0" w:line="225" w:lineRule="exact"/>
        <w:rPr>
          <w:sz w:val="20"/>
          <w:szCs w:val="20"/>
          <w:color w:val="auto"/>
        </w:rPr>
      </w:pPr>
    </w:p>
    <w:p>
      <w:pPr>
        <w:jc w:val="both"/>
        <w:ind w:left="1020" w:right="240"/>
        <w:spacing w:after="0" w:line="264" w:lineRule="auto"/>
        <w:rPr>
          <w:sz w:val="20"/>
          <w:szCs w:val="20"/>
          <w:color w:val="auto"/>
        </w:rPr>
      </w:pPr>
      <w:r>
        <w:rPr>
          <w:rFonts w:ascii="Arial" w:cs="Arial" w:eastAsia="Arial" w:hAnsi="Arial"/>
          <w:sz w:val="18"/>
          <w:szCs w:val="18"/>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 even if that right is not explicitly specified in an arrangement.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leases -</w:t>
      </w:r>
    </w:p>
    <w:p>
      <w:pPr>
        <w:spacing w:after="0" w:line="225"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banking branches.</w:t>
      </w:r>
    </w:p>
    <w:p>
      <w:pPr>
        <w:spacing w:after="0" w:line="170"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Finance leases -</w:t>
      </w:r>
    </w:p>
    <w:p>
      <w:pPr>
        <w:spacing w:after="0" w:line="225" w:lineRule="exact"/>
        <w:rPr>
          <w:sz w:val="20"/>
          <w:szCs w:val="20"/>
          <w:color w:val="auto"/>
        </w:rPr>
      </w:pPr>
    </w:p>
    <w:p>
      <w:pPr>
        <w:jc w:val="both"/>
        <w:ind w:left="1020" w:right="160"/>
        <w:spacing w:after="0" w:line="264" w:lineRule="auto"/>
        <w:rPr>
          <w:sz w:val="20"/>
          <w:szCs w:val="20"/>
          <w:color w:val="auto"/>
        </w:rPr>
      </w:pPr>
      <w:r>
        <w:rPr>
          <w:rFonts w:ascii="Arial" w:cs="Arial" w:eastAsia="Arial" w:hAnsi="Arial"/>
          <w:sz w:val="18"/>
          <w:szCs w:val="18"/>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181" w:lineRule="exact"/>
        <w:rPr>
          <w:sz w:val="20"/>
          <w:szCs w:val="20"/>
          <w:color w:val="auto"/>
        </w:rPr>
      </w:pPr>
    </w:p>
    <w:p>
      <w:pPr>
        <w:ind w:left="1000" w:hanging="492"/>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25"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income statement; significant renewals and improvements are capitalized when it is probable that future economic benefits, in excess of the originally assessed standard of performance, will flow from the use of the acquired property, furniture or equipment.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Land is not depreciated. Depreciation is calculated using the straight-line method over their estimated useful life,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640" w:type="dxa"/>
            <w:vAlign w:val="bottom"/>
          </w:tcPr>
          <w:p>
            <w:pPr>
              <w:ind w:left="3200"/>
              <w:spacing w:after="0"/>
              <w:rPr>
                <w:sz w:val="20"/>
                <w:szCs w:val="20"/>
                <w:color w:val="auto"/>
              </w:rPr>
            </w:pPr>
            <w:r>
              <w:rPr>
                <w:rFonts w:ascii="Arial" w:cs="Arial" w:eastAsia="Arial" w:hAnsi="Arial"/>
                <w:sz w:val="18"/>
                <w:szCs w:val="18"/>
                <w:b w:val="1"/>
                <w:bCs w:val="1"/>
                <w:color w:val="auto"/>
                <w:w w:val="85"/>
              </w:rPr>
              <w:t>Years</w:t>
            </w:r>
          </w:p>
        </w:tc>
      </w:tr>
      <w:tr>
        <w:trPr>
          <w:trHeight w:val="418"/>
        </w:trPr>
        <w:tc>
          <w:tcPr>
            <w:tcW w:w="556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33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Installations</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10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10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Vehicles and equipment</w:t>
            </w:r>
          </w:p>
        </w:tc>
        <w:tc>
          <w:tcPr>
            <w:tcW w:w="3640" w:type="dxa"/>
            <w:vAlign w:val="bottom"/>
          </w:tcPr>
          <w:p>
            <w:pPr>
              <w:jc w:val="center"/>
              <w:ind w:left="3110"/>
              <w:spacing w:after="0"/>
              <w:rPr>
                <w:sz w:val="20"/>
                <w:szCs w:val="20"/>
                <w:color w:val="auto"/>
              </w:rPr>
            </w:pPr>
            <w:r>
              <w:rPr>
                <w:rFonts w:ascii="Arial" w:cs="Arial" w:eastAsia="Arial" w:hAnsi="Arial"/>
                <w:sz w:val="18"/>
                <w:szCs w:val="18"/>
                <w:color w:val="auto"/>
                <w:w w:val="79"/>
              </w:rPr>
              <w:t>5</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Computer hardware</w:t>
            </w:r>
          </w:p>
        </w:tc>
        <w:tc>
          <w:tcPr>
            <w:tcW w:w="3640" w:type="dxa"/>
            <w:vAlign w:val="bottom"/>
          </w:tcPr>
          <w:p>
            <w:pPr>
              <w:jc w:val="center"/>
              <w:ind w:left="3110"/>
              <w:spacing w:after="0"/>
              <w:rPr>
                <w:sz w:val="20"/>
                <w:szCs w:val="20"/>
                <w:color w:val="auto"/>
              </w:rPr>
            </w:pPr>
            <w:r>
              <w:rPr>
                <w:rFonts w:ascii="Arial" w:cs="Arial" w:eastAsia="Arial" w:hAnsi="Arial"/>
                <w:sz w:val="18"/>
                <w:szCs w:val="18"/>
                <w:color w:val="auto"/>
                <w:w w:val="79"/>
              </w:rPr>
              <w:t>4</w:t>
            </w:r>
          </w:p>
        </w:tc>
      </w:tr>
    </w:tbl>
    <w:p>
      <w:pPr>
        <w:spacing w:after="0" w:line="202" w:lineRule="exact"/>
        <w:rPr>
          <w:sz w:val="20"/>
          <w:szCs w:val="20"/>
          <w:color w:val="auto"/>
        </w:rPr>
      </w:pPr>
    </w:p>
    <w:p>
      <w:pPr>
        <w:jc w:val="both"/>
        <w:ind w:left="1020" w:right="42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income statement.</w:t>
      </w:r>
    </w:p>
    <w:p>
      <w:pPr>
        <w:spacing w:after="0" w:line="147"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current economic benefits and life expectations.</w:t>
      </w:r>
    </w:p>
    <w:p>
      <w:pPr>
        <w:spacing w:after="0" w:line="170" w:lineRule="exact"/>
        <w:rPr>
          <w:sz w:val="20"/>
          <w:szCs w:val="20"/>
          <w:color w:val="auto"/>
        </w:rPr>
      </w:pPr>
    </w:p>
    <w:p>
      <w:pPr>
        <w:ind w:left="1000" w:hanging="492"/>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Seized assets are recorded at the lower of cost or estimated market value, which is obtained from valuations made by independent appraisals.</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Reductions in book values are recorded in the consolidated statements of income.</w:t>
      </w:r>
    </w:p>
    <w:p>
      <w:pPr>
        <w:spacing w:after="0" w:line="211" w:lineRule="exact"/>
        <w:rPr>
          <w:sz w:val="20"/>
          <w:szCs w:val="20"/>
          <w:color w:val="auto"/>
        </w:rPr>
      </w:pPr>
    </w:p>
    <w:p>
      <w:pPr>
        <w:ind w:left="1000" w:hanging="492"/>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25" w:lineRule="exact"/>
        <w:rPr>
          <w:sz w:val="20"/>
          <w:szCs w:val="20"/>
          <w:color w:val="auto"/>
        </w:rPr>
      </w:pPr>
    </w:p>
    <w:p>
      <w:pPr>
        <w:ind w:left="1020" w:right="100"/>
        <w:spacing w:after="0" w:line="342" w:lineRule="auto"/>
        <w:rPr>
          <w:sz w:val="20"/>
          <w:szCs w:val="20"/>
          <w:color w:val="auto"/>
        </w:rPr>
      </w:pPr>
      <w:r>
        <w:rPr>
          <w:rFonts w:ascii="Arial" w:cs="Arial" w:eastAsia="Arial" w:hAnsi="Arial"/>
          <w:sz w:val="16"/>
          <w:szCs w:val="16"/>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124"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Intangible assets identified as a consequence of the acquisition of subsidiaries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560" w:type="dxa"/>
            <w:vAlign w:val="bottom"/>
          </w:tcPr>
          <w:p>
            <w:pPr>
              <w:jc w:val="center"/>
              <w:ind w:left="2850"/>
              <w:spacing w:after="0"/>
              <w:rPr>
                <w:sz w:val="20"/>
                <w:szCs w:val="20"/>
                <w:color w:val="auto"/>
              </w:rPr>
            </w:pPr>
            <w:r>
              <w:rPr>
                <w:rFonts w:ascii="Arial" w:cs="Arial" w:eastAsia="Arial" w:hAnsi="Arial"/>
                <w:sz w:val="18"/>
                <w:szCs w:val="18"/>
                <w:b w:val="1"/>
                <w:bCs w:val="1"/>
                <w:color w:val="auto"/>
                <w:w w:val="85"/>
              </w:rPr>
              <w:t>Years</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Client relationships – Prima AFP</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Client relationships – Edyficar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10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Client relationships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 3 y 14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Brand name – Edyficar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Brand name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30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Licenses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35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Rights of use</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99"/>
              </w:rPr>
              <w:t>5</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99"/>
              </w:rPr>
              <w:t>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4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statements of income when the asset is derecognized.</w:t>
      </w:r>
    </w:p>
    <w:p>
      <w:pPr>
        <w:spacing w:after="0" w:line="147" w:lineRule="exact"/>
        <w:rPr>
          <w:sz w:val="20"/>
          <w:szCs w:val="20"/>
          <w:color w:val="auto"/>
        </w:rPr>
      </w:pPr>
    </w:p>
    <w:p>
      <w:pPr>
        <w:ind w:left="1000" w:hanging="492"/>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Goodwill -</w:t>
      </w:r>
    </w:p>
    <w:p>
      <w:pPr>
        <w:spacing w:after="0" w:line="225" w:lineRule="exact"/>
        <w:rPr>
          <w:sz w:val="20"/>
          <w:szCs w:val="20"/>
          <w:color w:val="auto"/>
        </w:rPr>
      </w:pPr>
    </w:p>
    <w:p>
      <w:pPr>
        <w:ind w:left="1020" w:right="220"/>
        <w:spacing w:after="0" w:line="264" w:lineRule="auto"/>
        <w:rPr>
          <w:sz w:val="20"/>
          <w:szCs w:val="20"/>
          <w:color w:val="auto"/>
        </w:rPr>
      </w:pPr>
      <w:r>
        <w:rPr>
          <w:rFonts w:ascii="Arial" w:cs="Arial" w:eastAsia="Arial" w:hAnsi="Arial"/>
          <w:sz w:val="18"/>
          <w:szCs w:val="18"/>
          <w:color w:val="auto"/>
        </w:rPr>
        <w:t>Goodwill is initially measured at cost being the excess of the aggregate of the consideration transferred and the amount recognized for non-controlling interest over the net identifiable assets acquired and liabilities assumed. If this consideration is lower than the fair value of the net assets of the subsidiary acquired, the difference is recognized in profit or loss.</w:t>
      </w:r>
    </w:p>
    <w:p>
      <w:pPr>
        <w:spacing w:after="0" w:line="181" w:lineRule="exact"/>
        <w:rPr>
          <w:sz w:val="20"/>
          <w:szCs w:val="20"/>
          <w:color w:val="auto"/>
        </w:rPr>
      </w:pPr>
    </w:p>
    <w:p>
      <w:pPr>
        <w:ind w:left="1020" w:right="120"/>
        <w:spacing w:after="0" w:line="259" w:lineRule="auto"/>
        <w:rPr>
          <w:sz w:val="20"/>
          <w:szCs w:val="20"/>
          <w:color w:val="auto"/>
        </w:rPr>
      </w:pPr>
      <w:r>
        <w:rPr>
          <w:rFonts w:ascii="Arial" w:cs="Arial" w:eastAsia="Arial" w:hAnsi="Arial"/>
          <w:sz w:val="18"/>
          <w:szCs w:val="18"/>
          <w:color w:val="auto"/>
        </w:rPr>
        <w:t>After initial recognition, goodwill is measured at cost less any accumulated impairment losses. Goodwill is tested for impairment annually and when circumstances indicate that the carrying value may be impaired. For the purpose of impairment testing, goodwill acquired in a business combination is, from the acquisition date, allocated to each of the Group’s cash generating unit’s (CGU) that are expected to benefit from the combination.</w:t>
      </w:r>
    </w:p>
    <w:p>
      <w:pPr>
        <w:spacing w:after="0" w:line="187" w:lineRule="exact"/>
        <w:rPr>
          <w:sz w:val="20"/>
          <w:szCs w:val="20"/>
          <w:color w:val="auto"/>
        </w:rPr>
      </w:pPr>
    </w:p>
    <w:p>
      <w:pPr>
        <w:ind w:left="1020" w:right="280"/>
        <w:spacing w:after="0" w:line="264" w:lineRule="auto"/>
        <w:rPr>
          <w:sz w:val="20"/>
          <w:szCs w:val="20"/>
          <w:color w:val="auto"/>
        </w:rPr>
      </w:pPr>
      <w:r>
        <w:rPr>
          <w:rFonts w:ascii="Arial" w:cs="Arial" w:eastAsia="Arial" w:hAnsi="Arial"/>
          <w:sz w:val="18"/>
          <w:szCs w:val="18"/>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81" w:lineRule="exact"/>
        <w:rPr>
          <w:sz w:val="20"/>
          <w:szCs w:val="20"/>
          <w:color w:val="auto"/>
        </w:rPr>
      </w:pPr>
    </w:p>
    <w:p>
      <w:pPr>
        <w:ind w:left="1000" w:hanging="492"/>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25" w:lineRule="exact"/>
        <w:rPr>
          <w:sz w:val="20"/>
          <w:szCs w:val="20"/>
          <w:color w:val="auto"/>
        </w:rPr>
      </w:pPr>
    </w:p>
    <w:p>
      <w:pPr>
        <w:ind w:left="1020" w:right="80"/>
        <w:spacing w:after="0" w:line="279" w:lineRule="auto"/>
        <w:rPr>
          <w:sz w:val="20"/>
          <w:szCs w:val="20"/>
          <w:color w:val="auto"/>
        </w:rPr>
      </w:pPr>
      <w:r>
        <w:rPr>
          <w:rFonts w:ascii="Arial" w:cs="Arial" w:eastAsia="Arial" w:hAnsi="Arial"/>
          <w:sz w:val="17"/>
          <w:szCs w:val="17"/>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 fair value less costs to sell and its value in use and is determined for an individual asset, unless the asset does not generate cash inflows that are largely independent of those from other assets or groups of assets.</w:t>
      </w:r>
    </w:p>
    <w:p>
      <w:pPr>
        <w:spacing w:after="0" w:line="171"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corroborated by valuation multiples, quoted share prices for publicly traded subsidiaries or other available fair value indicators.</w:t>
      </w:r>
    </w:p>
    <w:p>
      <w:pPr>
        <w:spacing w:after="0" w:line="188" w:lineRule="exact"/>
        <w:rPr>
          <w:sz w:val="20"/>
          <w:szCs w:val="20"/>
          <w:color w:val="auto"/>
        </w:rPr>
      </w:pPr>
    </w:p>
    <w:p>
      <w:pPr>
        <w:ind w:left="1020" w:right="340"/>
        <w:spacing w:after="0" w:line="259" w:lineRule="auto"/>
        <w:rPr>
          <w:sz w:val="20"/>
          <w:szCs w:val="20"/>
          <w:color w:val="auto"/>
        </w:rPr>
      </w:pPr>
      <w:r>
        <w:rPr>
          <w:rFonts w:ascii="Arial" w:cs="Arial" w:eastAsia="Arial" w:hAnsi="Arial"/>
          <w:sz w:val="18"/>
          <w:szCs w:val="18"/>
          <w:color w:val="auto"/>
        </w:rPr>
        <w:t>For non-financial assets, excluding goodwill, an assessment is made at each reporting date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20"/>
        <w:spacing w:after="0" w:line="264" w:lineRule="auto"/>
        <w:rPr>
          <w:sz w:val="20"/>
          <w:szCs w:val="20"/>
          <w:color w:val="auto"/>
        </w:rPr>
      </w:pPr>
      <w:r>
        <w:rPr>
          <w:rFonts w:ascii="Arial" w:cs="Arial" w:eastAsia="Arial" w:hAnsi="Arial"/>
          <w:sz w:val="18"/>
          <w:szCs w:val="18"/>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statements of income.</w:t>
      </w:r>
    </w:p>
    <w:p>
      <w:pPr>
        <w:spacing w:after="0" w:line="181" w:lineRule="exact"/>
        <w:rPr>
          <w:sz w:val="20"/>
          <w:szCs w:val="20"/>
          <w:color w:val="auto"/>
        </w:rPr>
      </w:pPr>
    </w:p>
    <w:p>
      <w:pPr>
        <w:ind w:left="1000" w:hanging="492"/>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25" w:lineRule="exact"/>
        <w:rPr>
          <w:sz w:val="20"/>
          <w:szCs w:val="20"/>
          <w:color w:val="auto"/>
        </w:rPr>
      </w:pPr>
    </w:p>
    <w:p>
      <w:pPr>
        <w:ind w:left="1020" w:right="160"/>
        <w:spacing w:after="0" w:line="342" w:lineRule="auto"/>
        <w:rPr>
          <w:sz w:val="20"/>
          <w:szCs w:val="20"/>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24" w:lineRule="exact"/>
        <w:rPr>
          <w:sz w:val="20"/>
          <w:szCs w:val="20"/>
          <w:color w:val="auto"/>
        </w:rPr>
      </w:pPr>
    </w:p>
    <w:p>
      <w:pPr>
        <w:ind w:left="1000" w:hanging="492"/>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25"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In the ordinary course of business, the Group issues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at the higher of the amount initially recognized less, when appropriate, cumulative amortization recognized in the consolidated income statement, and the best estimate of expenditure required to settle any financial obligation arising as a result of the financial guarantee.</w:t>
      </w:r>
    </w:p>
    <w:p>
      <w:pPr>
        <w:spacing w:after="0" w:line="173" w:lineRule="exact"/>
        <w:rPr>
          <w:sz w:val="20"/>
          <w:szCs w:val="20"/>
          <w:color w:val="auto"/>
        </w:rPr>
      </w:pPr>
    </w:p>
    <w:p>
      <w:pPr>
        <w:ind w:left="1020" w:right="200"/>
        <w:spacing w:after="0" w:line="264"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statements of income. The fee received is recognized in the consolidated statement of income in the caption “Banking services commissions” on a straight line basis over the life of the granted financial guarantee.</w:t>
      </w:r>
    </w:p>
    <w:p>
      <w:pPr>
        <w:spacing w:after="0" w:line="181" w:lineRule="exact"/>
        <w:rPr>
          <w:sz w:val="20"/>
          <w:szCs w:val="20"/>
          <w:color w:val="auto"/>
        </w:rPr>
      </w:pPr>
    </w:p>
    <w:p>
      <w:pPr>
        <w:ind w:left="1000" w:hanging="492"/>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25" w:lineRule="exact"/>
        <w:rPr>
          <w:sz w:val="20"/>
          <w:szCs w:val="20"/>
          <w:color w:val="auto"/>
        </w:rPr>
      </w:pPr>
    </w:p>
    <w:p>
      <w:pPr>
        <w:jc w:val="both"/>
        <w:ind w:left="1020" w:right="80"/>
        <w:spacing w:after="0" w:line="264" w:lineRule="auto"/>
        <w:rPr>
          <w:sz w:val="20"/>
          <w:szCs w:val="20"/>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181" w:lineRule="exact"/>
        <w:rPr>
          <w:sz w:val="20"/>
          <w:szCs w:val="20"/>
          <w:color w:val="auto"/>
        </w:rPr>
      </w:pPr>
    </w:p>
    <w:p>
      <w:pPr>
        <w:ind w:left="1000" w:hanging="492"/>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25" w:lineRule="exact"/>
        <w:rPr>
          <w:sz w:val="20"/>
          <w:szCs w:val="20"/>
          <w:color w:val="auto"/>
        </w:rPr>
      </w:pPr>
    </w:p>
    <w:p>
      <w:pPr>
        <w:ind w:left="1020" w:right="120"/>
        <w:spacing w:after="0" w:line="264"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 Contingent assets are not recorded in the financial statements; they are disclosed if it is probable that an inflow of economic benefits will be realized.</w:t>
      </w:r>
    </w:p>
    <w:p>
      <w:pPr>
        <w:spacing w:after="0" w:line="181" w:lineRule="exact"/>
        <w:rPr>
          <w:sz w:val="20"/>
          <w:szCs w:val="20"/>
          <w:color w:val="auto"/>
        </w:rPr>
      </w:pPr>
    </w:p>
    <w:p>
      <w:pPr>
        <w:ind w:left="1000" w:hanging="492"/>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tax is computed based on individual financial statements of Credicorp and each one of its Subsidiaries.</w:t>
      </w:r>
    </w:p>
    <w:p>
      <w:pPr>
        <w:spacing w:after="0" w:line="225" w:lineRule="exact"/>
        <w:rPr>
          <w:sz w:val="20"/>
          <w:szCs w:val="20"/>
          <w:color w:val="auto"/>
        </w:rPr>
      </w:pPr>
    </w:p>
    <w:p>
      <w:pPr>
        <w:ind w:left="1020" w:right="120"/>
        <w:spacing w:after="0" w:line="297" w:lineRule="auto"/>
        <w:rPr>
          <w:sz w:val="20"/>
          <w:szCs w:val="20"/>
          <w:color w:val="auto"/>
        </w:rPr>
      </w:pPr>
      <w:r>
        <w:rPr>
          <w:rFonts w:ascii="Arial" w:cs="Arial" w:eastAsia="Arial" w:hAnsi="Arial"/>
          <w:sz w:val="16"/>
          <w:szCs w:val="16"/>
          <w:color w:val="auto"/>
        </w:rPr>
        <w:t>Deferred income tax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158"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18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170" w:lineRule="exact"/>
        <w:rPr>
          <w:sz w:val="20"/>
          <w:szCs w:val="20"/>
          <w:color w:val="auto"/>
        </w:rPr>
      </w:pPr>
    </w:p>
    <w:p>
      <w:pPr>
        <w:ind w:left="1000" w:hanging="492"/>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25" w:lineRule="exact"/>
        <w:rPr>
          <w:sz w:val="20"/>
          <w:szCs w:val="20"/>
          <w:color w:val="auto"/>
        </w:rPr>
      </w:pPr>
    </w:p>
    <w:p>
      <w:pPr>
        <w:jc w:val="both"/>
        <w:ind w:left="1020" w:right="140"/>
        <w:spacing w:after="0" w:line="342" w:lineRule="auto"/>
        <w:rPr>
          <w:sz w:val="20"/>
          <w:szCs w:val="20"/>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24" w:lineRule="exact"/>
        <w:rPr>
          <w:sz w:val="20"/>
          <w:szCs w:val="20"/>
          <w:color w:val="auto"/>
        </w:rPr>
      </w:pPr>
    </w:p>
    <w:p>
      <w:pPr>
        <w:ind w:left="1020" w:right="100"/>
        <w:spacing w:after="0" w:line="259" w:lineRule="auto"/>
        <w:rPr>
          <w:sz w:val="20"/>
          <w:szCs w:val="20"/>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25" w:lineRule="exact"/>
        <w:rPr>
          <w:rFonts w:ascii="Arial" w:cs="Arial" w:eastAsia="Arial" w:hAnsi="Arial"/>
          <w:sz w:val="18"/>
          <w:szCs w:val="18"/>
          <w:color w:val="auto"/>
        </w:rPr>
      </w:pPr>
    </w:p>
    <w:p>
      <w:pPr>
        <w:ind w:left="1580" w:hanging="600"/>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333" w:lineRule="exact"/>
        <w:rPr>
          <w:sz w:val="20"/>
          <w:szCs w:val="20"/>
          <w:color w:val="auto"/>
        </w:rPr>
      </w:pPr>
    </w:p>
    <w:p>
      <w:pPr>
        <w:ind w:left="1540"/>
        <w:spacing w:after="0" w:line="302" w:lineRule="auto"/>
        <w:rPr>
          <w:sz w:val="20"/>
          <w:szCs w:val="20"/>
          <w:color w:val="auto"/>
        </w:rPr>
      </w:pPr>
      <w:r>
        <w:rPr>
          <w:rFonts w:ascii="Arial" w:cs="Arial" w:eastAsia="Arial" w:hAnsi="Arial"/>
          <w:sz w:val="16"/>
          <w:szCs w:val="16"/>
          <w:color w:val="auto"/>
        </w:rPr>
        <w:t>As explained in Note 18(a), until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54" w:lineRule="exact"/>
        <w:rPr>
          <w:sz w:val="20"/>
          <w:szCs w:val="20"/>
          <w:color w:val="auto"/>
        </w:rPr>
      </w:pPr>
    </w:p>
    <w:p>
      <w:pPr>
        <w:ind w:left="1540" w:right="380"/>
        <w:spacing w:after="0" w:line="259" w:lineRule="auto"/>
        <w:rPr>
          <w:sz w:val="20"/>
          <w:szCs w:val="20"/>
          <w:color w:val="auto"/>
        </w:rPr>
      </w:pPr>
      <w:r>
        <w:rPr>
          <w:rFonts w:ascii="Arial" w:cs="Arial" w:eastAsia="Arial" w:hAnsi="Arial"/>
          <w:sz w:val="18"/>
          <w:szCs w:val="18"/>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consolidated income statement caption “Salaries and employee benefits”. When the price or terms of the SARs are modified, any additional expense is recorded in the consolidated statements of income.</w:t>
      </w:r>
    </w:p>
    <w:p>
      <w:pPr>
        <w:spacing w:after="0" w:line="187" w:lineRule="exact"/>
        <w:rPr>
          <w:sz w:val="20"/>
          <w:szCs w:val="20"/>
          <w:color w:val="auto"/>
        </w:rPr>
      </w:pPr>
    </w:p>
    <w:p>
      <w:pPr>
        <w:ind w:left="1580" w:hanging="600"/>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333" w:lineRule="exact"/>
        <w:rPr>
          <w:sz w:val="20"/>
          <w:szCs w:val="20"/>
          <w:color w:val="auto"/>
        </w:rPr>
      </w:pPr>
    </w:p>
    <w:p>
      <w:pPr>
        <w:ind w:left="1540" w:right="540"/>
        <w:spacing w:after="0" w:line="277" w:lineRule="auto"/>
        <w:rPr>
          <w:sz w:val="20"/>
          <w:szCs w:val="20"/>
          <w:color w:val="auto"/>
        </w:rPr>
      </w:pPr>
      <w:r>
        <w:rPr>
          <w:rFonts w:ascii="Arial" w:cs="Arial" w:eastAsia="Arial" w:hAnsi="Arial"/>
          <w:sz w:val="18"/>
          <w:szCs w:val="18"/>
          <w:color w:val="auto"/>
        </w:rPr>
        <w:t>As explain in Note 18(b), since 2009, a new supplementary remuneration plan was implemented to replace the SARs plan (see (i) above).</w:t>
      </w:r>
    </w:p>
    <w:p>
      <w:pPr>
        <w:spacing w:after="0" w:line="170" w:lineRule="exact"/>
        <w:rPr>
          <w:sz w:val="20"/>
          <w:szCs w:val="20"/>
          <w:color w:val="auto"/>
        </w:rPr>
      </w:pPr>
    </w:p>
    <w:p>
      <w:pPr>
        <w:jc w:val="both"/>
        <w:ind w:left="1540"/>
        <w:spacing w:after="0" w:line="302" w:lineRule="auto"/>
        <w:rPr>
          <w:sz w:val="20"/>
          <w:szCs w:val="20"/>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54" w:lineRule="exact"/>
        <w:rPr>
          <w:sz w:val="20"/>
          <w:szCs w:val="20"/>
          <w:color w:val="auto"/>
        </w:rPr>
      </w:pPr>
    </w:p>
    <w:p>
      <w:pPr>
        <w:ind w:left="1540" w:right="60"/>
        <w:spacing w:after="0" w:line="257" w:lineRule="auto"/>
        <w:rPr>
          <w:sz w:val="20"/>
          <w:szCs w:val="20"/>
          <w:color w:val="auto"/>
        </w:rPr>
      </w:pPr>
      <w:r>
        <w:rPr>
          <w:rFonts w:ascii="Arial" w:cs="Arial" w:eastAsia="Arial" w:hAnsi="Arial"/>
          <w:sz w:val="18"/>
          <w:szCs w:val="18"/>
          <w:color w:val="auto"/>
        </w:rPr>
        <w:t>The expense is recorded in the consolidated income statements caption “Salaries and employees benefits”. When the terms of an equity-settled award are modified, the minimum expense recognized in the consolidated income statement “Salaries and employees benefits” caption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88" w:lineRule="exact"/>
        <w:rPr>
          <w:sz w:val="20"/>
          <w:szCs w:val="20"/>
          <w:color w:val="auto"/>
        </w:rPr>
      </w:pPr>
    </w:p>
    <w:p>
      <w:pPr>
        <w:ind w:left="1540" w:right="80"/>
        <w:spacing w:after="0" w:line="277" w:lineRule="auto"/>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70" w:lineRule="exact"/>
        <w:rPr>
          <w:sz w:val="20"/>
          <w:szCs w:val="20"/>
          <w:color w:val="auto"/>
        </w:rPr>
      </w:pPr>
    </w:p>
    <w:p>
      <w:pPr>
        <w:ind w:left="1020" w:right="6360" w:hanging="512"/>
        <w:spacing w:after="0" w:line="501" w:lineRule="auto"/>
        <w:tabs>
          <w:tab w:leader="none" w:pos="9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Derivative financial instruments and hedge accounting - Trading -</w:t>
      </w:r>
    </w:p>
    <w:p>
      <w:pPr>
        <w:ind w:left="1020" w:right="40"/>
        <w:spacing w:after="0" w:line="277" w:lineRule="auto"/>
        <w:rPr>
          <w:sz w:val="20"/>
          <w:szCs w:val="20"/>
          <w:color w:val="auto"/>
        </w:rPr>
      </w:pPr>
      <w:r>
        <w:rPr>
          <w:rFonts w:ascii="Arial" w:cs="Arial" w:eastAsia="Arial" w:hAnsi="Arial"/>
          <w:sz w:val="18"/>
          <w:szCs w:val="18"/>
          <w:color w:val="auto"/>
        </w:rPr>
        <w:t>The Group negotiates derivative financial instruments in order to satisfy client’s needs. The Group may also take positions with the expectation of profiting from favorable movements in prices, rates or indexes.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70"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statements of income.</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Hedge -</w:t>
      </w:r>
    </w:p>
    <w:p>
      <w:pPr>
        <w:spacing w:after="0" w:line="225"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70"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81"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25" w:lineRule="exact"/>
        <w:rPr>
          <w:sz w:val="20"/>
          <w:szCs w:val="20"/>
          <w:color w:val="auto"/>
        </w:rPr>
      </w:pPr>
    </w:p>
    <w:p>
      <w:pPr>
        <w:ind w:left="1520" w:hanging="499"/>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effective portion of the gain or loss on the hedging instrument is recognized directly in other comprehensive income in the cash flow hedge reserve, while any ineffective portion is recognized immediately in the consolidated income statement.</w:t>
      </w:r>
    </w:p>
    <w:p>
      <w:pPr>
        <w:spacing w:after="0" w:line="170"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Amounts recognized as other comprehensive income are transferred to the consolidated statements of income when the hedged transaction affects profit or loss, such as when the hedged financial income or financial expense is recognized or when a forecast sale occurs.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57"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hedges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hedges reserve until the forecast transaction or firm commitment affects profit or loss.</w:t>
      </w:r>
    </w:p>
    <w:p>
      <w:pPr>
        <w:spacing w:after="0" w:line="188" w:lineRule="exact"/>
        <w:rPr>
          <w:sz w:val="20"/>
          <w:szCs w:val="20"/>
          <w:color w:val="auto"/>
        </w:rPr>
      </w:pPr>
    </w:p>
    <w:p>
      <w:pPr>
        <w:ind w:left="1520" w:hanging="499"/>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25" w:lineRule="exact"/>
        <w:rPr>
          <w:rFonts w:ascii="Arial" w:cs="Arial" w:eastAsia="Arial" w:hAnsi="Arial"/>
          <w:sz w:val="18"/>
          <w:szCs w:val="18"/>
          <w:color w:val="auto"/>
        </w:rPr>
      </w:pPr>
    </w:p>
    <w:p>
      <w:pPr>
        <w:ind w:left="1540" w:right="100"/>
        <w:spacing w:after="0" w:line="264"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statements of income in interest expense. The change in the fair value of the hedged item attributable to the risk hedged is recorded as a part of the carrying value of the hedged item and is also recognized in the consolidated income statement.</w:t>
      </w:r>
    </w:p>
    <w:p>
      <w:pPr>
        <w:spacing w:after="0" w:line="181" w:lineRule="exact"/>
        <w:rPr>
          <w:rFonts w:ascii="Arial" w:cs="Arial" w:eastAsia="Arial" w:hAnsi="Arial"/>
          <w:sz w:val="18"/>
          <w:szCs w:val="18"/>
          <w:color w:val="auto"/>
        </w:rPr>
      </w:pPr>
    </w:p>
    <w:p>
      <w:pPr>
        <w:ind w:left="1540" w:right="4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statements of income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If the hedged item is derecognized, the unamortized fair value is recognized immediately in the consolidated income statement.</w:t>
      </w:r>
    </w:p>
    <w:p>
      <w:pPr>
        <w:spacing w:after="0" w:line="236" w:lineRule="exact"/>
        <w:rPr>
          <w:rFonts w:ascii="Arial" w:cs="Arial" w:eastAsia="Arial" w:hAnsi="Arial"/>
          <w:sz w:val="18"/>
          <w:szCs w:val="18"/>
          <w:color w:val="auto"/>
        </w:rPr>
      </w:pPr>
    </w:p>
    <w:p>
      <w:pPr>
        <w:ind w:left="1540" w:right="60"/>
        <w:spacing w:after="0" w:line="257" w:lineRule="auto"/>
        <w:rPr>
          <w:rFonts w:ascii="Arial" w:cs="Arial" w:eastAsia="Arial" w:hAnsi="Arial"/>
          <w:sz w:val="18"/>
          <w:szCs w:val="18"/>
          <w:color w:val="auto"/>
        </w:rPr>
      </w:pPr>
      <w:r>
        <w:rPr>
          <w:rFonts w:ascii="Arial" w:cs="Arial" w:eastAsia="Arial" w:hAnsi="Arial"/>
          <w:sz w:val="18"/>
          <w:szCs w:val="18"/>
          <w:color w:val="auto"/>
        </w:rPr>
        <w:t>If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income statement.</w:t>
      </w:r>
    </w:p>
    <w:p>
      <w:pPr>
        <w:spacing w:after="0" w:line="188" w:lineRule="exact"/>
        <w:rPr>
          <w:rFonts w:ascii="Arial" w:cs="Arial" w:eastAsia="Arial" w:hAnsi="Arial"/>
          <w:sz w:val="18"/>
          <w:szCs w:val="18"/>
          <w:color w:val="auto"/>
        </w:rPr>
      </w:pPr>
    </w:p>
    <w:p>
      <w:pPr>
        <w:ind w:left="1520" w:hanging="499"/>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25"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81" w:lineRule="exact"/>
        <w:rPr>
          <w:rFonts w:ascii="Arial" w:cs="Arial" w:eastAsia="Arial" w:hAnsi="Arial"/>
          <w:sz w:val="18"/>
          <w:szCs w:val="18"/>
          <w:color w:val="auto"/>
        </w:rPr>
      </w:pPr>
    </w:p>
    <w:p>
      <w:pPr>
        <w:ind w:left="1540" w:right="18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have been classified at inception by the Group as “Financial instruments at fair value though profit or loss”, see Note 3(f)(i), and Note 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 performance and deciding how to allocate resources to segments, Note 26.</w:t>
      </w:r>
    </w:p>
    <w:p>
      <w:pPr>
        <w:spacing w:after="0" w:line="158" w:lineRule="exact"/>
        <w:rPr>
          <w:sz w:val="20"/>
          <w:szCs w:val="20"/>
          <w:color w:val="auto"/>
        </w:rPr>
      </w:pPr>
    </w:p>
    <w:p>
      <w:pPr>
        <w:ind w:left="1000" w:hanging="492"/>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25"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statements of income.</w:t>
      </w:r>
    </w:p>
    <w:p>
      <w:pPr>
        <w:spacing w:after="0" w:line="225" w:lineRule="exact"/>
        <w:rPr>
          <w:sz w:val="20"/>
          <w:szCs w:val="20"/>
          <w:color w:val="auto"/>
        </w:rPr>
      </w:pPr>
    </w:p>
    <w:p>
      <w:pPr>
        <w:ind w:left="1000" w:hanging="492"/>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Repurchase agreements -</w:t>
      </w:r>
    </w:p>
    <w:p>
      <w:pPr>
        <w:spacing w:after="0" w:line="225" w:lineRule="exact"/>
        <w:rPr>
          <w:sz w:val="20"/>
          <w:szCs w:val="20"/>
          <w:color w:val="auto"/>
        </w:rPr>
      </w:pPr>
    </w:p>
    <w:p>
      <w:pPr>
        <w:jc w:val="both"/>
        <w:ind w:left="1020" w:right="500"/>
        <w:spacing w:after="0" w:line="264" w:lineRule="auto"/>
        <w:rPr>
          <w:sz w:val="20"/>
          <w:szCs w:val="20"/>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“Other liabilities” in the consolidated statements of financial position.</w:t>
      </w:r>
    </w:p>
    <w:p>
      <w:pPr>
        <w:spacing w:after="0" w:line="181"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The difference between sale and repurchase price is considered as interest and is accrued over the life of the related agreement using the effective interest rate method.</w:t>
      </w:r>
    </w:p>
    <w:p>
      <w:pPr>
        <w:spacing w:after="0" w:line="17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(ab)</w:t>
        <w:tab/>
        <w:t>Cash and cash equivalents -</w:t>
      </w:r>
    </w:p>
    <w:p>
      <w:pPr>
        <w:spacing w:after="0" w:line="225"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For the purpose of the consolidated statements of cash flows, cash and cash equivalents comprise balances of cash and non-restricted balances with central banks, overnight deposits, time deposits and amounts due from banks with original maturities of three months or less.</w:t>
      </w:r>
    </w:p>
    <w:p>
      <w:pPr>
        <w:spacing w:after="0" w:line="124"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(ac)</w:t>
        <w:tab/>
        <w:t>Reclassifications -</w:t>
      </w:r>
    </w:p>
    <w:p>
      <w:pPr>
        <w:spacing w:after="0" w:line="225" w:lineRule="exact"/>
        <w:rPr>
          <w:sz w:val="20"/>
          <w:szCs w:val="20"/>
          <w:color w:val="auto"/>
        </w:rPr>
      </w:pPr>
    </w:p>
    <w:p>
      <w:pPr>
        <w:ind w:left="1020" w:right="160"/>
        <w:spacing w:after="0" w:line="264" w:lineRule="auto"/>
        <w:rPr>
          <w:sz w:val="20"/>
          <w:szCs w:val="20"/>
          <w:color w:val="auto"/>
        </w:rPr>
      </w:pPr>
      <w:r>
        <w:rPr>
          <w:rFonts w:ascii="Arial" w:cs="Arial" w:eastAsia="Arial" w:hAnsi="Arial"/>
          <w:sz w:val="18"/>
          <w:szCs w:val="18"/>
          <w:color w:val="auto"/>
        </w:rPr>
        <w:t>When it is necessary, comparative figures have been reclassified to conform to the current year presentation. Certain transactions were reclassified in the current year presentation; in Management’s opinion those reclassifications are not significant to the consolidated financial statement as of December 31, 2011 and 2010.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4" w:right="37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(ad)</w:t>
        <w:tab/>
        <w:t>Recently issued International Financial Reporting Standards but not yet effective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not effective as of December 31, 2011:</w:t>
      </w:r>
    </w:p>
    <w:p>
      <w:pPr>
        <w:spacing w:after="0" w:line="248" w:lineRule="exact"/>
        <w:rPr>
          <w:sz w:val="20"/>
          <w:szCs w:val="20"/>
          <w:color w:val="auto"/>
        </w:rPr>
      </w:pPr>
    </w:p>
    <w:p>
      <w:pPr>
        <w:ind w:left="1520" w:right="80" w:hanging="499"/>
        <w:spacing w:after="0" w:line="259" w:lineRule="auto"/>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IAS 1 “Presentation of Items of Other Comprehensive Income — Amendments to IAS 1”. Effective for annual periods beginning on or after July 1, 2012. The amendments to IAS 1 change the grouping of items presented in Other Comprehensive Income (OCI). Items that could be reclassified (or recycled) to profit or loss at a future point in time (for example, upon derecognition or settlement) would be presented separately from items that will never be reclassified.</w:t>
      </w:r>
    </w:p>
    <w:p>
      <w:pPr>
        <w:spacing w:after="0" w:line="186" w:lineRule="exact"/>
        <w:rPr>
          <w:rFonts w:ascii="Arial" w:cs="Arial" w:eastAsia="Arial" w:hAnsi="Arial"/>
          <w:sz w:val="18"/>
          <w:szCs w:val="18"/>
          <w:color w:val="auto"/>
        </w:rPr>
      </w:pPr>
    </w:p>
    <w:p>
      <w:pPr>
        <w:ind w:left="1520" w:right="80" w:hanging="499"/>
        <w:spacing w:after="0" w:line="297" w:lineRule="auto"/>
        <w:tabs>
          <w:tab w:leader="none" w:pos="1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IAS 12 “Income Taxes (amendment) – Recovery of Underlying Assets”. Effective for annual periods beginning on or after January 1, 2012. The amendment clarified the determination of deferred tax on investment property measured at fair value. The amendment introduces a rebuttable presumption that deferred tax on investment property measured using the fair value model in IAS 40 should be determined on the basis that its carrying amount will be recovered through sale. Furthermore, it introduces the requirement that deferred tax on non-depreciable assets that are measured using the revaluation model in IAS 16 always be measured on a sale basis of the asset.</w:t>
      </w:r>
    </w:p>
    <w:p>
      <w:pPr>
        <w:spacing w:after="0" w:line="158" w:lineRule="exact"/>
        <w:rPr>
          <w:rFonts w:ascii="Arial" w:cs="Arial" w:eastAsia="Arial" w:hAnsi="Arial"/>
          <w:sz w:val="16"/>
          <w:szCs w:val="16"/>
          <w:color w:val="auto"/>
        </w:rPr>
      </w:pPr>
    </w:p>
    <w:p>
      <w:pPr>
        <w:ind w:left="1520" w:right="120" w:hanging="499"/>
        <w:spacing w:after="0" w:line="264" w:lineRule="auto"/>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IAS 19 “Employee Benefits (amendment)”. Effective for annual periods beginning on or after January 1, 2013. The IASB has issued numerous amendments to IAS 19. These range from fundamental changes such as removing the corridor mechanism and the concept of expected returns on plan assets to simple clarifications and re-wording.</w:t>
      </w:r>
    </w:p>
    <w:p>
      <w:pPr>
        <w:spacing w:after="0" w:line="181" w:lineRule="exact"/>
        <w:rPr>
          <w:rFonts w:ascii="Arial" w:cs="Arial" w:eastAsia="Arial" w:hAnsi="Arial"/>
          <w:sz w:val="18"/>
          <w:szCs w:val="18"/>
          <w:color w:val="auto"/>
        </w:rPr>
      </w:pPr>
    </w:p>
    <w:p>
      <w:pPr>
        <w:ind w:left="1520" w:right="260" w:hanging="499"/>
        <w:spacing w:after="0" w:line="286" w:lineRule="auto"/>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IAS 27 “Separate Financial Statements (as revised in 2011)”. Effective for annual periods beginning on or after January 1, 2013. As a consequence of the new IFRS 10 and IFRS 12, what remains of IAS 27 is limited to accounting for subsidiaries, jointly controlled entities, and associates in separate financial statements. The Group does not present separate financial statements.</w:t>
      </w:r>
    </w:p>
    <w:p>
      <w:pPr>
        <w:spacing w:after="0" w:line="165" w:lineRule="exact"/>
        <w:rPr>
          <w:rFonts w:ascii="Arial" w:cs="Arial" w:eastAsia="Arial" w:hAnsi="Arial"/>
          <w:sz w:val="17"/>
          <w:szCs w:val="17"/>
          <w:color w:val="auto"/>
        </w:rPr>
      </w:pPr>
    </w:p>
    <w:p>
      <w:pPr>
        <w:ind w:left="1520" w:hanging="499"/>
        <w:spacing w:after="0" w:line="286" w:lineRule="auto"/>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IAS 28 “Investments in Associates and Joint Ventures (as revised in 2011)”. Effective for annual periods beginning on or after January 1, 2013. As a consequence of the new IFRS 11 and IFRS 12, IAS 28 has been renamed IAS 28 Investments in Associates and Joint Ventures, and describes the application of the equity method to investments in joint ventures in addition to associates.</w:t>
      </w:r>
    </w:p>
    <w:p>
      <w:pPr>
        <w:spacing w:after="0" w:line="165" w:lineRule="exact"/>
        <w:rPr>
          <w:rFonts w:ascii="Arial" w:cs="Arial" w:eastAsia="Arial" w:hAnsi="Arial"/>
          <w:sz w:val="17"/>
          <w:szCs w:val="17"/>
          <w:color w:val="auto"/>
        </w:rPr>
      </w:pPr>
    </w:p>
    <w:p>
      <w:pPr>
        <w:ind w:left="1520" w:right="80" w:hanging="499"/>
        <w:spacing w:after="0" w:line="276" w:lineRule="auto"/>
        <w:tabs>
          <w:tab w:leader="none" w:pos="1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IFRS 7 “Financial Instruments: Disclosures”. Effective for periods beginning on or after July 1, 2011. The amendment requires additional disclosure about financial assets that have been transferred but not derecognized to enable the user of the financial statements to understand the relationship with those assets that have not been derecognized and their associated liabilities. In addition, the amendment requires disclosures about continuing involvement in derecognized assets to enable the user to evaluate the nature of, and risks associated with, the entity’s continuing involvement in those derecognized assets.</w:t>
      </w:r>
    </w:p>
    <w:p>
      <w:pPr>
        <w:spacing w:after="0" w:line="172" w:lineRule="exact"/>
        <w:rPr>
          <w:rFonts w:ascii="Arial" w:cs="Arial" w:eastAsia="Arial" w:hAnsi="Arial"/>
          <w:sz w:val="17"/>
          <w:szCs w:val="17"/>
          <w:color w:val="auto"/>
        </w:rPr>
      </w:pPr>
    </w:p>
    <w:p>
      <w:pPr>
        <w:ind w:left="1520" w:hanging="499"/>
        <w:spacing w:after="0" w:line="255" w:lineRule="auto"/>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IFRS 9 “Financial Instruments: Classification and Measurement”. IFRS 9 as issued reflects the first phase of the IASBs work on the replacement of IAS 39 and applies to classification and measurement of financial assets as defined in IAS 39. The standard is effective for annual periods beginning on or after January 1, 2015. The adoption of the first phase of IFRS 9 will have an effect on the classification and measurement of the Group’s financial assets, but will potentially have no impact on classification and measurements of financial liabilities. In subsequent phases, the IASB will address hedge accounting and impairment of financial assets. The completion of this project is expected over the course of 2012.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255" w:lineRule="auto"/>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for annual periods beginning on or after January 1, 2013. IFRS 10 replaces the portion of IAS 27 “Consolidated and Separate Financial Statements” that addresses the accounting for consolidated financial statements. It also includes the issues raised in SIC-12 “Consolidation — Special Purpose Entities”. IFRS 10 establishes a single control model that applies to all entities including special purpose entities. The changes introduced by IFRS 10 will require management to exercise significant judgment to determine which entities are controlled, and therefore, are required to be consolidated by a parent, compared with the requirements that were in IAS 27.</w:t>
      </w:r>
    </w:p>
    <w:p>
      <w:pPr>
        <w:spacing w:after="0" w:line="193" w:lineRule="exact"/>
        <w:rPr>
          <w:rFonts w:ascii="Arial" w:cs="Arial" w:eastAsia="Arial" w:hAnsi="Arial"/>
          <w:sz w:val="18"/>
          <w:szCs w:val="18"/>
          <w:color w:val="auto"/>
        </w:rPr>
      </w:pPr>
    </w:p>
    <w:p>
      <w:pPr>
        <w:ind w:left="1520" w:right="80" w:hanging="499"/>
        <w:spacing w:after="0" w:line="259" w:lineRule="auto"/>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IFRS 11 “Joint Arrangements”. Effective for annual periods beginning on or after January 1, 2013. IFRS 11 replaces IAS 31 Interests in Joint Ventures and SIC-13 Jointly-controlled Entities — Non-monetary Contributions by Venturers. IFRS 11 removes the option to account for jointly controlled entities (JCEs) using proportionate consolidation. Instead, JCEs that meet the definition of a joint venture must be accounted for using the equity method.</w:t>
      </w:r>
    </w:p>
    <w:p>
      <w:pPr>
        <w:spacing w:after="0" w:line="186" w:lineRule="exact"/>
        <w:rPr>
          <w:rFonts w:ascii="Arial" w:cs="Arial" w:eastAsia="Arial" w:hAnsi="Arial"/>
          <w:sz w:val="18"/>
          <w:szCs w:val="18"/>
          <w:color w:val="auto"/>
        </w:rPr>
      </w:pPr>
    </w:p>
    <w:p>
      <w:pPr>
        <w:ind w:left="1520" w:right="20" w:hanging="499"/>
        <w:spacing w:after="0" w:line="259" w:lineRule="auto"/>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IFRS 12 “Disclosure of Interests in Other Entities”. Effective for annual periods beginning on or after January 1, 2013. IFRS 12 includes all of the disclosures that were previously in IAS 27 related to consolidated financial statements, as well as all of the disclosures that were previously included in IAS 31 and IAS 28. These disclosures relate to an entity’s interests in subsidiaries, joint arrangements, associates and structured entities. A number of new disclosures are also required.</w:t>
      </w:r>
    </w:p>
    <w:p>
      <w:pPr>
        <w:spacing w:after="0" w:line="186" w:lineRule="exact"/>
        <w:rPr>
          <w:rFonts w:ascii="Arial" w:cs="Arial" w:eastAsia="Arial" w:hAnsi="Arial"/>
          <w:sz w:val="18"/>
          <w:szCs w:val="18"/>
          <w:color w:val="auto"/>
        </w:rPr>
      </w:pPr>
    </w:p>
    <w:p>
      <w:pPr>
        <w:ind w:left="1520" w:right="20" w:hanging="499"/>
        <w:spacing w:after="0" w:line="286" w:lineRule="auto"/>
        <w:tabs>
          <w:tab w:leader="none" w:pos="1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IFRS 13 “Fair Value Measurement”. Effective for annual periods beginning on or after January 1, 2013. IFRS 13 establishes a single source of guidance under IFRS for all fair value measurements. IFRS 13 does not change when an entity is required to use fair value, but rather provides guidance on how to measure fair value under IFRS when fair value is required or permitted.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302" w:lineRule="auto"/>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Conceptual Framework for Financial Reporting – Objectives and Qualitative Characteristics. The IASB is currently in the process of updating its Conceptual Framework. The conceptual framework project is being conducted in phases and the current version was revised in 2010 (effective from September 28, 2010). The Conceptual Framework is not an IFRS statement. However, it is used when developing an accounting policy in the absence of a standard, and is applicable to all prepares of IFRS general purpose financial statements.</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is in process of assessing the impact, if any, that the application of these standards may have on its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7520" w:type="dxa"/>
            <w:vAlign w:val="bottom"/>
            <w:gridSpan w:val="2"/>
          </w:tcPr>
          <w:p>
            <w:pPr>
              <w:ind w:left="180"/>
              <w:spacing w:after="0"/>
              <w:rPr>
                <w:sz w:val="20"/>
                <w:szCs w:val="20"/>
                <w:color w:val="auto"/>
              </w:rPr>
            </w:pPr>
            <w:r>
              <w:rPr>
                <w:rFonts w:ascii="Arial" w:cs="Arial" w:eastAsia="Arial" w:hAnsi="Arial"/>
                <w:sz w:val="18"/>
                <w:szCs w:val="18"/>
                <w:b w:val="1"/>
                <w:bCs w:val="1"/>
                <w:color w:val="auto"/>
              </w:rPr>
              <w:t>Cash and due from banks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926,008</w:t>
            </w: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771,297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060" w:type="dxa"/>
            <w:vAlign w:val="bottom"/>
          </w:tcPr>
          <w:p>
            <w:pPr>
              <w:jc w:val="right"/>
              <w:spacing w:after="0"/>
              <w:rPr>
                <w:sz w:val="20"/>
                <w:szCs w:val="20"/>
                <w:color w:val="auto"/>
              </w:rPr>
            </w:pPr>
            <w:r>
              <w:rPr>
                <w:rFonts w:ascii="Arial" w:cs="Arial" w:eastAsia="Arial" w:hAnsi="Arial"/>
                <w:sz w:val="18"/>
                <w:szCs w:val="18"/>
                <w:color w:val="auto"/>
              </w:rPr>
              <w:t>3,784,514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6,307,977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790,187</w:t>
            </w:r>
          </w:p>
        </w:tc>
        <w:tc>
          <w:tcPr>
            <w:tcW w:w="20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1,458,121</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5,500,709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8,537,395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2,153</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5,502,862</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As of December 31, 2011 and 2010, cash and due from banks includes approximately US$4,617.9 and US$3,282.7 million, respectively, mainly from BCP, which represent the legal reserve that Peruvian banks must maintain for its obligations with the public, and are within the limits established by prevailing Peruvian legislation at those dates.</w:t>
      </w:r>
    </w:p>
    <w:p>
      <w:pPr>
        <w:spacing w:after="0" w:line="181"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The legal reserve funds maintained with BCRP are not interest-bearing, except for the part of the mandatory reserve in U.S. Dollars and in Nuevos Soles that exceeds the minimum legal reserve. As of December 31, 2011, the excess in U.S. Dollars amounts approximately to US$2,257.3 million and bear interest at an annual average interest rate of 0.18 percent (US$1,953.9 million and annual average interest rate of 0.16, respectively, as of December 31, 2010), while the excess in Nuevos Soles amounts approximately to S/.1,007.2 million, equivalent to US$373.6 million, and bear interest in Nuevos Soles at an annual average interest rate of 2.45 percent (S/.660.6 million equivalent to US$235.2 million and annual average interest rate of 1.2 percent, respectively, as of December 31, 2010).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Deposits in local and foreign banks correspond principally to balances in Nuevos Soles and U.S. Dollars. All deposits are unrestricted and earn interest at market rates. As of December 31, 2011 and 2010, Credicorp does not have significant deposits in any specific financial institution.</w:t>
      </w:r>
    </w:p>
    <w:p>
      <w:pPr>
        <w:spacing w:after="0" w:line="147"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As of December 31, 2010, BCP had BCRP fixed term deposits (DPBCRP, for its Spanish acronym), denominated in Nuevos Soles for an amount equivalent to US$3,649.8 million, which earned interest at an average rate of 3.06 percent and were included in the consolidated statements of financial position caption “Cash and due from banks”. During 2011, these instruments were settled and replaced mainly by BCRP certificates of deposit (CDBCRP, for its Spanish acronym), which are included in the consolidated statements of financial position caption “Investments available for sale”, see Note 5(e).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4440" w:type="dxa"/>
            <w:vAlign w:val="bottom"/>
            <w:gridSpan w:val="3"/>
          </w:tcPr>
          <w:p>
            <w:pPr>
              <w:ind w:left="180"/>
              <w:spacing w:after="0"/>
              <w:rPr>
                <w:sz w:val="20"/>
                <w:szCs w:val="20"/>
                <w:color w:val="auto"/>
              </w:rPr>
            </w:pPr>
            <w:r>
              <w:rPr>
                <w:rFonts w:ascii="Arial" w:cs="Arial" w:eastAsia="Arial" w:hAnsi="Arial"/>
                <w:sz w:val="18"/>
                <w:szCs w:val="18"/>
                <w:b w:val="1"/>
                <w:bCs w:val="1"/>
                <w:color w:val="auto"/>
              </w:rPr>
              <w:t>Investments available-for-sale</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w w:val="97"/>
              </w:rPr>
              <w:t>2011</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2010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w w:val="92"/>
              </w:rPr>
              <w:t>Amortized</w:t>
            </w:r>
          </w:p>
        </w:tc>
        <w:tc>
          <w:tcPr>
            <w:tcW w:w="1540" w:type="dxa"/>
            <w:vAlign w:val="bottom"/>
            <w:tcBorders>
              <w:bottom w:val="single" w:sz="8" w:color="auto"/>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Unrealized gross amount</w:t>
            </w:r>
          </w:p>
        </w:tc>
        <w:tc>
          <w:tcPr>
            <w:tcW w:w="860" w:type="dxa"/>
            <w:vAlign w:val="bottom"/>
            <w:vMerge w:val="restart"/>
          </w:tcPr>
          <w:p>
            <w:pPr>
              <w:jc w:val="center"/>
              <w:ind w:left="106"/>
              <w:spacing w:after="0"/>
              <w:rPr>
                <w:sz w:val="20"/>
                <w:szCs w:val="20"/>
                <w:color w:val="auto"/>
              </w:rPr>
            </w:pPr>
            <w:r>
              <w:rPr>
                <w:rFonts w:ascii="Arial" w:cs="Arial" w:eastAsia="Arial" w:hAnsi="Arial"/>
                <w:sz w:val="11"/>
                <w:szCs w:val="11"/>
                <w:b w:val="1"/>
                <w:bCs w:val="1"/>
                <w:color w:val="auto"/>
                <w:w w:val="87"/>
              </w:rPr>
              <w:t>Estimated</w:t>
            </w:r>
          </w:p>
        </w:tc>
        <w:tc>
          <w:tcPr>
            <w:tcW w:w="200" w:type="dxa"/>
            <w:vAlign w:val="bottom"/>
          </w:tcPr>
          <w:p>
            <w:pPr>
              <w:spacing w:after="0"/>
              <w:rPr>
                <w:sz w:val="10"/>
                <w:szCs w:val="10"/>
                <w:color w:val="auto"/>
              </w:rPr>
            </w:pPr>
          </w:p>
        </w:tc>
        <w:tc>
          <w:tcPr>
            <w:tcW w:w="86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w w:val="92"/>
              </w:rPr>
              <w:t>Amortized</w:t>
            </w:r>
          </w:p>
        </w:tc>
        <w:tc>
          <w:tcPr>
            <w:tcW w:w="1540" w:type="dxa"/>
            <w:vAlign w:val="bottom"/>
            <w:tcBorders>
              <w:bottom w:val="single" w:sz="8" w:color="auto"/>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Unrealized gross amount</w:t>
            </w:r>
          </w:p>
        </w:tc>
        <w:tc>
          <w:tcPr>
            <w:tcW w:w="860" w:type="dxa"/>
            <w:vAlign w:val="bottom"/>
            <w:vMerge w:val="restart"/>
          </w:tcPr>
          <w:p>
            <w:pPr>
              <w:jc w:val="center"/>
              <w:ind w:left="106"/>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01"/>
        </w:trPr>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tcPr>
          <w:p>
            <w:pPr>
              <w:jc w:val="center"/>
              <w:ind w:right="146"/>
              <w:spacing w:after="0"/>
              <w:rPr>
                <w:sz w:val="20"/>
                <w:szCs w:val="20"/>
                <w:color w:val="auto"/>
              </w:rPr>
            </w:pPr>
            <w:r>
              <w:rPr>
                <w:rFonts w:ascii="Arial" w:cs="Arial" w:eastAsia="Arial" w:hAnsi="Arial"/>
                <w:sz w:val="11"/>
                <w:szCs w:val="11"/>
                <w:b w:val="1"/>
                <w:bCs w:val="1"/>
                <w:color w:val="auto"/>
                <w:w w:val="79"/>
              </w:rPr>
              <w:t>cost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Gains</w:t>
            </w:r>
          </w:p>
        </w:tc>
        <w:tc>
          <w:tcPr>
            <w:tcW w:w="940" w:type="dxa"/>
            <w:vAlign w:val="bottom"/>
          </w:tcPr>
          <w:p>
            <w:pPr>
              <w:ind w:left="380"/>
              <w:spacing w:after="0"/>
              <w:rPr>
                <w:sz w:val="20"/>
                <w:szCs w:val="20"/>
                <w:color w:val="auto"/>
              </w:rPr>
            </w:pPr>
            <w:r>
              <w:rPr>
                <w:rFonts w:ascii="Arial" w:cs="Arial" w:eastAsia="Arial" w:hAnsi="Arial"/>
                <w:sz w:val="11"/>
                <w:szCs w:val="11"/>
                <w:b w:val="1"/>
                <w:bCs w:val="1"/>
                <w:color w:val="auto"/>
                <w:w w:val="98"/>
              </w:rPr>
              <w:t>Losses (b)</w:t>
            </w:r>
          </w:p>
        </w:tc>
        <w:tc>
          <w:tcPr>
            <w:tcW w:w="860" w:type="dxa"/>
            <w:vAlign w:val="bottom"/>
          </w:tcPr>
          <w:p>
            <w:pPr>
              <w:jc w:val="center"/>
              <w:ind w:left="126"/>
              <w:spacing w:after="0"/>
              <w:rPr>
                <w:sz w:val="20"/>
                <w:szCs w:val="20"/>
                <w:color w:val="auto"/>
              </w:rPr>
            </w:pPr>
            <w:r>
              <w:rPr>
                <w:rFonts w:ascii="Arial" w:cs="Arial" w:eastAsia="Arial" w:hAnsi="Arial"/>
                <w:sz w:val="11"/>
                <w:szCs w:val="11"/>
                <w:b w:val="1"/>
                <w:bCs w:val="1"/>
                <w:color w:val="auto"/>
                <w:w w:val="90"/>
              </w:rPr>
              <w:t>fair value</w:t>
            </w:r>
          </w:p>
        </w:tc>
        <w:tc>
          <w:tcPr>
            <w:tcW w:w="200" w:type="dxa"/>
            <w:vAlign w:val="bottom"/>
          </w:tcPr>
          <w:p>
            <w:pPr>
              <w:spacing w:after="0"/>
              <w:rPr>
                <w:sz w:val="10"/>
                <w:szCs w:val="10"/>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79"/>
              </w:rPr>
              <w:t>cost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Gains</w:t>
            </w:r>
          </w:p>
        </w:tc>
        <w:tc>
          <w:tcPr>
            <w:tcW w:w="940" w:type="dxa"/>
            <w:vAlign w:val="bottom"/>
          </w:tcPr>
          <w:p>
            <w:pPr>
              <w:ind w:left="380"/>
              <w:spacing w:after="0"/>
              <w:rPr>
                <w:sz w:val="20"/>
                <w:szCs w:val="20"/>
                <w:color w:val="auto"/>
              </w:rPr>
            </w:pPr>
            <w:r>
              <w:rPr>
                <w:rFonts w:ascii="Arial" w:cs="Arial" w:eastAsia="Arial" w:hAnsi="Arial"/>
                <w:sz w:val="11"/>
                <w:szCs w:val="11"/>
                <w:b w:val="1"/>
                <w:bCs w:val="1"/>
                <w:color w:val="auto"/>
                <w:w w:val="98"/>
              </w:rPr>
              <w:t>Losses (b)</w:t>
            </w:r>
          </w:p>
        </w:tc>
        <w:tc>
          <w:tcPr>
            <w:tcW w:w="860" w:type="dxa"/>
            <w:vAlign w:val="bottom"/>
          </w:tcPr>
          <w:p>
            <w:pPr>
              <w:jc w:val="center"/>
              <w:ind w:left="126"/>
              <w:spacing w:after="0"/>
              <w:rPr>
                <w:sz w:val="20"/>
                <w:szCs w:val="20"/>
                <w:color w:val="auto"/>
              </w:rPr>
            </w:pPr>
            <w:r>
              <w:rPr>
                <w:rFonts w:ascii="Arial" w:cs="Arial" w:eastAsia="Arial" w:hAnsi="Arial"/>
                <w:sz w:val="11"/>
                <w:szCs w:val="11"/>
                <w:b w:val="1"/>
                <w:bCs w:val="1"/>
                <w:color w:val="auto"/>
                <w:w w:val="90"/>
              </w:rPr>
              <w:t>fair value</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00" w:type="dxa"/>
            <w:vAlign w:val="bottom"/>
          </w:tcPr>
          <w:p>
            <w:pPr>
              <w:jc w:val="center"/>
              <w:ind w:right="146"/>
              <w:spacing w:after="0"/>
              <w:rPr>
                <w:sz w:val="20"/>
                <w:szCs w:val="20"/>
                <w:color w:val="auto"/>
              </w:rPr>
            </w:pPr>
            <w:r>
              <w:rPr>
                <w:rFonts w:ascii="Arial" w:cs="Arial" w:eastAsia="Arial" w:hAnsi="Arial"/>
                <w:sz w:val="11"/>
                <w:szCs w:val="11"/>
                <w:color w:val="auto"/>
                <w:w w:val="89"/>
              </w:rPr>
              <w:t>US$(000)</w:t>
            </w:r>
          </w:p>
        </w:tc>
        <w:tc>
          <w:tcPr>
            <w:tcW w:w="600" w:type="dxa"/>
            <w:vAlign w:val="bottom"/>
          </w:tcPr>
          <w:p>
            <w:pPr>
              <w:ind w:left="120"/>
              <w:spacing w:after="0"/>
              <w:rPr>
                <w:sz w:val="20"/>
                <w:szCs w:val="20"/>
                <w:color w:val="auto"/>
              </w:rPr>
            </w:pPr>
            <w:r>
              <w:rPr>
                <w:rFonts w:ascii="Arial" w:cs="Arial" w:eastAsia="Arial" w:hAnsi="Arial"/>
                <w:sz w:val="11"/>
                <w:szCs w:val="11"/>
                <w:color w:val="auto"/>
                <w:w w:val="97"/>
              </w:rPr>
              <w:t>US$(000)</w:t>
            </w:r>
          </w:p>
        </w:tc>
        <w:tc>
          <w:tcPr>
            <w:tcW w:w="940" w:type="dxa"/>
            <w:vAlign w:val="bottom"/>
          </w:tcPr>
          <w:p>
            <w:pPr>
              <w:ind w:left="400"/>
              <w:spacing w:after="0"/>
              <w:rPr>
                <w:sz w:val="20"/>
                <w:szCs w:val="20"/>
                <w:color w:val="auto"/>
              </w:rPr>
            </w:pPr>
            <w:r>
              <w:rPr>
                <w:rFonts w:ascii="Arial" w:cs="Arial" w:eastAsia="Arial" w:hAnsi="Arial"/>
                <w:sz w:val="11"/>
                <w:szCs w:val="11"/>
                <w:color w:val="auto"/>
              </w:rPr>
              <w:t>US$(000)</w:t>
            </w:r>
          </w:p>
        </w:tc>
        <w:tc>
          <w:tcPr>
            <w:tcW w:w="860" w:type="dxa"/>
            <w:vAlign w:val="bottom"/>
          </w:tcPr>
          <w:p>
            <w:pPr>
              <w:jc w:val="center"/>
              <w:ind w:left="146"/>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color w:val="auto"/>
                <w:w w:val="89"/>
              </w:rPr>
              <w:t>US$(000)</w:t>
            </w:r>
          </w:p>
        </w:tc>
        <w:tc>
          <w:tcPr>
            <w:tcW w:w="600" w:type="dxa"/>
            <w:vAlign w:val="bottom"/>
          </w:tcPr>
          <w:p>
            <w:pPr>
              <w:ind w:left="120"/>
              <w:spacing w:after="0"/>
              <w:rPr>
                <w:sz w:val="20"/>
                <w:szCs w:val="20"/>
                <w:color w:val="auto"/>
              </w:rPr>
            </w:pPr>
            <w:r>
              <w:rPr>
                <w:rFonts w:ascii="Arial" w:cs="Arial" w:eastAsia="Arial" w:hAnsi="Arial"/>
                <w:sz w:val="11"/>
                <w:szCs w:val="11"/>
                <w:color w:val="auto"/>
                <w:w w:val="97"/>
              </w:rPr>
              <w:t>US$(000)</w:t>
            </w:r>
          </w:p>
        </w:tc>
        <w:tc>
          <w:tcPr>
            <w:tcW w:w="940" w:type="dxa"/>
            <w:vAlign w:val="bottom"/>
          </w:tcPr>
          <w:p>
            <w:pPr>
              <w:ind w:left="380"/>
              <w:spacing w:after="0"/>
              <w:rPr>
                <w:sz w:val="20"/>
                <w:szCs w:val="20"/>
                <w:color w:val="auto"/>
              </w:rPr>
            </w:pPr>
            <w:r>
              <w:rPr>
                <w:rFonts w:ascii="Arial" w:cs="Arial" w:eastAsia="Arial" w:hAnsi="Arial"/>
                <w:sz w:val="11"/>
                <w:szCs w:val="11"/>
                <w:color w:val="auto"/>
              </w:rPr>
              <w:t>US$(000)</w:t>
            </w:r>
          </w:p>
        </w:tc>
        <w:tc>
          <w:tcPr>
            <w:tcW w:w="860" w:type="dxa"/>
            <w:vAlign w:val="bottom"/>
          </w:tcPr>
          <w:p>
            <w:pPr>
              <w:jc w:val="center"/>
              <w:ind w:left="146"/>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bl>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840" w:type="dxa"/>
            <w:vAlign w:val="bottom"/>
            <w:shd w:val="clear" w:color="auto" w:fill="CCFFCC"/>
          </w:tcPr>
          <w:p>
            <w:pPr>
              <w:spacing w:after="0"/>
              <w:rPr>
                <w:sz w:val="20"/>
                <w:szCs w:val="20"/>
                <w:color w:val="auto"/>
              </w:rPr>
            </w:pPr>
            <w:r>
              <w:rPr>
                <w:rFonts w:ascii="Arial" w:cs="Arial" w:eastAsia="Arial" w:hAnsi="Arial"/>
                <w:sz w:val="11"/>
                <w:szCs w:val="11"/>
                <w:color w:val="auto"/>
              </w:rPr>
              <w:t>BCRP certificates of deposit (e)</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2,061,020</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65</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(1,305)</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2,059,780</w:t>
            </w:r>
          </w:p>
        </w:tc>
        <w:tc>
          <w:tcPr>
            <w:tcW w:w="10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363,829</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363,850</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Corporate, leasing and subordinated bonds (f)</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1,670,805</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74,962</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(16,439)</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1,729,328</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1,535,638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61,871</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(13,921)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1,583,588</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Government’s treasury bonds (g)</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768,304</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79,480</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(923)</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846,861</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573,611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69,736</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(1,122)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642,225</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Assets back securities (h)</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245,556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12,466</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(733)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257,289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85,431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3,565</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(523)</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88,473</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Central Bank of Bolivia certificates of deposit (i)</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110,727</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226</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110,945</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86,528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86,527</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Restricted mutual funds (j)</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61,642</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26,677</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88,319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56,869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39,060</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95,929</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Participations in mutual funds</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62,333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6,466</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(91)</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68,708</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68,030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9,385</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(276)</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77,139</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Bonds of international financial entities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69,923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4,223</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(78)</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74,068</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59,910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3,328</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63,152</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Participation in RAL’s funds (k)</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49,263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49,263</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80,195</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80,195</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Negotiable certificates of deposit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39,966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1,158</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41,119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34,126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1,023</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35,149</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Hedge funds</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27,133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1,462</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(738)</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27,857</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7,681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2,247</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9,928</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Collateralized mortgage obligations (CMO) (l)</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23,265</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1,163</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24,351</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47,871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287</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48,154</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US Government – Agencies and Sponsored Enterprises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17,161</w:t>
            </w: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1,469</w:t>
            </w:r>
          </w:p>
        </w:tc>
        <w:tc>
          <w:tcPr>
            <w:tcW w:w="18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18,628</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14,409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717</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15,125</w:t>
            </w:r>
          </w:p>
        </w:tc>
      </w:tr>
      <w:tr>
        <w:trPr>
          <w:trHeight w:val="20"/>
        </w:trPr>
        <w:tc>
          <w:tcPr>
            <w:tcW w:w="28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15"/>
        </w:trPr>
        <w:tc>
          <w:tcPr>
            <w:tcW w:w="284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5,207,098</w:t>
            </w:r>
          </w:p>
        </w:tc>
        <w:tc>
          <w:tcPr>
            <w:tcW w:w="2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209,817</w:t>
            </w:r>
          </w:p>
        </w:tc>
        <w:tc>
          <w:tcPr>
            <w:tcW w:w="180" w:type="dxa"/>
            <w:vAlign w:val="bottom"/>
          </w:tcPr>
          <w:p>
            <w:pPr>
              <w:spacing w:after="0"/>
              <w:rPr>
                <w:sz w:val="10"/>
                <w:szCs w:val="10"/>
                <w:color w:val="auto"/>
              </w:rPr>
            </w:pPr>
          </w:p>
        </w:tc>
        <w:tc>
          <w:tcPr>
            <w:tcW w:w="880" w:type="dxa"/>
            <w:vAlign w:val="bottom"/>
            <w:gridSpan w:val="2"/>
          </w:tcPr>
          <w:p>
            <w:pPr>
              <w:jc w:val="right"/>
              <w:ind w:right="160"/>
              <w:spacing w:after="0" w:line="115" w:lineRule="exact"/>
              <w:rPr>
                <w:sz w:val="20"/>
                <w:szCs w:val="20"/>
                <w:color w:val="auto"/>
              </w:rPr>
            </w:pPr>
            <w:r>
              <w:rPr>
                <w:rFonts w:ascii="Arial" w:cs="Arial" w:eastAsia="Arial" w:hAnsi="Arial"/>
                <w:sz w:val="11"/>
                <w:szCs w:val="11"/>
                <w:color w:val="auto"/>
              </w:rPr>
              <w:t>(20,399)</w:t>
            </w: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5,396,516</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3,014,128</w:t>
            </w: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191,246</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(15,940)</w:t>
            </w:r>
          </w:p>
        </w:tc>
        <w:tc>
          <w:tcPr>
            <w:tcW w:w="78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3,189,434</w:t>
            </w:r>
          </w:p>
        </w:tc>
      </w:tr>
      <w:tr>
        <w:trPr>
          <w:trHeight w:val="122"/>
        </w:trPr>
        <w:tc>
          <w:tcPr>
            <w:tcW w:w="28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Listed securities (m)</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116,193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361,525</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(2,281)</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475,437</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108,340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421,453</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(452)</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529,341</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Not-listed securities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4,065</w:t>
            </w: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126</w:t>
            </w:r>
          </w:p>
        </w:tc>
        <w:tc>
          <w:tcPr>
            <w:tcW w:w="18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(212)</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3,979</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10,676</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783</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(285)</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11,174</w:t>
            </w:r>
          </w:p>
        </w:tc>
      </w:tr>
      <w:tr>
        <w:trPr>
          <w:trHeight w:val="20"/>
        </w:trPr>
        <w:tc>
          <w:tcPr>
            <w:tcW w:w="28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15"/>
        </w:trPr>
        <w:tc>
          <w:tcPr>
            <w:tcW w:w="284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120,258</w:t>
            </w:r>
          </w:p>
        </w:tc>
        <w:tc>
          <w:tcPr>
            <w:tcW w:w="2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361,651</w:t>
            </w:r>
          </w:p>
        </w:tc>
        <w:tc>
          <w:tcPr>
            <w:tcW w:w="180" w:type="dxa"/>
            <w:vAlign w:val="bottom"/>
          </w:tcPr>
          <w:p>
            <w:pPr>
              <w:spacing w:after="0"/>
              <w:rPr>
                <w:sz w:val="10"/>
                <w:szCs w:val="10"/>
                <w:color w:val="auto"/>
              </w:rPr>
            </w:pPr>
          </w:p>
        </w:tc>
        <w:tc>
          <w:tcPr>
            <w:tcW w:w="880" w:type="dxa"/>
            <w:vAlign w:val="bottom"/>
            <w:gridSpan w:val="2"/>
          </w:tcPr>
          <w:p>
            <w:pPr>
              <w:jc w:val="right"/>
              <w:ind w:right="160"/>
              <w:spacing w:after="0" w:line="115" w:lineRule="exact"/>
              <w:rPr>
                <w:sz w:val="20"/>
                <w:szCs w:val="20"/>
                <w:color w:val="auto"/>
              </w:rPr>
            </w:pPr>
            <w:r>
              <w:rPr>
                <w:rFonts w:ascii="Arial" w:cs="Arial" w:eastAsia="Arial" w:hAnsi="Arial"/>
                <w:sz w:val="11"/>
                <w:szCs w:val="11"/>
                <w:color w:val="auto"/>
              </w:rPr>
              <w:t>(2,493)</w:t>
            </w: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479,416</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119,016</w:t>
            </w: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422,236</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(737)</w:t>
            </w:r>
          </w:p>
        </w:tc>
        <w:tc>
          <w:tcPr>
            <w:tcW w:w="78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540,515</w:t>
            </w:r>
          </w:p>
        </w:tc>
      </w:tr>
      <w:tr>
        <w:trPr>
          <w:trHeight w:val="115"/>
        </w:trPr>
        <w:tc>
          <w:tcPr>
            <w:tcW w:w="284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rPr>
                <w:sz w:val="10"/>
                <w:szCs w:val="10"/>
                <w:color w:val="auto"/>
              </w:rPr>
            </w:pP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5,327,356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571,468</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(22,892)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5,875,932</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3,133,144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613,482</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(16,677)</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3,729,949</w:t>
            </w:r>
          </w:p>
        </w:tc>
      </w:tr>
      <w:tr>
        <w:trPr>
          <w:trHeight w:val="20"/>
        </w:trPr>
        <w:tc>
          <w:tcPr>
            <w:tcW w:w="2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84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Accrued interest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39,669</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38,299</w:t>
            </w:r>
          </w:p>
        </w:tc>
      </w:tr>
      <w:tr>
        <w:trPr>
          <w:trHeight w:val="115"/>
        </w:trPr>
        <w:tc>
          <w:tcPr>
            <w:tcW w:w="28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5,915,601</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3,768,248</w:t>
            </w:r>
          </w:p>
        </w:tc>
      </w:tr>
      <w:tr>
        <w:trPr>
          <w:trHeight w:val="20"/>
        </w:trPr>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00" w:hanging="492"/>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2011 and 2010 are of temporary nature. Management intents and has the ability to hold each investment for a period of time sufficient to allow for an anticipated recovery in fair value, until the earlier of its anticipated recovery or maturity.</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year ended December 31, 2011, as a result of the impairment assessment of its investments available-for-sale, the Group recorded an impairment amounting to US$1.0 million (US$3.3 million as of December 31, 2010), which is presented in the caption “Impairment loss on available-for-sale investments” of the consolidated statements of income.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movement of available-for-sale investments reserves, net of deferred income tax and non-controlling interest is presented in Note 16(c).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of December 31, 2011 and 2010, the maturities and the annual effective interest rates of the investments available for sale are as follows:</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2060" w:type="dxa"/>
            <w:vAlign w:val="bottom"/>
          </w:tcPr>
          <w:p>
            <w:pPr>
              <w:spacing w:after="0"/>
              <w:rPr>
                <w:sz w:val="20"/>
                <w:szCs w:val="20"/>
                <w:color w:val="auto"/>
              </w:rPr>
            </w:pPr>
            <w:r>
              <w:rPr>
                <w:rFonts w:ascii="Arial" w:cs="Arial" w:eastAsia="Arial" w:hAnsi="Arial"/>
                <w:sz w:val="9"/>
                <w:szCs w:val="9"/>
                <w:b w:val="1"/>
                <w:bCs w:val="1"/>
                <w:color w:val="auto"/>
              </w:rPr>
              <w:t>Investments available-for-sale</w:t>
            </w:r>
          </w:p>
        </w:tc>
        <w:tc>
          <w:tcPr>
            <w:tcW w:w="1080" w:type="dxa"/>
            <w:vAlign w:val="bottom"/>
            <w:tcBorders>
              <w:bottom w:val="single" w:sz="8" w:color="auto"/>
            </w:tcBorders>
            <w:gridSpan w:val="3"/>
          </w:tcPr>
          <w:p>
            <w:pPr>
              <w:ind w:left="360"/>
              <w:spacing w:after="0"/>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9"/>
                <w:szCs w:val="9"/>
                <w:b w:val="1"/>
                <w:bCs w:val="1"/>
                <w:color w:val="auto"/>
              </w:rPr>
              <w:t>Annual effective interest rates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89"/>
              </w:rPr>
              <w:t>2011</w:t>
            </w:r>
          </w:p>
        </w:tc>
        <w:tc>
          <w:tcPr>
            <w:tcW w:w="600" w:type="dxa"/>
            <w:vAlign w:val="bottom"/>
            <w:gridSpan w:val="2"/>
          </w:tcPr>
          <w:p>
            <w:pPr>
              <w:jc w:val="center"/>
              <w:ind w:left="55"/>
              <w:spacing w:after="0" w:line="88" w:lineRule="exact"/>
              <w:rPr>
                <w:sz w:val="20"/>
                <w:szCs w:val="20"/>
                <w:color w:val="auto"/>
              </w:rPr>
            </w:pPr>
            <w:r>
              <w:rPr>
                <w:rFonts w:ascii="Arial" w:cs="Arial" w:eastAsia="Arial" w:hAnsi="Arial"/>
                <w:sz w:val="9"/>
                <w:szCs w:val="9"/>
                <w:b w:val="1"/>
                <w:bCs w:val="1"/>
                <w:color w:val="auto"/>
                <w:w w:val="89"/>
              </w:rPr>
              <w:t>2010</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jc w:val="right"/>
              <w:ind w:right="55"/>
              <w:spacing w:after="0" w:line="88" w:lineRule="exact"/>
              <w:rPr>
                <w:sz w:val="20"/>
                <w:szCs w:val="20"/>
                <w:color w:val="auto"/>
              </w:rPr>
            </w:pPr>
            <w:r>
              <w:rPr>
                <w:rFonts w:ascii="Arial" w:cs="Arial" w:eastAsia="Arial" w:hAnsi="Arial"/>
                <w:sz w:val="9"/>
                <w:szCs w:val="9"/>
                <w:b w:val="1"/>
                <w:bCs w:val="1"/>
                <w:color w:val="auto"/>
              </w:rPr>
              <w:t>2011</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ind w:right="155"/>
              <w:spacing w:after="0" w:line="88" w:lineRule="exact"/>
              <w:rPr>
                <w:sz w:val="20"/>
                <w:szCs w:val="20"/>
                <w:color w:val="auto"/>
              </w:rPr>
            </w:pPr>
            <w:r>
              <w:rPr>
                <w:rFonts w:ascii="Arial" w:cs="Arial" w:eastAsia="Arial" w:hAnsi="Arial"/>
                <w:sz w:val="9"/>
                <w:szCs w:val="9"/>
                <w:b w:val="1"/>
                <w:bCs w:val="1"/>
                <w:color w:val="auto"/>
              </w:rPr>
              <w:t>2010</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20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680"/>
              <w:spacing w:after="0" w:line="88" w:lineRule="exact"/>
              <w:rPr>
                <w:sz w:val="20"/>
                <w:szCs w:val="20"/>
                <w:color w:val="auto"/>
              </w:rPr>
            </w:pPr>
            <w:r>
              <w:rPr>
                <w:rFonts w:ascii="Arial" w:cs="Arial" w:eastAsia="Arial" w:hAnsi="Arial"/>
                <w:sz w:val="9"/>
                <w:szCs w:val="9"/>
                <w:b w:val="1"/>
                <w:bCs w:val="1"/>
                <w:color w:val="auto"/>
                <w:w w:val="90"/>
              </w:rPr>
              <w:t>S/.</w:t>
            </w:r>
          </w:p>
        </w:tc>
        <w:tc>
          <w:tcPr>
            <w:tcW w:w="620" w:type="dxa"/>
            <w:vAlign w:val="bottom"/>
            <w:tcBorders>
              <w:top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rPr>
              <w:t>US$</w:t>
            </w:r>
          </w:p>
        </w:tc>
        <w:tc>
          <w:tcPr>
            <w:tcW w:w="3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right"/>
              <w:ind w:right="95"/>
              <w:spacing w:after="0" w:line="88" w:lineRule="exact"/>
              <w:rPr>
                <w:sz w:val="20"/>
                <w:szCs w:val="20"/>
                <w:color w:val="auto"/>
              </w:rPr>
            </w:pPr>
            <w:r>
              <w:rPr>
                <w:rFonts w:ascii="Arial" w:cs="Arial" w:eastAsia="Arial" w:hAnsi="Arial"/>
                <w:sz w:val="9"/>
                <w:szCs w:val="9"/>
                <w:b w:val="1"/>
                <w:bCs w:val="1"/>
                <w:color w:val="auto"/>
              </w:rPr>
              <w:t>Other currencies</w:t>
            </w:r>
          </w:p>
        </w:tc>
        <w:tc>
          <w:tcPr>
            <w:tcW w:w="180" w:type="dxa"/>
            <w:vAlign w:val="bottom"/>
          </w:tcPr>
          <w:p>
            <w:pPr>
              <w:spacing w:after="0"/>
              <w:rPr>
                <w:sz w:val="7"/>
                <w:szCs w:val="7"/>
                <w:color w:val="auto"/>
              </w:rPr>
            </w:pPr>
          </w:p>
        </w:tc>
        <w:tc>
          <w:tcPr>
            <w:tcW w:w="600" w:type="dxa"/>
            <w:vAlign w:val="bottom"/>
            <w:tcBorders>
              <w:top w:val="single" w:sz="8" w:color="auto"/>
            </w:tcBorders>
          </w:tcPr>
          <w:p>
            <w:pPr>
              <w:jc w:val="right"/>
              <w:ind w:right="35"/>
              <w:spacing w:after="0" w:line="88" w:lineRule="exact"/>
              <w:rPr>
                <w:sz w:val="20"/>
                <w:szCs w:val="20"/>
                <w:color w:val="auto"/>
              </w:rPr>
            </w:pPr>
            <w:r>
              <w:rPr>
                <w:rFonts w:ascii="Arial" w:cs="Arial" w:eastAsia="Arial" w:hAnsi="Arial"/>
                <w:sz w:val="9"/>
                <w:szCs w:val="9"/>
                <w:b w:val="1"/>
                <w:bCs w:val="1"/>
                <w:color w:val="auto"/>
              </w:rPr>
              <w:t>S/.</w:t>
            </w:r>
          </w:p>
        </w:tc>
        <w:tc>
          <w:tcPr>
            <w:tcW w:w="3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rPr>
              <w:t>US$</w:t>
            </w: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88"/>
              </w:rPr>
              <w:t>Other currencies</w:t>
            </w:r>
          </w:p>
        </w:tc>
        <w:tc>
          <w:tcPr>
            <w:tcW w:w="20" w:type="dxa"/>
            <w:vAlign w:val="bottom"/>
          </w:tcPr>
          <w:p>
            <w:pPr>
              <w:spacing w:after="0"/>
              <w:rPr>
                <w:sz w:val="7"/>
                <w:szCs w:val="7"/>
                <w:color w:val="auto"/>
              </w:rPr>
            </w:pPr>
          </w:p>
        </w:tc>
      </w:tr>
      <w:tr>
        <w:trPr>
          <w:trHeight w:val="81"/>
        </w:trPr>
        <w:tc>
          <w:tcPr>
            <w:tcW w:w="2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jc w:val="right"/>
              <w:ind w:right="115"/>
              <w:spacing w:after="0" w:line="81" w:lineRule="exact"/>
              <w:rPr>
                <w:sz w:val="20"/>
                <w:szCs w:val="20"/>
                <w:color w:val="auto"/>
              </w:rPr>
            </w:pPr>
            <w:r>
              <w:rPr>
                <w:rFonts w:ascii="Arial" w:cs="Arial" w:eastAsia="Arial" w:hAnsi="Arial"/>
                <w:sz w:val="9"/>
                <w:szCs w:val="9"/>
                <w:color w:val="auto"/>
              </w:rPr>
              <w:t>Min</w:t>
            </w:r>
          </w:p>
        </w:tc>
        <w:tc>
          <w:tcPr>
            <w:tcW w:w="580" w:type="dxa"/>
            <w:vAlign w:val="bottom"/>
            <w:tcBorders>
              <w:top w:val="single" w:sz="8" w:color="auto"/>
            </w:tcBorders>
          </w:tcPr>
          <w:p>
            <w:pPr>
              <w:jc w:val="right"/>
              <w:ind w:right="75"/>
              <w:spacing w:after="0" w:line="81" w:lineRule="exact"/>
              <w:rPr>
                <w:sz w:val="20"/>
                <w:szCs w:val="20"/>
                <w:color w:val="auto"/>
              </w:rPr>
            </w:pPr>
            <w:r>
              <w:rPr>
                <w:rFonts w:ascii="Arial" w:cs="Arial" w:eastAsia="Arial" w:hAnsi="Arial"/>
                <w:sz w:val="9"/>
                <w:szCs w:val="9"/>
                <w:color w:val="auto"/>
              </w:rPr>
              <w:t>Max</w:t>
            </w:r>
          </w:p>
        </w:tc>
        <w:tc>
          <w:tcPr>
            <w:tcW w:w="220" w:type="dxa"/>
            <w:vAlign w:val="bottom"/>
          </w:tcPr>
          <w:p>
            <w:pPr>
              <w:spacing w:after="0"/>
              <w:rPr>
                <w:sz w:val="7"/>
                <w:szCs w:val="7"/>
                <w:color w:val="auto"/>
              </w:rPr>
            </w:pPr>
          </w:p>
        </w:tc>
        <w:tc>
          <w:tcPr>
            <w:tcW w:w="620" w:type="dxa"/>
            <w:vAlign w:val="bottom"/>
            <w:tcBorders>
              <w:top w:val="single" w:sz="8" w:color="auto"/>
            </w:tcBorders>
          </w:tcPr>
          <w:p>
            <w:pPr>
              <w:jc w:val="right"/>
              <w:ind w:right="295"/>
              <w:spacing w:after="0" w:line="81" w:lineRule="exact"/>
              <w:rPr>
                <w:sz w:val="20"/>
                <w:szCs w:val="20"/>
                <w:color w:val="auto"/>
              </w:rPr>
            </w:pPr>
            <w:r>
              <w:rPr>
                <w:rFonts w:ascii="Arial" w:cs="Arial" w:eastAsia="Arial" w:hAnsi="Arial"/>
                <w:sz w:val="9"/>
                <w:szCs w:val="9"/>
                <w:color w:val="auto"/>
              </w:rPr>
              <w:t>Min</w:t>
            </w:r>
          </w:p>
        </w:tc>
        <w:tc>
          <w:tcPr>
            <w:tcW w:w="3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color w:val="auto"/>
                <w:w w:val="93"/>
              </w:rPr>
              <w:t>Max</w:t>
            </w:r>
          </w:p>
        </w:tc>
        <w:tc>
          <w:tcPr>
            <w:tcW w:w="200" w:type="dxa"/>
            <w:vAlign w:val="bottom"/>
          </w:tcPr>
          <w:p>
            <w:pPr>
              <w:spacing w:after="0"/>
              <w:rPr>
                <w:sz w:val="7"/>
                <w:szCs w:val="7"/>
                <w:color w:val="auto"/>
              </w:rPr>
            </w:pPr>
          </w:p>
        </w:tc>
        <w:tc>
          <w:tcPr>
            <w:tcW w:w="520" w:type="dxa"/>
            <w:vAlign w:val="bottom"/>
            <w:tcBorders>
              <w:top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Min</w:t>
            </w:r>
          </w:p>
        </w:tc>
        <w:tc>
          <w:tcPr>
            <w:tcW w:w="420" w:type="dxa"/>
            <w:vAlign w:val="bottom"/>
            <w:tcBorders>
              <w:top w:val="single" w:sz="8" w:color="auto"/>
            </w:tcBorders>
          </w:tcPr>
          <w:p>
            <w:pPr>
              <w:jc w:val="right"/>
              <w:ind w:right="55"/>
              <w:spacing w:after="0" w:line="81" w:lineRule="exact"/>
              <w:rPr>
                <w:sz w:val="20"/>
                <w:szCs w:val="20"/>
                <w:color w:val="auto"/>
              </w:rPr>
            </w:pPr>
            <w:r>
              <w:rPr>
                <w:rFonts w:ascii="Arial" w:cs="Arial" w:eastAsia="Arial" w:hAnsi="Arial"/>
                <w:sz w:val="9"/>
                <w:szCs w:val="9"/>
                <w:color w:val="auto"/>
              </w:rPr>
              <w:t>Max</w:t>
            </w:r>
          </w:p>
        </w:tc>
        <w:tc>
          <w:tcPr>
            <w:tcW w:w="180" w:type="dxa"/>
            <w:vAlign w:val="bottom"/>
          </w:tcPr>
          <w:p>
            <w:pPr>
              <w:spacing w:after="0"/>
              <w:rPr>
                <w:sz w:val="7"/>
                <w:szCs w:val="7"/>
                <w:color w:val="auto"/>
              </w:rPr>
            </w:pPr>
          </w:p>
        </w:tc>
        <w:tc>
          <w:tcPr>
            <w:tcW w:w="600" w:type="dxa"/>
            <w:vAlign w:val="bottom"/>
            <w:tcBorders>
              <w:top w:val="single" w:sz="8" w:color="auto"/>
            </w:tcBorders>
          </w:tcPr>
          <w:p>
            <w:pPr>
              <w:jc w:val="right"/>
              <w:ind w:right="275"/>
              <w:spacing w:after="0" w:line="81" w:lineRule="exact"/>
              <w:rPr>
                <w:sz w:val="20"/>
                <w:szCs w:val="20"/>
                <w:color w:val="auto"/>
              </w:rPr>
            </w:pPr>
            <w:r>
              <w:rPr>
                <w:rFonts w:ascii="Arial" w:cs="Arial" w:eastAsia="Arial" w:hAnsi="Arial"/>
                <w:sz w:val="9"/>
                <w:szCs w:val="9"/>
                <w:color w:val="auto"/>
              </w:rPr>
              <w:t>Min</w:t>
            </w:r>
          </w:p>
        </w:tc>
        <w:tc>
          <w:tcPr>
            <w:tcW w:w="360" w:type="dxa"/>
            <w:vAlign w:val="bottom"/>
            <w:tcBorders>
              <w:top w:val="single" w:sz="8" w:color="auto"/>
            </w:tcBorders>
          </w:tcPr>
          <w:p>
            <w:pPr>
              <w:jc w:val="right"/>
              <w:ind w:right="75"/>
              <w:spacing w:after="0" w:line="81" w:lineRule="exact"/>
              <w:rPr>
                <w:sz w:val="20"/>
                <w:szCs w:val="20"/>
                <w:color w:val="auto"/>
              </w:rPr>
            </w:pPr>
            <w:r>
              <w:rPr>
                <w:rFonts w:ascii="Arial" w:cs="Arial" w:eastAsia="Arial" w:hAnsi="Arial"/>
                <w:sz w:val="9"/>
                <w:szCs w:val="9"/>
                <w:color w:val="auto"/>
              </w:rPr>
              <w:t>Max</w:t>
            </w:r>
          </w:p>
        </w:tc>
        <w:tc>
          <w:tcPr>
            <w:tcW w:w="180" w:type="dxa"/>
            <w:vAlign w:val="bottom"/>
          </w:tcPr>
          <w:p>
            <w:pPr>
              <w:spacing w:after="0"/>
              <w:rPr>
                <w:sz w:val="7"/>
                <w:szCs w:val="7"/>
                <w:color w:val="auto"/>
              </w:rPr>
            </w:pPr>
          </w:p>
        </w:tc>
        <w:tc>
          <w:tcPr>
            <w:tcW w:w="620" w:type="dxa"/>
            <w:vAlign w:val="bottom"/>
            <w:tcBorders>
              <w:top w:val="single" w:sz="8" w:color="auto"/>
            </w:tcBorders>
          </w:tcPr>
          <w:p>
            <w:pPr>
              <w:jc w:val="right"/>
              <w:ind w:right="315"/>
              <w:spacing w:after="0" w:line="81" w:lineRule="exact"/>
              <w:rPr>
                <w:sz w:val="20"/>
                <w:szCs w:val="20"/>
                <w:color w:val="auto"/>
              </w:rPr>
            </w:pPr>
            <w:r>
              <w:rPr>
                <w:rFonts w:ascii="Arial" w:cs="Arial" w:eastAsia="Arial" w:hAnsi="Arial"/>
                <w:sz w:val="9"/>
                <w:szCs w:val="9"/>
                <w:color w:val="auto"/>
              </w:rPr>
              <w:t>Min</w:t>
            </w:r>
          </w:p>
        </w:tc>
        <w:tc>
          <w:tcPr>
            <w:tcW w:w="3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color w:val="auto"/>
                <w:w w:val="93"/>
              </w:rPr>
              <w:t>Max</w:t>
            </w:r>
          </w:p>
        </w:tc>
        <w:tc>
          <w:tcPr>
            <w:tcW w:w="200" w:type="dxa"/>
            <w:vAlign w:val="bottom"/>
          </w:tcPr>
          <w:p>
            <w:pPr>
              <w:spacing w:after="0"/>
              <w:rPr>
                <w:sz w:val="7"/>
                <w:szCs w:val="7"/>
                <w:color w:val="auto"/>
              </w:rPr>
            </w:pPr>
          </w:p>
        </w:tc>
        <w:tc>
          <w:tcPr>
            <w:tcW w:w="360" w:type="dxa"/>
            <w:vAlign w:val="bottom"/>
            <w:tcBorders>
              <w:top w:val="single" w:sz="8" w:color="auto"/>
            </w:tcBorders>
          </w:tcPr>
          <w:p>
            <w:pPr>
              <w:jc w:val="right"/>
              <w:ind w:right="95"/>
              <w:spacing w:after="0" w:line="81" w:lineRule="exact"/>
              <w:rPr>
                <w:sz w:val="20"/>
                <w:szCs w:val="20"/>
                <w:color w:val="auto"/>
              </w:rPr>
            </w:pPr>
            <w:r>
              <w:rPr>
                <w:rFonts w:ascii="Arial" w:cs="Arial" w:eastAsia="Arial" w:hAnsi="Arial"/>
                <w:sz w:val="9"/>
                <w:szCs w:val="9"/>
                <w:color w:val="auto"/>
              </w:rPr>
              <w:t>Min</w:t>
            </w:r>
          </w:p>
        </w:tc>
        <w:tc>
          <w:tcPr>
            <w:tcW w:w="300" w:type="dxa"/>
            <w:vAlign w:val="bottom"/>
            <w:tcBorders>
              <w:top w:val="single" w:sz="8" w:color="auto"/>
            </w:tcBorders>
          </w:tcPr>
          <w:p>
            <w:pPr>
              <w:jc w:val="right"/>
              <w:ind w:right="15"/>
              <w:spacing w:after="0" w:line="81" w:lineRule="exact"/>
              <w:rPr>
                <w:sz w:val="20"/>
                <w:szCs w:val="20"/>
                <w:color w:val="auto"/>
              </w:rPr>
            </w:pPr>
            <w:r>
              <w:rPr>
                <w:rFonts w:ascii="Arial" w:cs="Arial" w:eastAsia="Arial" w:hAnsi="Arial"/>
                <w:sz w:val="9"/>
                <w:szCs w:val="9"/>
                <w:color w:val="auto"/>
              </w:rPr>
              <w:t>Max</w:t>
            </w:r>
          </w:p>
        </w:tc>
        <w:tc>
          <w:tcPr>
            <w:tcW w:w="20" w:type="dxa"/>
            <w:vAlign w:val="bottom"/>
          </w:tcPr>
          <w:p>
            <w:pPr>
              <w:spacing w:after="0"/>
              <w:rPr>
                <w:sz w:val="7"/>
                <w:szCs w:val="7"/>
                <w:color w:val="auto"/>
              </w:rPr>
            </w:pPr>
          </w:p>
        </w:tc>
      </w:tr>
      <w:tr>
        <w:trPr>
          <w:trHeight w:val="114"/>
        </w:trPr>
        <w:tc>
          <w:tcPr>
            <w:tcW w:w="2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gridSpan w:val="2"/>
          </w:tcPr>
          <w:p>
            <w:pPr>
              <w:jc w:val="right"/>
              <w:ind w:right="155"/>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20" w:type="dxa"/>
            <w:vAlign w:val="bottom"/>
          </w:tcPr>
          <w:p>
            <w:pPr>
              <w:jc w:val="right"/>
              <w:ind w:right="335"/>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52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42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00" w:type="dxa"/>
            <w:vAlign w:val="bottom"/>
          </w:tcPr>
          <w:p>
            <w:pPr>
              <w:jc w:val="right"/>
              <w:ind w:right="315"/>
              <w:spacing w:after="0"/>
              <w:rPr>
                <w:sz w:val="20"/>
                <w:szCs w:val="20"/>
                <w:color w:val="auto"/>
              </w:rPr>
            </w:pPr>
            <w:r>
              <w:rPr>
                <w:rFonts w:ascii="Arial" w:cs="Arial" w:eastAsia="Arial" w:hAnsi="Arial"/>
                <w:sz w:val="9"/>
                <w:szCs w:val="9"/>
                <w:color w:val="auto"/>
              </w:rPr>
              <w:t>%</w:t>
            </w:r>
          </w:p>
        </w:tc>
        <w:tc>
          <w:tcPr>
            <w:tcW w:w="36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20" w:type="dxa"/>
            <w:vAlign w:val="bottom"/>
          </w:tcPr>
          <w:p>
            <w:pPr>
              <w:jc w:val="right"/>
              <w:ind w:right="35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r>
      <w:tr>
        <w:trPr>
          <w:trHeight w:val="82"/>
        </w:trPr>
        <w:tc>
          <w:tcPr>
            <w:tcW w:w="2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BCRP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Dec-2012</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0"/>
              </w:rPr>
              <w:t>Jun-2011</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4.10</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4.26</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3.01</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3.45</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3.03</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3.09</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Government’s treasury bonds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2"/>
              </w:rPr>
              <w:t>Nov-2050</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7"/>
              </w:rPr>
              <w:t>Nov-2050</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1.34</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7.42</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0.02</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9.95</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2.19</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6.81</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0.38</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9.54</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Corporate, leasing and subordinated bonds</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Nov-2067</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Nov-2067</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2.19</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9.48</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0.20</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47.10</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3.29</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8.80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1.56</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9.48</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0.13</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17.35</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2.40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4.60</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7"/>
              </w:rPr>
              <w:t>Feb-2011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Assets back securities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4"/>
              </w:rPr>
              <w:t>May-2033</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1"/>
              </w:rPr>
              <w:t>Apr-2028</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4.25</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6.97</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2.56</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9.34</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6.94</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8.44</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4.25</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5.20</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2.77</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10.38</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6.94</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8.44</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Central Bank of Bolivia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Nov-2013</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87"/>
              </w:rPr>
              <w:t>Dec-2011</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0.00</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2.80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0.00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0.81</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91"/>
              </w:rPr>
              <w:t>Feb-2012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Bonds of international financial entities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2"/>
              </w:rPr>
              <w:t>Aug-2018</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7"/>
              </w:rPr>
              <w:t>Aug-2018</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5.66</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6.74</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0.65</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7.77</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5.91</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6.50</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0.55</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8.33</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Negotiable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3"/>
              </w:rPr>
              <w:t>Mar-2029</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88"/>
              </w:rPr>
              <w:t>Mar-2029</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4.40</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5.13</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0.97</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3.00</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1.50</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1.50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3.14</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8.28</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0.40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1.00</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90"/>
              </w:rPr>
              <w:t>Nov-2016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Collateralized mortgage obligations (CMO)</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3"/>
              </w:rPr>
              <w:t>Mar-2067</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0"/>
              </w:rPr>
              <w:t>Jan-2047</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4.71</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11.19</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2.76</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11.85</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line="88" w:lineRule="exact"/>
              <w:rPr>
                <w:sz w:val="20"/>
                <w:szCs w:val="20"/>
                <w:color w:val="auto"/>
              </w:rPr>
            </w:pPr>
            <w:r>
              <w:rPr>
                <w:rFonts w:ascii="Arial" w:cs="Arial" w:eastAsia="Arial" w:hAnsi="Arial"/>
                <w:sz w:val="9"/>
                <w:szCs w:val="9"/>
                <w:color w:val="auto"/>
              </w:rPr>
              <w:t>US Government – Agencies and sponsored</w:t>
            </w: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90"/>
              </w:rPr>
              <w:t>Jul-2012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90"/>
              </w:rPr>
              <w:t>Jul-2011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ind w:left="120"/>
              <w:spacing w:after="0" w:line="102" w:lineRule="exact"/>
              <w:rPr>
                <w:sz w:val="20"/>
                <w:szCs w:val="20"/>
                <w:color w:val="auto"/>
              </w:rPr>
            </w:pPr>
            <w:r>
              <w:rPr>
                <w:rFonts w:ascii="Arial" w:cs="Arial" w:eastAsia="Arial" w:hAnsi="Arial"/>
                <w:sz w:val="9"/>
                <w:szCs w:val="9"/>
                <w:color w:val="auto"/>
              </w:rPr>
              <w:t>enterprises</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Apr-2057</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Aug-2038</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0.61</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5.93</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1.61</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5.86</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bl>
    <w:p>
      <w:pPr>
        <w:spacing w:after="0" w:line="202" w:lineRule="exact"/>
        <w:rPr>
          <w:sz w:val="20"/>
          <w:szCs w:val="20"/>
          <w:color w:val="auto"/>
        </w:rPr>
      </w:pPr>
    </w:p>
    <w:p>
      <w:pPr>
        <w:ind w:left="1000" w:right="20" w:hanging="492"/>
        <w:spacing w:after="0" w:line="286"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BCRP certificates of deposit are issued at discount, acquired in public auctions and negotiated in the Peruvian secondary market. As of December 31, 2011, the balance of BCRP certificates of deposit comprised US$2,059.8 million of certificates settled in Nuevos Soles (US$48.9 million and US$315.0 million of certificates settled in U.S. Dollars and in Nuevos Soles, respectively, as of December 31, 2010).</w:t>
      </w:r>
    </w:p>
    <w:p>
      <w:pPr>
        <w:spacing w:after="0" w:line="165" w:lineRule="exact"/>
        <w:rPr>
          <w:rFonts w:ascii="Arial" w:cs="Arial" w:eastAsia="Arial" w:hAnsi="Arial"/>
          <w:sz w:val="17"/>
          <w:szCs w:val="17"/>
          <w:color w:val="auto"/>
        </w:rPr>
      </w:pPr>
    </w:p>
    <w:p>
      <w:pPr>
        <w:jc w:val="both"/>
        <w:ind w:left="1000" w:right="480" w:hanging="492"/>
        <w:spacing w:after="0" w:line="286"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of December 31, 2011 and 2010, comprise mainly corporate bonds for US$1,688.0 million and US$1,561.8 million, respectively. The unrealized losses on these investments as of December 31, 2011, corresponded to 65 items of which the highest individual unrealized loss amounts to approximately US$ 1.8 million (57 items and US$1.1 million, respectively as of December 31, 2010).</w:t>
      </w:r>
    </w:p>
    <w:p>
      <w:pPr>
        <w:spacing w:after="0" w:line="165" w:lineRule="exact"/>
        <w:rPr>
          <w:rFonts w:ascii="Arial" w:cs="Arial" w:eastAsia="Arial" w:hAnsi="Arial"/>
          <w:sz w:val="17"/>
          <w:szCs w:val="17"/>
          <w:color w:val="auto"/>
        </w:rPr>
      </w:pPr>
    </w:p>
    <w:p>
      <w:pPr>
        <w:ind w:left="1000" w:right="40" w:hanging="492"/>
        <w:spacing w:after="0" w:line="276"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of December 31, 2011, includes mainly debt instruments issued by the Peruvian Government in Nuevos Soles for an amount of US$423.8 million and in U.S. Dollars for an amount of US$210.8 million, the Colombian Government in U.S. Dollars for US$143.9 million, the U.S. Government in U.S Dollars for US$48.7 million, the Chilean Government in U.S. Dollars for US$3.6 million, and the Brazilian Government in U.S. Dollars for US$4.5 million (US$227.0 million and US$252.0 million, US$110.6 million, US$9.3 million and US$3.0 million issued by the Peruvian, Colombian, Chilean and Brazilian Goverments, respectively, as of December 31, 2010).</w:t>
      </w:r>
    </w:p>
    <w:p>
      <w:pPr>
        <w:spacing w:after="0" w:line="17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In April 2010, BCP participated in an exchange program offered by the Peruvian Government by which the Bank exchanged 7.500 percent euro denominated Global Bonds due 2014 for cash and new bonds 8.375 percent US$-Denominated Global Bonds due 2033. BCP received €90.4 million in cash and US$323.1 million in 2033 Bonds. BCP recorded the unrealized gain amounting to US$31.8 million as a realized gain in the caption “Net gain on sale of securities” of the consolidated statement of income.</w:t>
      </w:r>
    </w:p>
    <w:p>
      <w:pPr>
        <w:spacing w:after="0" w:line="187"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Additionally, at the exchange date, BCP terminated the related cross currency swaps (“CCS”) amounting to US$318.3 million that were part of its fair value hedge strategy, generating a loss amounting to approximately US$15.7 million, which is presented in the caption “Loss from hedging derivatives instruments” of the consolidated income statement, see note 20.</w:t>
      </w:r>
    </w:p>
    <w:p>
      <w:pPr>
        <w:spacing w:after="0" w:line="181" w:lineRule="exact"/>
        <w:rPr>
          <w:sz w:val="20"/>
          <w:szCs w:val="20"/>
          <w:color w:val="auto"/>
        </w:rPr>
      </w:pPr>
    </w:p>
    <w:p>
      <w:pPr>
        <w:ind w:left="1000" w:right="40" w:hanging="492"/>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Assets back securities are secured by a specified pool of underlying assets and are mainly traded in the Peruvian over-the-counter market. Pools of underlying assets are made up of receivables with predictable future payments.</w:t>
      </w:r>
    </w:p>
    <w:p>
      <w:pPr>
        <w:spacing w:after="0" w:line="170"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As of December 31, 2011 and 2010, the balance includes US$122.2 million and US$17.8 million, respectively of financial instruments issued by Hunt Oil Company (the originator). The underlying assets are future receivables from the sale of hydrocarbons extracted in Peru. The bonds have semi annual payments up to 2025.</w:t>
      </w:r>
    </w:p>
    <w:p>
      <w:pPr>
        <w:spacing w:after="0" w:line="181" w:lineRule="exact"/>
        <w:rPr>
          <w:sz w:val="20"/>
          <w:szCs w:val="20"/>
          <w:color w:val="auto"/>
        </w:rPr>
      </w:pPr>
    </w:p>
    <w:p>
      <w:pPr>
        <w:ind w:left="1000" w:hanging="492"/>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of December 31, 2011 and 2010, certificates of deposits issued by the Central Bank of Bolivia are mainly denominated in Bolivianos.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100" w:hanging="492"/>
        <w:spacing w:after="0" w:line="308"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Restricted mutual funds comprise participation quotas in the private pension funds managed by the Group as required by Peruvian regulations. They have disposal restrictions and their profitability is the same as the one obtained by the private pension funds managed.</w:t>
      </w:r>
    </w:p>
    <w:p>
      <w:pPr>
        <w:spacing w:after="0" w:line="146" w:lineRule="exact"/>
        <w:rPr>
          <w:rFonts w:ascii="Arial" w:cs="Arial" w:eastAsia="Arial" w:hAnsi="Arial"/>
          <w:sz w:val="17"/>
          <w:szCs w:val="17"/>
          <w:color w:val="auto"/>
        </w:rPr>
      </w:pPr>
    </w:p>
    <w:p>
      <w:pPr>
        <w:ind w:left="1000" w:right="140" w:hanging="492"/>
        <w:spacing w:after="0" w:line="279"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participation quotas in the funds "Requirement of Cash Assets" (RAL for its spanish acronym) are denominated in Bolivianos and U.S. Dollars. These funds amount approximately to US$27.4 million and US$21.8 million, respectively, (US$25.7 million and US$54.5 million, respectively, as of December 31, 2010). RAL’s funds comprise investments made by the Group in the Central Bank of Bolivia as collateral for deposits received from the public. Said fund has restrictions for its use and is required for all banks established in Bolivia.</w:t>
      </w:r>
    </w:p>
    <w:p>
      <w:pPr>
        <w:spacing w:after="0" w:line="171" w:lineRule="exact"/>
        <w:rPr>
          <w:rFonts w:ascii="Arial" w:cs="Arial" w:eastAsia="Arial" w:hAnsi="Arial"/>
          <w:sz w:val="17"/>
          <w:szCs w:val="17"/>
          <w:color w:val="auto"/>
        </w:rPr>
      </w:pPr>
    </w:p>
    <w:p>
      <w:pPr>
        <w:ind w:left="1000" w:hanging="492"/>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Collaterized mortgage obligations correspond to senior tranches.</w:t>
      </w:r>
    </w:p>
    <w:p>
      <w:pPr>
        <w:spacing w:after="0" w:line="225" w:lineRule="exact"/>
        <w:rPr>
          <w:rFonts w:ascii="Arial" w:cs="Arial" w:eastAsia="Arial" w:hAnsi="Arial"/>
          <w:sz w:val="18"/>
          <w:szCs w:val="18"/>
          <w:color w:val="auto"/>
        </w:rPr>
      </w:pPr>
    </w:p>
    <w:p>
      <w:pPr>
        <w:ind w:left="1000" w:right="180" w:hanging="492"/>
        <w:spacing w:after="0" w:line="286"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of December 31, 2011, the unrealized gains on listed securities arises mainly from shares in Banco de Crédito e Inversiones de Chile (BCI Chile), Inversiones Centenario S.A.A., Alicorp S.A.A. and Edelnor S.A.A., which amounted to US$158.3, US$53.3, US$65.9 and US$41.9 million, respectively (US$212.5, US$57.5, US$67.7 and US$39.6 million, respectively, as of December 31, 2010).</w:t>
      </w:r>
    </w:p>
    <w:p>
      <w:pPr>
        <w:spacing w:after="0" w:line="165" w:lineRule="exact"/>
        <w:rPr>
          <w:rFonts w:ascii="Arial" w:cs="Arial" w:eastAsia="Arial" w:hAnsi="Arial"/>
          <w:sz w:val="17"/>
          <w:szCs w:val="17"/>
          <w:color w:val="auto"/>
        </w:rPr>
      </w:pPr>
    </w:p>
    <w:p>
      <w:pPr>
        <w:ind w:left="1000" w:right="320" w:hanging="492"/>
        <w:spacing w:after="0" w:line="259"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December 31, 2011 and 2010, the Group maintains interest rate swaps (IRS), which were designated as fair value hedges of fix bonds denominated in U.S. Dollars issued by the Peruvian Government, corporate and international financial entities, for a notional amount of US$54.0 million (US$54.6 million as of December 31, 2010), see Note 11(b); through the IRS these bonds were economically converted to variable rate.</w:t>
      </w:r>
    </w:p>
    <w:p>
      <w:pPr>
        <w:spacing w:after="0" w:line="186" w:lineRule="exact"/>
        <w:rPr>
          <w:rFonts w:ascii="Arial" w:cs="Arial" w:eastAsia="Arial" w:hAnsi="Arial"/>
          <w:sz w:val="18"/>
          <w:szCs w:val="18"/>
          <w:color w:val="auto"/>
        </w:rPr>
      </w:pPr>
    </w:p>
    <w:p>
      <w:pPr>
        <w:ind w:left="1000" w:hanging="492"/>
        <w:spacing w:after="0" w:line="258"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December 31, 2011, the Group entered into Repo transactions over corporate, international financial entities and government bonds for an estimated fair value of</w:t>
      </w:r>
    </w:p>
    <w:p>
      <w:pPr>
        <w:spacing w:after="0" w:line="1" w:lineRule="exact"/>
        <w:rPr>
          <w:rFonts w:ascii="Arial" w:cs="Arial" w:eastAsia="Arial" w:hAnsi="Arial"/>
          <w:sz w:val="18"/>
          <w:szCs w:val="18"/>
          <w:color w:val="auto"/>
        </w:rPr>
      </w:pPr>
    </w:p>
    <w:p>
      <w:pPr>
        <w:ind w:left="1000" w:right="600"/>
        <w:spacing w:after="0" w:line="250" w:lineRule="auto"/>
        <w:rPr>
          <w:rFonts w:ascii="Arial" w:cs="Arial" w:eastAsia="Arial" w:hAnsi="Arial"/>
          <w:sz w:val="18"/>
          <w:szCs w:val="18"/>
          <w:color w:val="auto"/>
        </w:rPr>
      </w:pPr>
      <w:r>
        <w:rPr>
          <w:rFonts w:ascii="Arial" w:cs="Arial" w:eastAsia="Arial" w:hAnsi="Arial"/>
          <w:sz w:val="18"/>
          <w:szCs w:val="18"/>
          <w:color w:val="auto"/>
        </w:rPr>
        <w:t>US$223.2 million (US$279.0 million as of December 31, 2010); the related liability is presented in the caption “Other liabilities” of the consolidated statements of financial position,</w:t>
      </w:r>
    </w:p>
    <w:p>
      <w:pPr>
        <w:ind w:left="1000"/>
        <w:spacing w:after="0"/>
        <w:rPr>
          <w:rFonts w:ascii="Arial" w:cs="Arial" w:eastAsia="Arial" w:hAnsi="Arial"/>
          <w:sz w:val="18"/>
          <w:szCs w:val="18"/>
          <w:color w:val="auto"/>
        </w:rPr>
      </w:pPr>
      <w:r>
        <w:rPr>
          <w:rFonts w:ascii="Arial" w:cs="Arial" w:eastAsia="Arial" w:hAnsi="Arial"/>
          <w:sz w:val="18"/>
          <w:szCs w:val="18"/>
          <w:color w:val="auto"/>
        </w:rPr>
        <w:t>see Note 11(a) and (e).</w:t>
      </w:r>
    </w:p>
    <w:p>
      <w:pPr>
        <w:spacing w:after="0" w:line="210" w:lineRule="exact"/>
        <w:rPr>
          <w:rFonts w:ascii="Arial" w:cs="Arial" w:eastAsia="Arial" w:hAnsi="Arial"/>
          <w:sz w:val="18"/>
          <w:szCs w:val="18"/>
          <w:color w:val="auto"/>
        </w:rPr>
      </w:pPr>
    </w:p>
    <w:p>
      <w:pPr>
        <w:ind w:left="1000" w:hanging="492"/>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contractual maturity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spacing w:after="0"/>
              <w:rPr>
                <w:sz w:val="20"/>
                <w:szCs w:val="20"/>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620" w:type="dxa"/>
            <w:vAlign w:val="bottom"/>
            <w:tcBorders>
              <w:top w:val="single" w:sz="8" w:color="auto"/>
            </w:tcBorders>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30"/>
        </w:trPr>
        <w:tc>
          <w:tcPr>
            <w:tcW w:w="4000" w:type="dxa"/>
            <w:vAlign w:val="bottom"/>
          </w:tcPr>
          <w:p>
            <w:pPr>
              <w:spacing w:after="0"/>
              <w:rPr>
                <w:sz w:val="20"/>
                <w:szCs w:val="20"/>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US$(000)</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20"/>
                <w:szCs w:val="20"/>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US$(000)</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964,274</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964,035</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290,788</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293,489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60" w:type="dxa"/>
            <w:vAlign w:val="bottom"/>
          </w:tcPr>
          <w:p>
            <w:pPr>
              <w:jc w:val="right"/>
              <w:spacing w:after="0"/>
              <w:rPr>
                <w:sz w:val="20"/>
                <w:szCs w:val="20"/>
                <w:color w:val="auto"/>
              </w:rPr>
            </w:pPr>
            <w:r>
              <w:rPr>
                <w:rFonts w:ascii="Arial" w:cs="Arial" w:eastAsia="Arial" w:hAnsi="Arial"/>
                <w:sz w:val="18"/>
                <w:szCs w:val="18"/>
                <w:color w:val="auto"/>
              </w:rPr>
              <w:t>1,485,774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1,486,204</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358,852</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360,235</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551,145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556,542</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458,901</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470,775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From 3 to 5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427,541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436,876</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423,471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437,843</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1,577,993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1,718,712</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1,269,341</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1,363,901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Without maturity</w:t>
            </w:r>
          </w:p>
        </w:tc>
        <w:tc>
          <w:tcPr>
            <w:tcW w:w="1260" w:type="dxa"/>
            <w:vAlign w:val="bottom"/>
          </w:tcPr>
          <w:p>
            <w:pPr>
              <w:jc w:val="right"/>
              <w:spacing w:after="0"/>
              <w:rPr>
                <w:sz w:val="20"/>
                <w:szCs w:val="20"/>
                <w:color w:val="auto"/>
              </w:rPr>
            </w:pPr>
            <w:r>
              <w:rPr>
                <w:rFonts w:ascii="Arial" w:cs="Arial" w:eastAsia="Arial" w:hAnsi="Arial"/>
                <w:sz w:val="18"/>
                <w:szCs w:val="18"/>
                <w:color w:val="auto"/>
              </w:rPr>
              <w:t>320,629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713,563</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331,791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803,706</w:t>
            </w:r>
          </w:p>
        </w:tc>
      </w:tr>
      <w:tr>
        <w:trPr>
          <w:trHeight w:val="210"/>
        </w:trPr>
        <w:tc>
          <w:tcPr>
            <w:tcW w:w="40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5,327,356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5,875,932</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3,133,144</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3,729,949</w:t>
            </w:r>
          </w:p>
        </w:tc>
      </w:tr>
      <w:tr>
        <w:trPr>
          <w:trHeight w:val="20"/>
        </w:trPr>
        <w:tc>
          <w:tcPr>
            <w:tcW w:w="4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Loans</w:t>
            </w:r>
          </w:p>
        </w:tc>
        <w:tc>
          <w:tcPr>
            <w:tcW w:w="1060" w:type="dxa"/>
            <w:vAlign w:val="bottom"/>
          </w:tcPr>
          <w:p>
            <w:pPr>
              <w:jc w:val="right"/>
              <w:spacing w:after="0"/>
              <w:rPr>
                <w:sz w:val="20"/>
                <w:szCs w:val="20"/>
                <w:color w:val="auto"/>
              </w:rPr>
            </w:pPr>
            <w:r>
              <w:rPr>
                <w:rFonts w:ascii="Arial" w:cs="Arial" w:eastAsia="Arial" w:hAnsi="Arial"/>
                <w:sz w:val="18"/>
                <w:szCs w:val="18"/>
                <w:color w:val="auto"/>
              </w:rPr>
              <w:t>11,986,080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9,836,155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2,786,129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2,359,236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060" w:type="dxa"/>
            <w:vAlign w:val="bottom"/>
          </w:tcPr>
          <w:p>
            <w:pPr>
              <w:jc w:val="right"/>
              <w:spacing w:after="0"/>
              <w:rPr>
                <w:sz w:val="20"/>
                <w:szCs w:val="20"/>
                <w:color w:val="auto"/>
              </w:rPr>
            </w:pPr>
            <w:r>
              <w:rPr>
                <w:rFonts w:ascii="Arial" w:cs="Arial" w:eastAsia="Arial" w:hAnsi="Arial"/>
                <w:sz w:val="18"/>
                <w:szCs w:val="18"/>
                <w:color w:val="auto"/>
              </w:rPr>
              <w:t>1,807,717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1,305,883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552,233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477,709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Factoring receivables</w:t>
            </w:r>
          </w:p>
        </w:tc>
        <w:tc>
          <w:tcPr>
            <w:tcW w:w="1060" w:type="dxa"/>
            <w:vAlign w:val="bottom"/>
          </w:tcPr>
          <w:p>
            <w:pPr>
              <w:jc w:val="right"/>
              <w:spacing w:after="0"/>
              <w:rPr>
                <w:sz w:val="20"/>
                <w:szCs w:val="20"/>
                <w:color w:val="auto"/>
              </w:rPr>
            </w:pPr>
            <w:r>
              <w:rPr>
                <w:rFonts w:ascii="Arial" w:cs="Arial" w:eastAsia="Arial" w:hAnsi="Arial"/>
                <w:sz w:val="18"/>
                <w:szCs w:val="18"/>
                <w:color w:val="auto"/>
              </w:rPr>
              <w:t>254,516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250,974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25,130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104,495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96,031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76,707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259,050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209,908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121,563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(446,508)</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(343,003)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(519,708)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(415,703)</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060" w:type="dxa"/>
            <w:vAlign w:val="bottom"/>
          </w:tcPr>
          <w:p>
            <w:pPr>
              <w:jc w:val="right"/>
              <w:spacing w:after="0"/>
              <w:rPr>
                <w:sz w:val="20"/>
                <w:szCs w:val="20"/>
                <w:color w:val="auto"/>
              </w:rPr>
            </w:pPr>
            <w:r>
              <w:rPr>
                <w:rFonts w:ascii="Arial" w:cs="Arial" w:eastAsia="Arial" w:hAnsi="Arial"/>
                <w:sz w:val="18"/>
                <w:szCs w:val="18"/>
                <w:color w:val="auto"/>
              </w:rPr>
              <w:t>16,922,233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13,959,655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060" w:type="dxa"/>
            <w:vAlign w:val="bottom"/>
          </w:tcPr>
          <w:p>
            <w:pPr>
              <w:jc w:val="right"/>
              <w:spacing w:after="0"/>
              <w:rPr>
                <w:sz w:val="20"/>
                <w:szCs w:val="20"/>
                <w:color w:val="auto"/>
              </w:rPr>
            </w:pPr>
            <w:r>
              <w:rPr>
                <w:rFonts w:ascii="Arial" w:cs="Arial" w:eastAsia="Arial" w:hAnsi="Arial"/>
                <w:sz w:val="18"/>
                <w:szCs w:val="18"/>
                <w:color w:val="auto"/>
              </w:rPr>
              <w:t>3,728,000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3,135,211</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(b)</w:t>
            </w:r>
          </w:p>
        </w:tc>
        <w:tc>
          <w:tcPr>
            <w:tcW w:w="7460" w:type="dxa"/>
            <w:vAlign w:val="bottom"/>
            <w:gridSpan w:val="2"/>
            <w:vMerge w:val="restart"/>
          </w:tcPr>
          <w:p>
            <w:pPr>
              <w:ind w:left="140"/>
              <w:spacing w:after="0"/>
              <w:rPr>
                <w:sz w:val="20"/>
                <w:szCs w:val="20"/>
                <w:color w:val="auto"/>
              </w:rPr>
            </w:pPr>
            <w:r>
              <w:rPr>
                <w:rFonts w:ascii="Arial" w:cs="Arial" w:eastAsia="Arial" w:hAnsi="Arial"/>
                <w:sz w:val="18"/>
                <w:szCs w:val="18"/>
                <w:color w:val="auto"/>
              </w:rPr>
              <w:t>Loans by class are as follows: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74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Commercial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12,806,870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10,760,767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2,725,145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2,145,093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Consumer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2,234,871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1,715,207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Commercial</w:t>
            </w: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Consumer</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38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mortgage loans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3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216"/>
        </w:trPr>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289,564</w:t>
            </w: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52,324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106,709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w:t>
            </w:r>
          </w:p>
        </w:tc>
        <w:tc>
          <w:tcPr>
            <w:tcW w:w="1280" w:type="dxa"/>
            <w:vAlign w:val="bottom"/>
          </w:tcPr>
          <w:p>
            <w:pPr>
              <w:jc w:val="right"/>
              <w:spacing w:after="0"/>
              <w:rPr>
                <w:sz w:val="20"/>
                <w:szCs w:val="20"/>
                <w:color w:val="auto"/>
              </w:rPr>
            </w:pPr>
            <w:r>
              <w:rPr>
                <w:rFonts w:ascii="Arial" w:cs="Arial" w:eastAsia="Arial" w:hAnsi="Arial"/>
                <w:sz w:val="18"/>
                <w:szCs w:val="18"/>
                <w:color w:val="auto"/>
              </w:rPr>
              <w:t>105,544</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10,626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98,728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214,898</w:t>
            </w: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23,329</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2,794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15,319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41,442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(64,905)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(89,239)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(155,409)</w:t>
            </w: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3,818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8,658</w:t>
            </w:r>
          </w:p>
        </w:tc>
      </w:tr>
      <w:tr>
        <w:trPr>
          <w:trHeight w:val="210"/>
        </w:trPr>
        <w:tc>
          <w:tcPr>
            <w:tcW w:w="438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357,422</w:t>
            </w:r>
          </w:p>
        </w:tc>
        <w:tc>
          <w:tcPr>
            <w:tcW w:w="20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65,429</w:t>
            </w: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135,335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558,186</w:t>
            </w: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5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Commercial</w:t>
            </w:r>
          </w:p>
        </w:tc>
        <w:tc>
          <w:tcPr>
            <w:tcW w:w="15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Consumer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414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mortgage loans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r>
      <w:tr>
        <w:trPr>
          <w:trHeight w:val="216"/>
        </w:trPr>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243,796</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41,471</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90,782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376,049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Provision</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87,125</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8,398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79,159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174,682</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19,867</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2,517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34,605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(63,128)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(78,755)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(142,736)</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1,904</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791</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5,997</w:t>
            </w:r>
          </w:p>
        </w:tc>
      </w:tr>
      <w:tr>
        <w:trPr>
          <w:trHeight w:val="210"/>
        </w:trPr>
        <w:tc>
          <w:tcPr>
            <w:tcW w:w="414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r>
      <w:tr>
        <w:trPr>
          <w:trHeight w:val="23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289,564</w:t>
            </w:r>
          </w:p>
        </w:tc>
        <w:tc>
          <w:tcPr>
            <w:tcW w:w="180" w:type="dxa"/>
            <w:vAlign w:val="bottom"/>
            <w:shd w:val="clear" w:color="auto" w:fill="CCFFCC"/>
          </w:tcPr>
          <w:p>
            <w:pPr>
              <w:spacing w:after="0"/>
              <w:rPr>
                <w:sz w:val="20"/>
                <w:szCs w:val="20"/>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52,324</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106,709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448,597</w:t>
            </w:r>
          </w:p>
        </w:tc>
      </w:tr>
      <w:tr>
        <w:trPr>
          <w:trHeight w:val="20"/>
        </w:trPr>
        <w:tc>
          <w:tcPr>
            <w:tcW w:w="4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5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Commercial</w:t>
            </w:r>
          </w:p>
        </w:tc>
        <w:tc>
          <w:tcPr>
            <w:tcW w:w="15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Consumer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414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mortgage loans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r>
      <w:tr>
        <w:trPr>
          <w:trHeight w:val="216"/>
        </w:trPr>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1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30,832</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56,061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248,063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Provision</w:t>
            </w:r>
          </w:p>
        </w:tc>
        <w:tc>
          <w:tcPr>
            <w:tcW w:w="1320" w:type="dxa"/>
            <w:vAlign w:val="bottom"/>
          </w:tcPr>
          <w:p>
            <w:pPr>
              <w:jc w:val="right"/>
              <w:spacing w:after="0"/>
              <w:rPr>
                <w:sz w:val="20"/>
                <w:szCs w:val="20"/>
                <w:color w:val="auto"/>
              </w:rPr>
            </w:pPr>
            <w:r>
              <w:rPr>
                <w:rFonts w:ascii="Arial" w:cs="Arial" w:eastAsia="Arial" w:hAnsi="Arial"/>
                <w:sz w:val="18"/>
                <w:szCs w:val="18"/>
                <w:color w:val="auto"/>
              </w:rPr>
              <w:t>79,551</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9,781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74,060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163,392</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12,984</w:t>
            </w:r>
          </w:p>
        </w:tc>
        <w:tc>
          <w:tcPr>
            <w:tcW w:w="1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23,928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Acquisition of Edyficar, Note 2</w:t>
            </w:r>
          </w:p>
        </w:tc>
        <w:tc>
          <w:tcPr>
            <w:tcW w:w="1320" w:type="dxa"/>
            <w:vAlign w:val="bottom"/>
          </w:tcPr>
          <w:p>
            <w:pPr>
              <w:jc w:val="right"/>
              <w:spacing w:after="0"/>
              <w:rPr>
                <w:sz w:val="20"/>
                <w:szCs w:val="20"/>
                <w:color w:val="auto"/>
              </w:rPr>
            </w:pPr>
            <w:r>
              <w:rPr>
                <w:rFonts w:ascii="Arial" w:cs="Arial" w:eastAsia="Arial" w:hAnsi="Arial"/>
                <w:sz w:val="18"/>
                <w:szCs w:val="18"/>
                <w:color w:val="auto"/>
              </w:rPr>
              <w:t>19,443</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20,905</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(32,364)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(54,605)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(87,927)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Translation result</w:t>
            </w:r>
          </w:p>
        </w:tc>
        <w:tc>
          <w:tcPr>
            <w:tcW w:w="1320" w:type="dxa"/>
            <w:vAlign w:val="bottom"/>
          </w:tcPr>
          <w:p>
            <w:pPr>
              <w:jc w:val="right"/>
              <w:spacing w:after="0"/>
              <w:rPr>
                <w:sz w:val="20"/>
                <w:szCs w:val="20"/>
                <w:color w:val="auto"/>
              </w:rPr>
            </w:pPr>
            <w:r>
              <w:rPr>
                <w:rFonts w:ascii="Arial" w:cs="Arial" w:eastAsia="Arial" w:hAnsi="Arial"/>
                <w:sz w:val="18"/>
                <w:szCs w:val="18"/>
                <w:color w:val="auto"/>
              </w:rPr>
              <w:t>3,012</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3,905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7,688</w:t>
            </w:r>
          </w:p>
        </w:tc>
      </w:tr>
      <w:tr>
        <w:trPr>
          <w:trHeight w:val="210"/>
        </w:trPr>
        <w:tc>
          <w:tcPr>
            <w:tcW w:w="414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Ending balances (*)</w:t>
            </w:r>
          </w:p>
        </w:tc>
        <w:tc>
          <w:tcPr>
            <w:tcW w:w="1320" w:type="dxa"/>
            <w:vAlign w:val="bottom"/>
          </w:tcPr>
          <w:p>
            <w:pPr>
              <w:jc w:val="right"/>
              <w:spacing w:after="0"/>
              <w:rPr>
                <w:sz w:val="20"/>
                <w:szCs w:val="20"/>
                <w:color w:val="auto"/>
              </w:rPr>
            </w:pPr>
            <w:r>
              <w:rPr>
                <w:rFonts w:ascii="Arial" w:cs="Arial" w:eastAsia="Arial" w:hAnsi="Arial"/>
                <w:sz w:val="18"/>
                <w:szCs w:val="18"/>
                <w:color w:val="auto"/>
              </w:rPr>
              <w:t>243,796</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41,471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90,782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376,049</w:t>
            </w:r>
          </w:p>
        </w:tc>
      </w:tr>
      <w:tr>
        <w:trPr>
          <w:trHeight w:val="20"/>
        </w:trPr>
        <w:tc>
          <w:tcPr>
            <w:tcW w:w="4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line="279" w:lineRule="auto"/>
        <w:tabs>
          <w:tab w:leader="none" w:pos="1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movement in the allowance for loan losses includes the allowance for direct and indirect loans for approximately US$519.7 million and US$38.5 million, respectively, as of December 31, 2011 (approximately US$415.7 million and US$32.9 million; and US$354.4 million and US$21.7 million, as of December 31, 2010 and 2009, respectively). The allowance for indirect loan losses is included in the caption “Other liabilities” of the consolidated statements of financial position, Note 11(a).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90"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2011, 2010 and 2009 has been established in accordance with IAS 39 and is sufficient to cover probable losses on the loan portfolio.</w:t>
      </w:r>
    </w:p>
    <w:p>
      <w:pPr>
        <w:spacing w:after="0" w:line="170" w:lineRule="exact"/>
        <w:rPr>
          <w:sz w:val="20"/>
          <w:szCs w:val="20"/>
          <w:color w:val="auto"/>
        </w:rPr>
      </w:pPr>
    </w:p>
    <w:p>
      <w:pPr>
        <w:ind w:left="1000" w:hanging="492"/>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70" w:lineRule="exact"/>
        <w:rPr>
          <w:rFonts w:ascii="Arial" w:cs="Arial" w:eastAsia="Arial" w:hAnsi="Arial"/>
          <w:sz w:val="18"/>
          <w:szCs w:val="18"/>
          <w:color w:val="auto"/>
        </w:rPr>
      </w:pPr>
    </w:p>
    <w:p>
      <w:pPr>
        <w:ind w:left="1000" w:hanging="492"/>
        <w:spacing w:after="0" w:line="264"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on past due for more than 90 days and under legal collection loans are recognized when collected. Interest income that would have been recorded for these loans in accordance with their original contract terms and have not been recognize as income amounts to approximately US$49.8, US$38.5 and US$27.9 as of December 31, 2011, 2010 and 2009, respectively.</w:t>
      </w:r>
    </w:p>
    <w:p>
      <w:pPr>
        <w:spacing w:after="0" w:line="181" w:lineRule="exact"/>
        <w:rPr>
          <w:rFonts w:ascii="Arial" w:cs="Arial" w:eastAsia="Arial" w:hAnsi="Arial"/>
          <w:sz w:val="18"/>
          <w:szCs w:val="18"/>
          <w:color w:val="auto"/>
        </w:rPr>
      </w:pPr>
    </w:p>
    <w:p>
      <w:pPr>
        <w:ind w:left="1000" w:right="40" w:hanging="492"/>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2011 and 2010, the direct gross loan portfolio classified by maturity, based on the remaining period to repayment date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Up to 1 year</w:t>
            </w:r>
          </w:p>
        </w:tc>
        <w:tc>
          <w:tcPr>
            <w:tcW w:w="1060" w:type="dxa"/>
            <w:vAlign w:val="bottom"/>
          </w:tcPr>
          <w:p>
            <w:pPr>
              <w:jc w:val="right"/>
              <w:spacing w:after="0"/>
              <w:rPr>
                <w:sz w:val="20"/>
                <w:szCs w:val="20"/>
                <w:color w:val="auto"/>
              </w:rPr>
            </w:pPr>
            <w:r>
              <w:rPr>
                <w:rFonts w:ascii="Arial" w:cs="Arial" w:eastAsia="Arial" w:hAnsi="Arial"/>
                <w:sz w:val="18"/>
                <w:szCs w:val="18"/>
                <w:color w:val="auto"/>
              </w:rPr>
              <w:t>7,855,825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6,812,586</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3,753,857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3,404,766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2,219,746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1,805,760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3,678,408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2,388,047</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Up to 4 months</w:t>
            </w:r>
          </w:p>
        </w:tc>
        <w:tc>
          <w:tcPr>
            <w:tcW w:w="1060" w:type="dxa"/>
            <w:vAlign w:val="bottom"/>
          </w:tcPr>
          <w:p>
            <w:pPr>
              <w:jc w:val="right"/>
              <w:spacing w:after="0"/>
              <w:rPr>
                <w:sz w:val="20"/>
                <w:szCs w:val="20"/>
                <w:color w:val="auto"/>
              </w:rPr>
            </w:pPr>
            <w:r>
              <w:rPr>
                <w:rFonts w:ascii="Arial" w:cs="Arial" w:eastAsia="Arial" w:hAnsi="Arial"/>
                <w:sz w:val="18"/>
                <w:szCs w:val="18"/>
                <w:color w:val="auto"/>
              </w:rPr>
              <w:t>91,653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68,601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95,769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64,158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Under legal collection</w:t>
            </w:r>
          </w:p>
        </w:tc>
        <w:tc>
          <w:tcPr>
            <w:tcW w:w="1060" w:type="dxa"/>
            <w:vAlign w:val="bottom"/>
          </w:tcPr>
          <w:p>
            <w:pPr>
              <w:jc w:val="right"/>
              <w:spacing w:after="0"/>
              <w:rPr>
                <w:sz w:val="20"/>
                <w:szCs w:val="20"/>
                <w:color w:val="auto"/>
              </w:rPr>
            </w:pPr>
            <w:r>
              <w:rPr>
                <w:rFonts w:ascii="Arial" w:cs="Arial" w:eastAsia="Arial" w:hAnsi="Arial"/>
                <w:sz w:val="18"/>
                <w:szCs w:val="18"/>
                <w:color w:val="auto"/>
              </w:rPr>
              <w:t>71,628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77,149</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Unit Linked financial assets (b)</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49,816</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39,501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Indexed certificates (c)</w:t>
            </w:r>
          </w:p>
        </w:tc>
        <w:tc>
          <w:tcPr>
            <w:tcW w:w="1060" w:type="dxa"/>
            <w:vAlign w:val="bottom"/>
          </w:tcPr>
          <w:p>
            <w:pPr>
              <w:jc w:val="right"/>
              <w:spacing w:after="0"/>
              <w:rPr>
                <w:sz w:val="20"/>
                <w:szCs w:val="20"/>
                <w:color w:val="auto"/>
              </w:rPr>
            </w:pPr>
            <w:r>
              <w:rPr>
                <w:rFonts w:ascii="Arial" w:cs="Arial" w:eastAsia="Arial" w:hAnsi="Arial"/>
                <w:sz w:val="18"/>
                <w:szCs w:val="18"/>
                <w:color w:val="auto"/>
              </w:rPr>
              <w:t>40,287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139,554</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90,103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20" w:hanging="492"/>
        <w:spacing w:after="0" w:line="254"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Group issues unit linked life insurance contracts whereby the policyholder bears the investment risk on the assets held in the unit linked funds as the policy benefits are directly linked to the value of the assets in the fund. The Group’s exposure to market risk is limited to the extent that income arising from asset management charges is based on the value of assets in the fund. For the year 2011, the loss resulting from the difference between cost and estimated market value for these financial assets amounted to approximately US$6.1 million (gain of US$6.4 million for the year 2010) and is presented in the caption “Net loss on financial assets designated at fair value through profit or loss” of the consolidated statements of income (“Net gain on financial assets designated at fair value through profit or loss for the year 2010”). The offsetting of this effect is included in gross premiums which are part of the caption “Net premiums earned” of the consolidated statements of income, see Note 22.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60" w:hanging="492"/>
        <w:spacing w:after="0" w:line="29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liabilities that result from Credicorp’s stock appreciation rights (SARs), (Note 18(a)), BCP signed several contracts with Citigroup Global Markets Holdings Inc., Citigroup Capital Limited, Citigroup Capital Market Inc. (collectively hereinafter “Citigroup”) and Credit Agricole Corporate and Investment Bank (hereinafter “Calyon”). These contracts consist of the purchase of certificates indexed to the performance of Credicorp Ltd. (BAP) shares, in the form of “warrants” issued by Citigroup and Calyon, with the same number of Credicorp Ltd. shares. These certificates are cash settled and their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certificates have a maturity of 5 years but can be settled anytime before their maturity, partially or totally. As of December 31, 2011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2010, the Group had 355,914 and 1,152,414 certificates at a total cost of US$22.4 million and US$70.9 million, respectively (US$62.9 and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US$61.5 per certificate on average, respectively). At those dates, the estimated market value amounted to US$40.3 and US$139.6 million,</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respectively (US$113.2 and US$121.1 per certificate on average, as of December 31, 2011 and 2010, respectively). For the year 2011, the net</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loss generated by the indexed certificates is comprised by the loss arising from their valuation, approximately US$49.1 million (gain of</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US$43.8 million for the year 2010), net of the gain resulting from their settlement , approximately to US$30.6 million (gain of US$14.3 million</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for the year 2010) and has been recorded in the caption “Net loss on financial assets designated at fair value through profit or loss” of the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statements of income (“Net gain on financial assets designated at fair value through profit or loss” for the year 2010).</w:t>
      </w:r>
    </w:p>
    <w:p>
      <w:pPr>
        <w:spacing w:after="0" w:line="207"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29" w:lineRule="exact"/>
        <w:rPr>
          <w:rFonts w:ascii="Arial" w:cs="Arial" w:eastAsia="Arial" w:hAnsi="Arial"/>
          <w:sz w:val="18"/>
          <w:szCs w:val="18"/>
          <w:b w:val="1"/>
          <w:bCs w:val="1"/>
          <w:color w:val="auto"/>
        </w:rPr>
      </w:pPr>
    </w:p>
    <w:p>
      <w:pPr>
        <w:ind w:left="1000" w:right="180" w:hanging="492"/>
        <w:spacing w:after="0" w:line="308" w:lineRule="auto"/>
        <w:tabs>
          <w:tab w:leader="none" w:pos="10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As of December 31, 2011 and 2010, the caption “Premiums and other policies receivable” of the consolidated statements of financial position includes balances which primarily due in a current period, have no collaterals and present no material past due balances.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160,249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137,098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Reported claims of premiums ceded, Note 23</w:t>
            </w:r>
          </w:p>
        </w:tc>
        <w:tc>
          <w:tcPr>
            <w:tcW w:w="1060" w:type="dxa"/>
            <w:vAlign w:val="bottom"/>
          </w:tcPr>
          <w:p>
            <w:pPr>
              <w:jc w:val="right"/>
              <w:spacing w:after="0"/>
              <w:rPr>
                <w:sz w:val="20"/>
                <w:szCs w:val="20"/>
                <w:color w:val="auto"/>
              </w:rPr>
            </w:pPr>
            <w:r>
              <w:rPr>
                <w:rFonts w:ascii="Arial" w:cs="Arial" w:eastAsia="Arial" w:hAnsi="Arial"/>
                <w:sz w:val="18"/>
                <w:szCs w:val="18"/>
                <w:color w:val="auto"/>
              </w:rPr>
              <w:t>28,627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31,618</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 Note 22(**)(ii)</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32,421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Premiums assumed</w:t>
            </w:r>
          </w:p>
        </w:tc>
        <w:tc>
          <w:tcPr>
            <w:tcW w:w="1060" w:type="dxa"/>
            <w:vAlign w:val="bottom"/>
          </w:tcPr>
          <w:p>
            <w:pPr>
              <w:jc w:val="right"/>
              <w:spacing w:after="0"/>
              <w:rPr>
                <w:sz w:val="20"/>
                <w:szCs w:val="20"/>
                <w:color w:val="auto"/>
              </w:rPr>
            </w:pPr>
            <w:r>
              <w:rPr>
                <w:rFonts w:ascii="Arial" w:cs="Arial" w:eastAsia="Arial" w:hAnsi="Arial"/>
                <w:sz w:val="18"/>
                <w:szCs w:val="18"/>
                <w:color w:val="auto"/>
              </w:rPr>
              <w:t>20,039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22,882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26,345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18,895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Collections and 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(93,271)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(82,665)</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060" w:type="dxa"/>
            <w:vAlign w:val="bottom"/>
          </w:tcPr>
          <w:p>
            <w:pPr>
              <w:jc w:val="right"/>
              <w:spacing w:after="0"/>
              <w:rPr>
                <w:sz w:val="20"/>
                <w:szCs w:val="20"/>
                <w:color w:val="auto"/>
              </w:rPr>
            </w:pPr>
            <w:r>
              <w:rPr>
                <w:rFonts w:ascii="Arial" w:cs="Arial" w:eastAsia="Arial" w:hAnsi="Arial"/>
                <w:sz w:val="18"/>
                <w:szCs w:val="18"/>
                <w:color w:val="auto"/>
              </w:rPr>
              <w:t>151,080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160,249</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Accounts receivable as of December 31, 2011 and 2010, include US$58.0 and US$49.0 million, respectively, which correspond to the unearned portion of the ceded premiums to the reinsurers.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60,775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 Note 22(**)(ii)</w:t>
            </w:r>
          </w:p>
        </w:tc>
        <w:tc>
          <w:tcPr>
            <w:tcW w:w="1060" w:type="dxa"/>
            <w:vAlign w:val="bottom"/>
          </w:tcPr>
          <w:p>
            <w:pPr>
              <w:jc w:val="right"/>
              <w:spacing w:after="0"/>
              <w:rPr>
                <w:sz w:val="20"/>
                <w:szCs w:val="20"/>
                <w:color w:val="auto"/>
              </w:rPr>
            </w:pPr>
            <w:r>
              <w:rPr>
                <w:rFonts w:ascii="Arial" w:cs="Arial" w:eastAsia="Arial" w:hAnsi="Arial"/>
                <w:sz w:val="18"/>
                <w:szCs w:val="18"/>
                <w:color w:val="auto"/>
              </w:rPr>
              <w:t>98,639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94,416</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11,067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11,774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and 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(95,115)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(93,424)</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060" w:type="dxa"/>
            <w:vAlign w:val="bottom"/>
          </w:tcPr>
          <w:p>
            <w:pPr>
              <w:jc w:val="right"/>
              <w:spacing w:after="0"/>
              <w:rPr>
                <w:sz w:val="20"/>
                <w:szCs w:val="20"/>
                <w:color w:val="auto"/>
              </w:rPr>
            </w:pPr>
            <w:r>
              <w:rPr>
                <w:rFonts w:ascii="Arial" w:cs="Arial" w:eastAsia="Arial" w:hAnsi="Arial"/>
                <w:sz w:val="18"/>
                <w:szCs w:val="18"/>
                <w:color w:val="auto"/>
              </w:rPr>
              <w:t>75,366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60,775</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Accounts payable to reinsurers are primarily related to the proportional facultative contracts (on an individual basis)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automatic contracts (mainly excess of loss) as well as reinstallation premiums of the years 2011 and 2010 are included in the concept “Premiums ceded to reinsurers, net” for US$40.3 million and U$33.3 million, respectively, see Note 22 (**)(i).</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29" w:lineRule="exact"/>
        <w:rPr>
          <w:sz w:val="20"/>
          <w:szCs w:val="20"/>
          <w:color w:val="auto"/>
        </w:rPr>
      </w:pPr>
    </w:p>
    <w:p>
      <w:pPr>
        <w:ind w:left="1000" w:hanging="492"/>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2011 and 2010,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Buildings and other</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Furniture</w:t>
            </w: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Computer</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0"/>
              </w:rPr>
              <w:t>Vehicles</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Work</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0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Land</w:t>
            </w: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construction</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Installations</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and fixtures</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hardware</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and equipment</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in progress</w:t>
            </w: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2011</w:t>
            </w:r>
          </w:p>
        </w:tc>
        <w:tc>
          <w:tcPr>
            <w:tcW w:w="18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10"/>
                <w:szCs w:val="10"/>
                <w:color w:val="auto"/>
              </w:rPr>
            </w:pPr>
          </w:p>
        </w:tc>
      </w:tr>
      <w:tr>
        <w:trPr>
          <w:trHeight w:val="136"/>
        </w:trPr>
        <w:tc>
          <w:tcPr>
            <w:tcW w:w="20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w w:val="93"/>
              </w:rPr>
              <w:t>US$(000)</w:t>
            </w: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US$(000)</w:t>
            </w:r>
          </w:p>
        </w:tc>
      </w:tr>
      <w:tr>
        <w:trPr>
          <w:trHeight w:val="117"/>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42,656</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294,855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128,050</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97,586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245,218</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39,252</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55,197</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902,814</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829,889</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8,310</w:t>
            </w:r>
          </w:p>
        </w:tc>
        <w:tc>
          <w:tcPr>
            <w:tcW w:w="180" w:type="dxa"/>
            <w:vAlign w:val="bottom"/>
            <w:shd w:val="clear" w:color="auto" w:fill="CCFFCC"/>
          </w:tcPr>
          <w:p>
            <w:pPr>
              <w:spacing w:after="0"/>
              <w:rPr>
                <w:sz w:val="10"/>
                <w:szCs w:val="10"/>
                <w:color w:val="auto"/>
              </w:rPr>
            </w:pP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976</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2,899</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12,528</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26,674</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2,423</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47,009</w:t>
            </w:r>
          </w:p>
        </w:tc>
        <w:tc>
          <w:tcPr>
            <w:tcW w:w="1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100,819</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80,184</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27,037</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15,019</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2,339</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1,093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320</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5,006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50,814</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shd w:val="clear" w:color="auto" w:fill="CCFFCC"/>
          </w:tcPr>
          <w:p>
            <w:pPr>
              <w:spacing w:after="0"/>
              <w:rPr>
                <w:sz w:val="10"/>
                <w:szCs w:val="10"/>
                <w:color w:val="auto"/>
              </w:rPr>
            </w:pP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62,517</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7,639</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1,676</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7,836</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3,087</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(82,762)</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Sales, disposals and other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(575)</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(1,487)</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(108,539)</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(110,882)</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(7,259)</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78,010</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373,367</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140,352</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111,396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171,509</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49,487</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19,444</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943,565</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902,814</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160,782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83,834</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67,147</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204,357</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13,781</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529,901</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491,354</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Depreciation for the year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8,382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8,220</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5,039</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22,198</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4,189</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48,028</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44,852</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1,928</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61</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164</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121</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1,670</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3,944</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Sales, disposals and other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(568)</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(1,477)</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(108,503)</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(110,741)</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(6,305)</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171,092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91,547</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70,873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118,173</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19,447</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471,132</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529,901</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78,010</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202,275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48,805</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40,523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53,336</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30,040</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19,444</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472,433</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372,913</w:t>
            </w:r>
          </w:p>
        </w:tc>
      </w:tr>
      <w:tr>
        <w:trPr>
          <w:trHeight w:val="20"/>
        </w:trPr>
        <w:tc>
          <w:tcPr>
            <w:tcW w:w="2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25" w:lineRule="exact"/>
        <w:rPr>
          <w:rFonts w:ascii="Arial" w:cs="Arial" w:eastAsia="Arial" w:hAnsi="Arial"/>
          <w:sz w:val="18"/>
          <w:szCs w:val="18"/>
          <w:color w:val="auto"/>
        </w:rPr>
      </w:pPr>
    </w:p>
    <w:p>
      <w:pPr>
        <w:ind w:left="1000" w:right="100" w:hanging="492"/>
        <w:spacing w:after="0" w:line="342" w:lineRule="auto"/>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 of December 31, 2011, Credicorp and its Subsidiaries have property available for sale for approximately US$23.0 million, net of its accumulated depreciation amounting to approximately US$10.4 million (US$23.5 and US$9.8 million, respectively, as of December 31, 2010).</w:t>
      </w:r>
    </w:p>
    <w:p>
      <w:pPr>
        <w:spacing w:after="0" w:line="123" w:lineRule="exact"/>
        <w:rPr>
          <w:rFonts w:ascii="Arial" w:cs="Arial" w:eastAsia="Arial" w:hAnsi="Arial"/>
          <w:sz w:val="16"/>
          <w:szCs w:val="16"/>
          <w:color w:val="auto"/>
        </w:rPr>
      </w:pPr>
    </w:p>
    <w:p>
      <w:pPr>
        <w:ind w:left="1000" w:hanging="492"/>
        <w:spacing w:after="0" w:line="264"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2011 and 2010 there is no evidence of impairment of the Group’s property, furniture and equipment.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of finite useful lives intangible assets for the years ended December 31, 2011 and 2010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Client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Software and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060" w:type="dxa"/>
            <w:vAlign w:val="bottom"/>
          </w:tcPr>
          <w:p>
            <w:pPr>
              <w:spacing w:after="0"/>
              <w:rPr>
                <w:sz w:val="20"/>
                <w:szCs w:val="20"/>
                <w:color w:val="auto"/>
              </w:rPr>
            </w:pPr>
            <w:r>
              <w:rPr>
                <w:rFonts w:ascii="Arial" w:cs="Arial" w:eastAsia="Arial" w:hAnsi="Arial"/>
                <w:sz w:val="11"/>
                <w:szCs w:val="11"/>
                <w:b w:val="1"/>
                <w:bCs w:val="1"/>
                <w:color w:val="auto"/>
              </w:rPr>
              <w:t>Description</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relationships (i)</w:t>
            </w:r>
          </w:p>
        </w:tc>
        <w:tc>
          <w:tcPr>
            <w:tcW w:w="10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Rights of use</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Brand name (ii)</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Licenses</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developments</w:t>
            </w: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Other</w:t>
            </w: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10"/>
                <w:szCs w:val="10"/>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10"/>
                <w:szCs w:val="10"/>
                <w:color w:val="auto"/>
              </w:rPr>
            </w:pPr>
          </w:p>
        </w:tc>
      </w:tr>
      <w:tr>
        <w:trPr>
          <w:trHeight w:val="136"/>
        </w:trPr>
        <w:tc>
          <w:tcPr>
            <w:tcW w:w="306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82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r>
      <w:tr>
        <w:trPr>
          <w:trHeight w:val="117"/>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94,952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20,000</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13,159</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202,774</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32,330</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363,215</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297,078</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19,829</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35,482</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55,311</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68,344</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3,116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10,587</w:t>
            </w: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12,271</w:t>
            </w:r>
          </w:p>
        </w:tc>
        <w:tc>
          <w:tcPr>
            <w:tcW w:w="18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173</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26,147</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23,574</w:t>
            </w:r>
          </w:p>
        </w:tc>
        <w:tc>
          <w:tcPr>
            <w:tcW w:w="7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(23,574)</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Disposals and other</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(1,235)</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(375)</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(1,610)</w:t>
            </w: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(2,207)</w:t>
            </w:r>
          </w:p>
        </w:tc>
      </w:tr>
      <w:tr>
        <w:trPr>
          <w:trHeight w:val="20"/>
        </w:trPr>
        <w:tc>
          <w:tcPr>
            <w:tcW w:w="3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06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98,068</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20,000</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23,746</w:t>
            </w: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12,271</w:t>
            </w:r>
          </w:p>
        </w:tc>
        <w:tc>
          <w:tcPr>
            <w:tcW w:w="1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245,115</w:t>
            </w: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43,863</w:t>
            </w:r>
          </w:p>
        </w:tc>
        <w:tc>
          <w:tcPr>
            <w:tcW w:w="7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443,063</w:t>
            </w:r>
          </w:p>
        </w:tc>
        <w:tc>
          <w:tcPr>
            <w:tcW w:w="66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363,215</w:t>
            </w:r>
          </w:p>
        </w:tc>
      </w:tr>
      <w:tr>
        <w:trPr>
          <w:trHeight w:val="115"/>
        </w:trPr>
        <w:tc>
          <w:tcPr>
            <w:tcW w:w="306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amortization -</w:t>
            </w: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19,095</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815</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102,039</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10,075</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132,024</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96,561</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Amortization of the year</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5,144</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1,333</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791</w:t>
            </w:r>
          </w:p>
        </w:tc>
        <w:tc>
          <w:tcPr>
            <w:tcW w:w="20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37,715</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871</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45,854</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37,437</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Disposals and other</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(1,202)</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(1,263)</w:t>
            </w: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(1,974)</w:t>
            </w:r>
          </w:p>
        </w:tc>
      </w:tr>
      <w:tr>
        <w:trPr>
          <w:trHeight w:val="20"/>
        </w:trPr>
        <w:tc>
          <w:tcPr>
            <w:tcW w:w="3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06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24,239</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1,333</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1,606</w:t>
            </w:r>
          </w:p>
        </w:tc>
        <w:tc>
          <w:tcPr>
            <w:tcW w:w="20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138,552</w:t>
            </w: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10,885</w:t>
            </w:r>
          </w:p>
        </w:tc>
        <w:tc>
          <w:tcPr>
            <w:tcW w:w="7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176,615</w:t>
            </w:r>
          </w:p>
        </w:tc>
        <w:tc>
          <w:tcPr>
            <w:tcW w:w="66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132,024</w:t>
            </w:r>
          </w:p>
        </w:tc>
      </w:tr>
      <w:tr>
        <w:trPr>
          <w:trHeight w:val="115"/>
        </w:trPr>
        <w:tc>
          <w:tcPr>
            <w:tcW w:w="306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82"/>
        </w:trPr>
        <w:tc>
          <w:tcPr>
            <w:tcW w:w="30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Net book value</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73,829</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18,667</w:t>
            </w:r>
          </w:p>
        </w:tc>
        <w:tc>
          <w:tcPr>
            <w:tcW w:w="200" w:type="dxa"/>
            <w:vAlign w:val="bottom"/>
            <w:shd w:val="clear" w:color="auto" w:fill="CCFFCC"/>
          </w:tcPr>
          <w:p>
            <w:pPr>
              <w:spacing w:after="0"/>
              <w:rPr>
                <w:sz w:val="15"/>
                <w:szCs w:val="15"/>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22,140</w:t>
            </w:r>
          </w:p>
        </w:tc>
        <w:tc>
          <w:tcPr>
            <w:tcW w:w="20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12,271</w:t>
            </w: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106,563</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32,978</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266,448</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231,191</w:t>
            </w:r>
          </w:p>
        </w:tc>
      </w:tr>
      <w:tr>
        <w:trPr>
          <w:trHeight w:val="20"/>
        </w:trPr>
        <w:tc>
          <w:tcPr>
            <w:tcW w:w="30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During 2011, additions are related to the implementation and development of sundry IT projects, mainly “AIO” related to increase of the infrastructure, mainframe and licenses to support the increase in operations (during 2010, additions were related to IT projects "SAP" and "Sio Teller”).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Client relationships -</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70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Client relationships -</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Prima AFP – AFP Unión Vida</w:t>
            </w:r>
          </w:p>
        </w:tc>
        <w:tc>
          <w:tcPr>
            <w:tcW w:w="1040" w:type="dxa"/>
            <w:vAlign w:val="bottom"/>
          </w:tcPr>
          <w:p>
            <w:pPr>
              <w:jc w:val="right"/>
              <w:spacing w:after="0"/>
              <w:rPr>
                <w:sz w:val="20"/>
                <w:szCs w:val="20"/>
                <w:color w:val="auto"/>
              </w:rPr>
            </w:pPr>
            <w:r>
              <w:rPr>
                <w:rFonts w:ascii="Arial" w:cs="Arial" w:eastAsia="Arial" w:hAnsi="Arial"/>
                <w:sz w:val="18"/>
                <w:szCs w:val="18"/>
                <w:color w:val="auto"/>
              </w:rPr>
              <w:t>65,686</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70,105</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Edyficar</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Private hospitals</w:t>
            </w:r>
          </w:p>
        </w:tc>
        <w:tc>
          <w:tcPr>
            <w:tcW w:w="104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040" w:type="dxa"/>
            <w:vAlign w:val="bottom"/>
          </w:tcPr>
          <w:p>
            <w:pPr>
              <w:jc w:val="right"/>
              <w:spacing w:after="0"/>
              <w:rPr>
                <w:sz w:val="20"/>
                <w:szCs w:val="20"/>
                <w:color w:val="auto"/>
              </w:rPr>
            </w:pPr>
            <w:r>
              <w:rPr>
                <w:rFonts w:ascii="Arial" w:cs="Arial" w:eastAsia="Arial" w:hAnsi="Arial"/>
                <w:sz w:val="18"/>
                <w:szCs w:val="18"/>
                <w:color w:val="auto"/>
              </w:rPr>
              <w:t>73,829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75,857</w:t>
            </w:r>
          </w:p>
        </w:tc>
      </w:tr>
      <w:tr>
        <w:trPr>
          <w:trHeight w:val="20"/>
        </w:trPr>
        <w:tc>
          <w:tcPr>
            <w:tcW w:w="7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Brand name -</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70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Brand name -</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Edyficar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11,688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12,344</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10,452</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3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22,140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12,344</w:t>
            </w:r>
          </w:p>
        </w:tc>
      </w:tr>
      <w:tr>
        <w:trPr>
          <w:trHeight w:val="20"/>
        </w:trPr>
        <w:tc>
          <w:tcPr>
            <w:tcW w:w="70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Management has assessed at each reporting date that there is no indication that client relationships, rights of use, brand name and software and developments may be impaired.</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Goodwill -</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Edyficar, Note 2(c)</w:t>
            </w:r>
          </w:p>
        </w:tc>
        <w:tc>
          <w:tcPr>
            <w:tcW w:w="1060" w:type="dxa"/>
            <w:vAlign w:val="bottom"/>
          </w:tcPr>
          <w:p>
            <w:pPr>
              <w:jc w:val="right"/>
              <w:spacing w:after="0"/>
              <w:rPr>
                <w:sz w:val="20"/>
                <w:szCs w:val="20"/>
                <w:color w:val="auto"/>
              </w:rPr>
            </w:pPr>
            <w:r>
              <w:rPr>
                <w:rFonts w:ascii="Arial" w:cs="Arial" w:eastAsia="Arial" w:hAnsi="Arial"/>
                <w:sz w:val="18"/>
                <w:szCs w:val="18"/>
                <w:color w:val="auto"/>
              </w:rPr>
              <w:t>50,696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50,696</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 Note 2(a)</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45,540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Prima AFP</w:t>
            </w:r>
          </w:p>
        </w:tc>
        <w:tc>
          <w:tcPr>
            <w:tcW w:w="1060" w:type="dxa"/>
            <w:vAlign w:val="bottom"/>
          </w:tcPr>
          <w:p>
            <w:pPr>
              <w:jc w:val="right"/>
              <w:spacing w:after="0"/>
              <w:rPr>
                <w:sz w:val="20"/>
                <w:szCs w:val="20"/>
                <w:color w:val="auto"/>
              </w:rPr>
            </w:pPr>
            <w:r>
              <w:rPr>
                <w:rFonts w:ascii="Arial" w:cs="Arial" w:eastAsia="Arial" w:hAnsi="Arial"/>
                <w:sz w:val="18"/>
                <w:szCs w:val="18"/>
                <w:color w:val="auto"/>
              </w:rPr>
              <w:t>44,594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44,594</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18,733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18,733</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060" w:type="dxa"/>
            <w:vAlign w:val="bottom"/>
          </w:tcPr>
          <w:p>
            <w:pPr>
              <w:jc w:val="right"/>
              <w:spacing w:after="0"/>
              <w:rPr>
                <w:sz w:val="20"/>
                <w:szCs w:val="20"/>
                <w:color w:val="auto"/>
              </w:rPr>
            </w:pPr>
            <w:r>
              <w:rPr>
                <w:rFonts w:ascii="Arial" w:cs="Arial" w:eastAsia="Arial" w:hAnsi="Arial"/>
                <w:sz w:val="18"/>
                <w:szCs w:val="18"/>
                <w:color w:val="auto"/>
              </w:rPr>
              <w:t>13,007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10,660</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Corporación Novasalud Perú S.A. EPS</w:t>
            </w:r>
          </w:p>
        </w:tc>
        <w:tc>
          <w:tcPr>
            <w:tcW w:w="1060" w:type="dxa"/>
            <w:vAlign w:val="bottom"/>
          </w:tcPr>
          <w:p>
            <w:pPr>
              <w:jc w:val="right"/>
              <w:spacing w:after="0"/>
              <w:rPr>
                <w:sz w:val="20"/>
                <w:szCs w:val="20"/>
                <w:color w:val="auto"/>
              </w:rPr>
            </w:pPr>
            <w:r>
              <w:rPr>
                <w:rFonts w:ascii="Arial" w:cs="Arial" w:eastAsia="Arial" w:hAnsi="Arial"/>
                <w:sz w:val="18"/>
                <w:szCs w:val="18"/>
                <w:color w:val="auto"/>
              </w:rPr>
              <w:t>3,744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060" w:type="dxa"/>
            <w:vAlign w:val="bottom"/>
          </w:tcPr>
          <w:p>
            <w:pPr>
              <w:jc w:val="right"/>
              <w:spacing w:after="0"/>
              <w:rPr>
                <w:sz w:val="20"/>
                <w:szCs w:val="20"/>
                <w:color w:val="auto"/>
              </w:rPr>
            </w:pPr>
            <w:r>
              <w:rPr>
                <w:rFonts w:ascii="Arial" w:cs="Arial" w:eastAsia="Arial" w:hAnsi="Arial"/>
                <w:sz w:val="18"/>
                <w:szCs w:val="18"/>
                <w:color w:val="auto"/>
              </w:rPr>
              <w:t>186,974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141,434</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2011 and 2010, Management concluded that there is no impairment in the recorded goodwill.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90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assets and other liabilities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231,012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183,295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129,645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106,134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collateral on repurchase agreements and others (e)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90,065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38,440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Derivatives receivable (b)</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82,519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84,945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Income tax prepayments, net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54,435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23,982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44,952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35,828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632,628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472,624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Non-financial instruments</w:t>
            </w: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asset, Note 17(c)</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114,470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112,914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Prepaid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72,393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64,917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Deferred fees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47,629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43,318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Investments in associates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13,428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10,701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21,996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269,916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235,002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902,544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707,626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instruments:</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Repurchase agreements, Note 5(o) and (e)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223,743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223,822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Payroll, taxes, salaries and other personnel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155,184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196,290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145,261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136,670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Allowance for indirect loan losses, Note 6(d)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38,478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32,894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Contributions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23,694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20,136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31,020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25,771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867,380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885,583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income tax liability, Note 17(c)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127,960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168,777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29,009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19,336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158,025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207,538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1,025,405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1,093,121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F-55</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40" w:hanging="492"/>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risk in derivative contracts arises from the possibility of the counterparty failing to comply with the terms and conditions agreed and that the reference rates at which the transactions took place changes.</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table below presents as of December 31, 2011 and 2010, the fair value of derivative financial instruments, recorded as an asset or a liability, together with their notional amounts and maturities. The notional amount, recorded gross, is the amount of a derivative’s underlying asset and is the basis upon which changes in the value of derivatives are measured, see Note 19(a).</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04"/>
        </w:trPr>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2011</w:t>
            </w: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355"/>
              <w:spacing w:after="0"/>
              <w:rPr>
                <w:sz w:val="20"/>
                <w:szCs w:val="20"/>
                <w:color w:val="auto"/>
              </w:rPr>
            </w:pPr>
            <w:r>
              <w:rPr>
                <w:rFonts w:ascii="Arial" w:cs="Arial" w:eastAsia="Arial" w:hAnsi="Arial"/>
                <w:sz w:val="9"/>
                <w:szCs w:val="9"/>
                <w:b w:val="1"/>
                <w:bCs w:val="1"/>
                <w:color w:val="auto"/>
                <w:w w:val="79"/>
              </w:rPr>
              <w:t>2010</w:t>
            </w: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2011 and 2010</w:t>
            </w:r>
          </w:p>
        </w:tc>
      </w:tr>
      <w:tr>
        <w:trPr>
          <w:trHeight w:val="79"/>
        </w:trPr>
        <w:tc>
          <w:tcPr>
            <w:tcW w:w="1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100"/>
              <w:spacing w:after="0" w:line="79" w:lineRule="exact"/>
              <w:rPr>
                <w:sz w:val="20"/>
                <w:szCs w:val="20"/>
                <w:color w:val="auto"/>
              </w:rPr>
            </w:pPr>
            <w:r>
              <w:rPr>
                <w:rFonts w:ascii="Arial" w:cs="Arial" w:eastAsia="Arial" w:hAnsi="Arial"/>
                <w:sz w:val="9"/>
                <w:szCs w:val="9"/>
                <w:b w:val="1"/>
                <w:bCs w:val="1"/>
                <w:color w:val="auto"/>
                <w:w w:val="88"/>
              </w:rPr>
              <w:t>Notional</w:t>
            </w: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100"/>
              <w:spacing w:after="0" w:line="79" w:lineRule="exact"/>
              <w:rPr>
                <w:sz w:val="20"/>
                <w:szCs w:val="20"/>
                <w:color w:val="auto"/>
              </w:rPr>
            </w:pPr>
            <w:r>
              <w:rPr>
                <w:rFonts w:ascii="Arial" w:cs="Arial" w:eastAsia="Arial" w:hAnsi="Arial"/>
                <w:sz w:val="9"/>
                <w:szCs w:val="9"/>
                <w:b w:val="1"/>
                <w:bCs w:val="1"/>
                <w:color w:val="auto"/>
                <w:w w:val="88"/>
              </w:rPr>
              <w:t>Notional</w:t>
            </w: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97"/>
        </w:trPr>
        <w:tc>
          <w:tcPr>
            <w:tcW w:w="1260" w:type="dxa"/>
            <w:vAlign w:val="bottom"/>
          </w:tcPr>
          <w:p>
            <w:pPr>
              <w:spacing w:after="0"/>
              <w:rPr>
                <w:sz w:val="8"/>
                <w:szCs w:val="8"/>
                <w:color w:val="auto"/>
              </w:rPr>
            </w:pPr>
          </w:p>
        </w:tc>
        <w:tc>
          <w:tcPr>
            <w:tcW w:w="640" w:type="dxa"/>
            <w:vAlign w:val="bottom"/>
          </w:tcPr>
          <w:p>
            <w:pPr>
              <w:ind w:left="200"/>
              <w:spacing w:after="0" w:line="97" w:lineRule="exact"/>
              <w:rPr>
                <w:sz w:val="20"/>
                <w:szCs w:val="20"/>
                <w:color w:val="auto"/>
              </w:rPr>
            </w:pPr>
            <w:r>
              <w:rPr>
                <w:rFonts w:ascii="Arial" w:cs="Arial" w:eastAsia="Arial" w:hAnsi="Arial"/>
                <w:sz w:val="9"/>
                <w:szCs w:val="9"/>
                <w:b w:val="1"/>
                <w:bCs w:val="1"/>
                <w:color w:val="auto"/>
              </w:rPr>
              <w:t>Note</w:t>
            </w:r>
          </w:p>
        </w:tc>
        <w:tc>
          <w:tcPr>
            <w:tcW w:w="82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81"/>
              </w:rPr>
              <w:t>Assets</w:t>
            </w:r>
          </w:p>
        </w:tc>
        <w:tc>
          <w:tcPr>
            <w:tcW w:w="80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Liabilities</w:t>
            </w:r>
          </w:p>
        </w:tc>
        <w:tc>
          <w:tcPr>
            <w:tcW w:w="660" w:type="dxa"/>
            <w:vAlign w:val="bottom"/>
            <w:gridSpan w:val="2"/>
          </w:tcPr>
          <w:p>
            <w:pPr>
              <w:jc w:val="center"/>
              <w:ind w:right="80"/>
              <w:spacing w:after="0" w:line="97" w:lineRule="exact"/>
              <w:rPr>
                <w:sz w:val="20"/>
                <w:szCs w:val="20"/>
                <w:color w:val="auto"/>
              </w:rPr>
            </w:pPr>
            <w:r>
              <w:rPr>
                <w:rFonts w:ascii="Arial" w:cs="Arial" w:eastAsia="Arial" w:hAnsi="Arial"/>
                <w:sz w:val="9"/>
                <w:szCs w:val="9"/>
                <w:b w:val="1"/>
                <w:bCs w:val="1"/>
                <w:color w:val="auto"/>
                <w:w w:val="92"/>
              </w:rPr>
              <w:t>amount</w:t>
            </w:r>
          </w:p>
        </w:tc>
        <w:tc>
          <w:tcPr>
            <w:tcW w:w="1280" w:type="dxa"/>
            <w:vAlign w:val="bottom"/>
          </w:tcPr>
          <w:p>
            <w:pPr>
              <w:ind w:left="520"/>
              <w:spacing w:after="0" w:line="97" w:lineRule="exact"/>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81"/>
              </w:rPr>
              <w:t>Assets</w:t>
            </w:r>
          </w:p>
        </w:tc>
        <w:tc>
          <w:tcPr>
            <w:tcW w:w="78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Liabilities</w:t>
            </w:r>
          </w:p>
        </w:tc>
        <w:tc>
          <w:tcPr>
            <w:tcW w:w="660" w:type="dxa"/>
            <w:vAlign w:val="bottom"/>
            <w:gridSpan w:val="2"/>
          </w:tcPr>
          <w:p>
            <w:pPr>
              <w:jc w:val="center"/>
              <w:ind w:right="100"/>
              <w:spacing w:after="0" w:line="97" w:lineRule="exact"/>
              <w:rPr>
                <w:sz w:val="20"/>
                <w:szCs w:val="20"/>
                <w:color w:val="auto"/>
              </w:rPr>
            </w:pPr>
            <w:r>
              <w:rPr>
                <w:rFonts w:ascii="Arial" w:cs="Arial" w:eastAsia="Arial" w:hAnsi="Arial"/>
                <w:sz w:val="9"/>
                <w:szCs w:val="9"/>
                <w:b w:val="1"/>
                <w:bCs w:val="1"/>
                <w:color w:val="auto"/>
                <w:w w:val="86"/>
              </w:rPr>
              <w:t>amount</w:t>
            </w:r>
          </w:p>
        </w:tc>
        <w:tc>
          <w:tcPr>
            <w:tcW w:w="1080" w:type="dxa"/>
            <w:vAlign w:val="bottom"/>
          </w:tcPr>
          <w:p>
            <w:pPr>
              <w:ind w:left="420"/>
              <w:spacing w:after="0" w:line="97" w:lineRule="exact"/>
              <w:rPr>
                <w:sz w:val="20"/>
                <w:szCs w:val="20"/>
                <w:color w:val="auto"/>
              </w:rPr>
            </w:pPr>
            <w:r>
              <w:rPr>
                <w:rFonts w:ascii="Arial" w:cs="Arial" w:eastAsia="Arial" w:hAnsi="Arial"/>
                <w:sz w:val="9"/>
                <w:szCs w:val="9"/>
                <w:b w:val="1"/>
                <w:bCs w:val="1"/>
                <w:color w:val="auto"/>
              </w:rPr>
              <w:t>Maturity</w:t>
            </w:r>
          </w:p>
        </w:tc>
        <w:tc>
          <w:tcPr>
            <w:tcW w:w="80" w:type="dxa"/>
            <w:vAlign w:val="bottom"/>
          </w:tcPr>
          <w:p>
            <w:pPr>
              <w:spacing w:after="0"/>
              <w:rPr>
                <w:sz w:val="8"/>
                <w:szCs w:val="8"/>
                <w:color w:val="auto"/>
              </w:rPr>
            </w:pPr>
          </w:p>
        </w:tc>
        <w:tc>
          <w:tcPr>
            <w:tcW w:w="880" w:type="dxa"/>
            <w:vAlign w:val="bottom"/>
          </w:tcPr>
          <w:p>
            <w:pPr>
              <w:jc w:val="right"/>
              <w:ind w:right="15"/>
              <w:spacing w:after="0" w:line="97" w:lineRule="exact"/>
              <w:rPr>
                <w:sz w:val="20"/>
                <w:szCs w:val="20"/>
                <w:color w:val="auto"/>
              </w:rPr>
            </w:pPr>
            <w:r>
              <w:rPr>
                <w:rFonts w:ascii="Arial" w:cs="Arial" w:eastAsia="Arial" w:hAnsi="Arial"/>
                <w:sz w:val="9"/>
                <w:szCs w:val="9"/>
                <w:b w:val="1"/>
                <w:bCs w:val="1"/>
                <w:color w:val="auto"/>
                <w:w w:val="97"/>
              </w:rPr>
              <w:t>Hedged instrument</w:t>
            </w:r>
          </w:p>
        </w:tc>
      </w:tr>
      <w:tr>
        <w:trPr>
          <w:trHeight w:val="114"/>
        </w:trPr>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9"/>
                <w:szCs w:val="9"/>
                <w:color w:val="auto"/>
                <w:w w:val="88"/>
              </w:rPr>
              <w:t>US$(000)</w:t>
            </w:r>
          </w:p>
        </w:tc>
        <w:tc>
          <w:tcPr>
            <w:tcW w:w="80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9"/>
                <w:szCs w:val="9"/>
                <w:color w:val="auto"/>
                <w:w w:val="93"/>
              </w:rPr>
              <w:t>US$(000)</w:t>
            </w: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82"/>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85"/>
        </w:trPr>
        <w:tc>
          <w:tcPr>
            <w:tcW w:w="1260" w:type="dxa"/>
            <w:vAlign w:val="bottom"/>
            <w:shd w:val="clear" w:color="auto" w:fill="CCFFCC"/>
          </w:tcPr>
          <w:p>
            <w:pPr>
              <w:spacing w:after="0" w:line="86" w:lineRule="exact"/>
              <w:rPr>
                <w:sz w:val="20"/>
                <w:szCs w:val="20"/>
                <w:color w:val="auto"/>
              </w:rPr>
            </w:pPr>
            <w:r>
              <w:rPr>
                <w:rFonts w:ascii="Arial" w:cs="Arial" w:eastAsia="Arial" w:hAnsi="Arial"/>
                <w:sz w:val="9"/>
                <w:szCs w:val="9"/>
                <w:b w:val="1"/>
                <w:bCs w:val="1"/>
                <w:color w:val="auto"/>
                <w:w w:val="97"/>
              </w:rPr>
              <w:t>Derivatives held for trading (i)</w:t>
            </w: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4"/>
        </w:trPr>
        <w:tc>
          <w:tcPr>
            <w:tcW w:w="1260" w:type="dxa"/>
            <w:vAlign w:val="bottom"/>
            <w:shd w:val="clear" w:color="auto" w:fill="CCFFCC"/>
          </w:tcPr>
          <w:p>
            <w:pPr>
              <w:ind w:left="120"/>
              <w:spacing w:after="0"/>
              <w:rPr>
                <w:sz w:val="20"/>
                <w:szCs w:val="20"/>
                <w:color w:val="auto"/>
              </w:rPr>
            </w:pPr>
            <w:r>
              <w:rPr>
                <w:rFonts w:ascii="Arial" w:cs="Arial" w:eastAsia="Arial" w:hAnsi="Arial"/>
                <w:sz w:val="9"/>
                <w:szCs w:val="9"/>
                <w:b w:val="1"/>
                <w:bCs w:val="1"/>
                <w:color w:val="auto"/>
              </w:rPr>
              <w:t>-</w:t>
            </w: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2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r>
      <w:tr>
        <w:trPr>
          <w:trHeight w:val="87"/>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ind w:left="100"/>
              <w:spacing w:after="0" w:line="88" w:lineRule="exact"/>
              <w:rPr>
                <w:sz w:val="20"/>
                <w:szCs w:val="20"/>
                <w:color w:val="auto"/>
              </w:rPr>
            </w:pPr>
            <w:r>
              <w:rPr>
                <w:rFonts w:ascii="Arial" w:cs="Arial" w:eastAsia="Arial" w:hAnsi="Arial"/>
                <w:sz w:val="9"/>
                <w:szCs w:val="9"/>
                <w:color w:val="auto"/>
                <w:w w:val="88"/>
              </w:rPr>
              <w:t>Between January and December</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02"/>
        </w:trPr>
        <w:tc>
          <w:tcPr>
            <w:tcW w:w="1260" w:type="dxa"/>
            <w:vAlign w:val="bottom"/>
          </w:tcPr>
          <w:p>
            <w:pPr>
              <w:spacing w:after="0" w:line="102" w:lineRule="exact"/>
              <w:rPr>
                <w:sz w:val="20"/>
                <w:szCs w:val="20"/>
                <w:color w:val="auto"/>
              </w:rPr>
            </w:pPr>
            <w:r>
              <w:rPr>
                <w:rFonts w:ascii="Arial" w:cs="Arial" w:eastAsia="Arial" w:hAnsi="Arial"/>
                <w:sz w:val="9"/>
                <w:szCs w:val="9"/>
                <w:color w:val="auto"/>
              </w:rPr>
              <w:t>Forward exchange contracts</w:t>
            </w:r>
          </w:p>
        </w:tc>
        <w:tc>
          <w:tcPr>
            <w:tcW w:w="64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21,135</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28,672</w:t>
            </w:r>
          </w:p>
        </w:tc>
        <w:tc>
          <w:tcPr>
            <w:tcW w:w="580" w:type="dxa"/>
            <w:vAlign w:val="bottom"/>
          </w:tcPr>
          <w:p>
            <w:pPr>
              <w:jc w:val="right"/>
              <w:spacing w:after="0" w:line="102" w:lineRule="exact"/>
              <w:rPr>
                <w:sz w:val="20"/>
                <w:szCs w:val="20"/>
                <w:color w:val="auto"/>
              </w:rPr>
            </w:pPr>
            <w:r>
              <w:rPr>
                <w:rFonts w:ascii="Arial" w:cs="Arial" w:eastAsia="Arial" w:hAnsi="Arial"/>
                <w:sz w:val="9"/>
                <w:szCs w:val="9"/>
                <w:color w:val="auto"/>
              </w:rPr>
              <w:t>3,473,264</w:t>
            </w:r>
          </w:p>
        </w:tc>
        <w:tc>
          <w:tcPr>
            <w:tcW w:w="80" w:type="dxa"/>
            <w:vAlign w:val="bottom"/>
          </w:tcPr>
          <w:p>
            <w:pPr>
              <w:spacing w:after="0"/>
              <w:rPr>
                <w:sz w:val="8"/>
                <w:szCs w:val="8"/>
                <w:color w:val="auto"/>
              </w:rPr>
            </w:pP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2012</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17,400</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10,640</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2,628,195</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December 2012</w:t>
            </w:r>
          </w:p>
        </w:tc>
        <w:tc>
          <w:tcPr>
            <w:tcW w:w="9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March 2012 and</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90"/>
              </w:rPr>
              <w:t>Between August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w:t>
            </w:r>
          </w:p>
        </w:tc>
        <w:tc>
          <w:tcPr>
            <w:tcW w:w="640" w:type="dxa"/>
            <w:vAlign w:val="bottom"/>
            <w:shd w:val="clear" w:color="auto" w:fill="CCFFCC"/>
          </w:tcPr>
          <w:p>
            <w:pPr>
              <w:spacing w:after="0"/>
              <w:rPr>
                <w:sz w:val="8"/>
                <w:szCs w:val="8"/>
                <w:color w:val="auto"/>
              </w:rPr>
            </w:pP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31,220</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31,203</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697,436</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December 2022</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29,807</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32,307</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699,800</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August 2022</w:t>
            </w:r>
          </w:p>
        </w:tc>
        <w:tc>
          <w:tcPr>
            <w:tcW w:w="96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ind w:left="100"/>
              <w:spacing w:after="0" w:line="88" w:lineRule="exact"/>
              <w:rPr>
                <w:sz w:val="20"/>
                <w:szCs w:val="20"/>
                <w:color w:val="auto"/>
              </w:rPr>
            </w:pPr>
            <w:r>
              <w:rPr>
                <w:rFonts w:ascii="Arial" w:cs="Arial" w:eastAsia="Arial" w:hAnsi="Arial"/>
                <w:sz w:val="9"/>
                <w:szCs w:val="9"/>
                <w:color w:val="auto"/>
              </w:rPr>
              <w:t>Between January 2012 and</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ind w:left="100"/>
              <w:spacing w:after="0" w:line="88" w:lineRule="exact"/>
              <w:rPr>
                <w:sz w:val="20"/>
                <w:szCs w:val="20"/>
                <w:color w:val="auto"/>
              </w:rPr>
            </w:pPr>
            <w:r>
              <w:rPr>
                <w:rFonts w:ascii="Arial" w:cs="Arial" w:eastAsia="Arial" w:hAnsi="Arial"/>
                <w:sz w:val="9"/>
                <w:szCs w:val="9"/>
                <w:color w:val="auto"/>
                <w:w w:val="93"/>
              </w:rPr>
              <w:t>Between March 2011 and</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02"/>
        </w:trPr>
        <w:tc>
          <w:tcPr>
            <w:tcW w:w="1260" w:type="dxa"/>
            <w:vAlign w:val="bottom"/>
          </w:tcPr>
          <w:p>
            <w:pPr>
              <w:spacing w:after="0" w:line="102" w:lineRule="exact"/>
              <w:rPr>
                <w:sz w:val="20"/>
                <w:szCs w:val="20"/>
                <w:color w:val="auto"/>
              </w:rPr>
            </w:pPr>
            <w:r>
              <w:rPr>
                <w:rFonts w:ascii="Arial" w:cs="Arial" w:eastAsia="Arial" w:hAnsi="Arial"/>
                <w:sz w:val="9"/>
                <w:szCs w:val="9"/>
                <w:color w:val="auto"/>
              </w:rPr>
              <w:t>Currency swaps</w:t>
            </w:r>
          </w:p>
        </w:tc>
        <w:tc>
          <w:tcPr>
            <w:tcW w:w="64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18,093</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9,587</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312,975</w:t>
            </w: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September 2022</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17,334</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12,532</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463,104</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September 2022</w:t>
            </w:r>
          </w:p>
        </w:tc>
        <w:tc>
          <w:tcPr>
            <w:tcW w:w="9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8"/>
              </w:rPr>
              <w:t>Between January and December</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Options</w:t>
            </w:r>
          </w:p>
        </w:tc>
        <w:tc>
          <w:tcPr>
            <w:tcW w:w="640" w:type="dxa"/>
            <w:vAlign w:val="bottom"/>
            <w:shd w:val="clear" w:color="auto" w:fill="CCFFCC"/>
          </w:tcPr>
          <w:p>
            <w:pPr>
              <w:spacing w:after="0"/>
              <w:rPr>
                <w:sz w:val="8"/>
                <w:szCs w:val="8"/>
                <w:color w:val="auto"/>
              </w:rPr>
            </w:pP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206</w:t>
            </w:r>
          </w:p>
        </w:tc>
        <w:tc>
          <w:tcPr>
            <w:tcW w:w="6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801</w:t>
            </w:r>
          </w:p>
        </w:tc>
        <w:tc>
          <w:tcPr>
            <w:tcW w:w="200" w:type="dxa"/>
            <w:vAlign w:val="bottom"/>
            <w:shd w:val="clear" w:color="auto" w:fill="CCFFCC"/>
          </w:tcPr>
          <w:p>
            <w:pPr>
              <w:spacing w:after="0"/>
              <w:rPr>
                <w:sz w:val="8"/>
                <w:szCs w:val="8"/>
                <w:color w:val="auto"/>
              </w:rPr>
            </w:pP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64,184</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2012</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549</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309</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103,616</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May 2012</w:t>
            </w:r>
          </w:p>
        </w:tc>
        <w:tc>
          <w:tcPr>
            <w:tcW w:w="96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r>
      <w:tr>
        <w:trPr>
          <w:trHeight w:val="95"/>
        </w:trPr>
        <w:tc>
          <w:tcPr>
            <w:tcW w:w="1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5"/>
        </w:trPr>
        <w:tc>
          <w:tcPr>
            <w:tcW w:w="1260" w:type="dxa"/>
            <w:vAlign w:val="bottom"/>
            <w:shd w:val="clear" w:color="auto" w:fill="CCFFCC"/>
          </w:tcPr>
          <w:p>
            <w:pPr>
              <w:spacing w:after="0" w:line="95" w:lineRule="exact"/>
              <w:rPr>
                <w:sz w:val="20"/>
                <w:szCs w:val="20"/>
                <w:color w:val="auto"/>
              </w:rPr>
            </w:pPr>
            <w:r>
              <w:rPr>
                <w:rFonts w:ascii="Arial" w:cs="Arial" w:eastAsia="Arial" w:hAnsi="Arial"/>
                <w:sz w:val="9"/>
                <w:szCs w:val="9"/>
                <w:b w:val="1"/>
                <w:bCs w:val="1"/>
                <w:color w:val="auto"/>
              </w:rPr>
              <w:t>Derivatives held as hedges -</w:t>
            </w:r>
          </w:p>
        </w:tc>
        <w:tc>
          <w:tcPr>
            <w:tcW w:w="64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2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0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b w:val="1"/>
                <w:bCs w:val="1"/>
                <w:color w:val="auto"/>
              </w:rPr>
              <w:t>Cash flow hedges (ii):</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October 2012 and</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98"/>
              </w:rPr>
              <w:t>13(a)(i)(*)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534</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3,200</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500,000</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March 2014</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Due to Banks</w:t>
            </w: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color w:val="auto"/>
              </w:rPr>
              <w:t>Interest rate swaps (IRS)</w:t>
            </w:r>
          </w:p>
        </w:tc>
        <w:tc>
          <w:tcPr>
            <w:tcW w:w="640" w:type="dxa"/>
            <w:vAlign w:val="bottom"/>
          </w:tcPr>
          <w:p>
            <w:pPr>
              <w:jc w:val="center"/>
              <w:ind w:right="15"/>
              <w:spacing w:after="0" w:line="95" w:lineRule="exact"/>
              <w:rPr>
                <w:sz w:val="20"/>
                <w:szCs w:val="20"/>
                <w:color w:val="auto"/>
              </w:rPr>
            </w:pPr>
            <w:r>
              <w:rPr>
                <w:rFonts w:ascii="Arial" w:cs="Arial" w:eastAsia="Arial" w:hAnsi="Arial"/>
                <w:sz w:val="9"/>
                <w:szCs w:val="9"/>
                <w:color w:val="auto"/>
                <w:w w:val="98"/>
              </w:rPr>
              <w:t>13(a)(i)(*)</w:t>
            </w:r>
          </w:p>
        </w:tc>
        <w:tc>
          <w:tcPr>
            <w:tcW w:w="8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2,159</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136,667</w:t>
            </w: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March 2011</w:t>
            </w:r>
          </w:p>
        </w:tc>
        <w:tc>
          <w:tcPr>
            <w:tcW w:w="960" w:type="dxa"/>
            <w:vAlign w:val="bottom"/>
            <w:gridSpan w:val="2"/>
          </w:tcPr>
          <w:p>
            <w:pPr>
              <w:ind w:left="80"/>
              <w:spacing w:after="0" w:line="95" w:lineRule="exact"/>
              <w:rPr>
                <w:sz w:val="20"/>
                <w:szCs w:val="20"/>
                <w:color w:val="auto"/>
              </w:rPr>
            </w:pPr>
            <w:r>
              <w:rPr>
                <w:rFonts w:ascii="Arial" w:cs="Arial" w:eastAsia="Arial" w:hAnsi="Arial"/>
                <w:sz w:val="9"/>
                <w:szCs w:val="9"/>
                <w:color w:val="auto"/>
              </w:rPr>
              <w:t>Due to banks</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8"/>
              </w:rPr>
              <w:t>Between January 2012 and June</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35"/>
              <w:spacing w:after="0" w:line="102" w:lineRule="exact"/>
              <w:rPr>
                <w:sz w:val="20"/>
                <w:szCs w:val="20"/>
                <w:color w:val="auto"/>
              </w:rPr>
            </w:pPr>
            <w:r>
              <w:rPr>
                <w:rFonts w:ascii="Arial" w:cs="Arial" w:eastAsia="Arial" w:hAnsi="Arial"/>
                <w:sz w:val="9"/>
                <w:szCs w:val="9"/>
                <w:color w:val="auto"/>
                <w:w w:val="95"/>
              </w:rPr>
              <w:t>15(a)(vi)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62,601</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687,673</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2017</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70,495</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863,005</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June 2017</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w w:val="99"/>
              </w:rPr>
              <w:t>Secured notes issued</w:t>
            </w: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color w:val="auto"/>
              </w:rPr>
              <w:t>Cross currency swaps (CCS)</w:t>
            </w:r>
          </w:p>
        </w:tc>
        <w:tc>
          <w:tcPr>
            <w:tcW w:w="640" w:type="dxa"/>
            <w:vAlign w:val="bottom"/>
          </w:tcPr>
          <w:p>
            <w:pPr>
              <w:jc w:val="center"/>
              <w:ind w:right="15"/>
              <w:spacing w:after="0" w:line="95" w:lineRule="exact"/>
              <w:rPr>
                <w:sz w:val="20"/>
                <w:szCs w:val="20"/>
                <w:color w:val="auto"/>
              </w:rPr>
            </w:pPr>
            <w:r>
              <w:rPr>
                <w:rFonts w:ascii="Arial" w:cs="Arial" w:eastAsia="Arial" w:hAnsi="Arial"/>
                <w:sz w:val="9"/>
                <w:szCs w:val="9"/>
                <w:color w:val="auto"/>
                <w:w w:val="96"/>
              </w:rPr>
              <w:t>15(a)(ii)</w:t>
            </w:r>
          </w:p>
        </w:tc>
        <w:tc>
          <w:tcPr>
            <w:tcW w:w="8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2,411</w:t>
            </w: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115,433</w:t>
            </w: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rPr>
              <w:t>October 2014</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11,842</w:t>
            </w:r>
          </w:p>
        </w:tc>
        <w:tc>
          <w:tcPr>
            <w:tcW w:w="78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123,862</w:t>
            </w: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October 2014</w:t>
            </w:r>
          </w:p>
        </w:tc>
        <w:tc>
          <w:tcPr>
            <w:tcW w:w="960" w:type="dxa"/>
            <w:vAlign w:val="bottom"/>
            <w:gridSpan w:val="2"/>
          </w:tcPr>
          <w:p>
            <w:pPr>
              <w:ind w:left="80"/>
              <w:spacing w:after="0" w:line="95" w:lineRule="exact"/>
              <w:rPr>
                <w:sz w:val="20"/>
                <w:szCs w:val="20"/>
                <w:color w:val="auto"/>
              </w:rPr>
            </w:pPr>
            <w:r>
              <w:rPr>
                <w:rFonts w:ascii="Arial" w:cs="Arial" w:eastAsia="Arial" w:hAnsi="Arial"/>
                <w:sz w:val="9"/>
                <w:szCs w:val="9"/>
                <w:color w:val="auto"/>
              </w:rPr>
              <w:t>Bonds issued</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February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Cross currency swaps (CCS)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95"/>
              </w:rPr>
              <w:t>15(a)(vii)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396</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50</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15,687</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May 2011</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Bonds issued</w:t>
            </w:r>
          </w:p>
        </w:tc>
      </w:tr>
      <w:tr>
        <w:trPr>
          <w:trHeight w:val="87"/>
        </w:trPr>
        <w:tc>
          <w:tcPr>
            <w:tcW w:w="1260" w:type="dxa"/>
            <w:vAlign w:val="bottom"/>
          </w:tcPr>
          <w:p>
            <w:pPr>
              <w:spacing w:after="0" w:line="88" w:lineRule="exact"/>
              <w:rPr>
                <w:sz w:val="20"/>
                <w:szCs w:val="20"/>
                <w:color w:val="auto"/>
              </w:rPr>
            </w:pPr>
            <w:r>
              <w:rPr>
                <w:rFonts w:ascii="Arial" w:cs="Arial" w:eastAsia="Arial" w:hAnsi="Arial"/>
                <w:sz w:val="9"/>
                <w:szCs w:val="9"/>
                <w:color w:val="auto"/>
              </w:rPr>
              <w:t>Cross currency swaps and</w:t>
            </w: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95"/>
        </w:trPr>
        <w:tc>
          <w:tcPr>
            <w:tcW w:w="1260" w:type="dxa"/>
            <w:vAlign w:val="bottom"/>
          </w:tcPr>
          <w:p>
            <w:pPr>
              <w:ind w:left="120"/>
              <w:spacing w:after="0" w:line="95" w:lineRule="exact"/>
              <w:rPr>
                <w:sz w:val="20"/>
                <w:szCs w:val="20"/>
                <w:color w:val="auto"/>
              </w:rPr>
            </w:pPr>
            <w:r>
              <w:rPr>
                <w:rFonts w:ascii="Arial" w:cs="Arial" w:eastAsia="Arial" w:hAnsi="Arial"/>
                <w:sz w:val="9"/>
                <w:szCs w:val="9"/>
                <w:color w:val="auto"/>
                <w:w w:val="95"/>
              </w:rPr>
              <w:t>interest rate swaps (CCS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w w:val="93"/>
              </w:rPr>
              <w:t>Between June 2012 and March</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Between April 2011 and</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02"/>
        </w:trPr>
        <w:tc>
          <w:tcPr>
            <w:tcW w:w="1260" w:type="dxa"/>
            <w:vAlign w:val="bottom"/>
          </w:tcPr>
          <w:p>
            <w:pPr>
              <w:ind w:left="120"/>
              <w:spacing w:after="0" w:line="102" w:lineRule="exact"/>
              <w:rPr>
                <w:sz w:val="20"/>
                <w:szCs w:val="20"/>
                <w:color w:val="auto"/>
              </w:rPr>
            </w:pPr>
            <w:r>
              <w:rPr>
                <w:rFonts w:ascii="Arial" w:cs="Arial" w:eastAsia="Arial" w:hAnsi="Arial"/>
                <w:sz w:val="9"/>
                <w:szCs w:val="9"/>
                <w:color w:val="auto"/>
              </w:rPr>
              <w:t>IRS)</w:t>
            </w:r>
          </w:p>
        </w:tc>
        <w:tc>
          <w:tcPr>
            <w:tcW w:w="640" w:type="dxa"/>
            <w:vAlign w:val="bottom"/>
          </w:tcPr>
          <w:p>
            <w:pPr>
              <w:jc w:val="center"/>
              <w:ind w:right="15"/>
              <w:spacing w:after="0" w:line="102" w:lineRule="exact"/>
              <w:rPr>
                <w:sz w:val="20"/>
                <w:szCs w:val="20"/>
                <w:color w:val="auto"/>
              </w:rPr>
            </w:pPr>
            <w:r>
              <w:rPr>
                <w:rFonts w:ascii="Arial" w:cs="Arial" w:eastAsia="Arial" w:hAnsi="Arial"/>
                <w:sz w:val="9"/>
                <w:szCs w:val="9"/>
                <w:color w:val="auto"/>
                <w:w w:val="89"/>
              </w:rPr>
              <w:t>15(a)(i)</w:t>
            </w: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8,920</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3,651</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82,226</w:t>
            </w: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2015</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7,617</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5,029</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113,362</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March 2015</w:t>
            </w:r>
          </w:p>
        </w:tc>
        <w:tc>
          <w:tcPr>
            <w:tcW w:w="960" w:type="dxa"/>
            <w:vAlign w:val="bottom"/>
            <w:gridSpan w:val="2"/>
          </w:tcPr>
          <w:p>
            <w:pPr>
              <w:ind w:left="80"/>
              <w:spacing w:after="0" w:line="102" w:lineRule="exact"/>
              <w:rPr>
                <w:sz w:val="20"/>
                <w:szCs w:val="20"/>
                <w:color w:val="auto"/>
              </w:rPr>
            </w:pPr>
            <w:r>
              <w:rPr>
                <w:rFonts w:ascii="Arial" w:cs="Arial" w:eastAsia="Arial" w:hAnsi="Arial"/>
                <w:sz w:val="9"/>
                <w:szCs w:val="9"/>
                <w:color w:val="auto"/>
              </w:rPr>
              <w:t>Bonds issued</w:t>
            </w:r>
          </w:p>
        </w:tc>
      </w:tr>
      <w:tr>
        <w:trPr>
          <w:trHeight w:val="95"/>
        </w:trPr>
        <w:tc>
          <w:tcPr>
            <w:tcW w:w="1260" w:type="dxa"/>
            <w:vAlign w:val="bottom"/>
            <w:shd w:val="clear" w:color="auto" w:fill="CCFFCC"/>
          </w:tcPr>
          <w:p>
            <w:pPr>
              <w:spacing w:after="0"/>
              <w:rPr>
                <w:sz w:val="8"/>
                <w:szCs w:val="8"/>
                <w:color w:val="auto"/>
              </w:rPr>
            </w:pPr>
          </w:p>
        </w:tc>
        <w:tc>
          <w:tcPr>
            <w:tcW w:w="64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2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0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b w:val="1"/>
                <w:bCs w:val="1"/>
                <w:color w:val="auto"/>
              </w:rPr>
              <w:t>Fair value hedges:</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99"/>
              </w:rPr>
              <w:t>Between May 2012 and June</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May 2011 and</w:t>
            </w:r>
          </w:p>
        </w:tc>
        <w:tc>
          <w:tcPr>
            <w:tcW w:w="960" w:type="dxa"/>
            <w:vAlign w:val="bottom"/>
            <w:gridSpan w:val="2"/>
            <w:shd w:val="clear" w:color="auto" w:fill="CCFFCC"/>
          </w:tcPr>
          <w:p>
            <w:pPr>
              <w:ind w:left="80"/>
              <w:spacing w:after="0" w:line="88" w:lineRule="exact"/>
              <w:rPr>
                <w:sz w:val="20"/>
                <w:szCs w:val="20"/>
                <w:color w:val="auto"/>
              </w:rPr>
            </w:pPr>
            <w:r>
              <w:rPr>
                <w:rFonts w:ascii="Arial" w:cs="Arial" w:eastAsia="Arial" w:hAnsi="Arial"/>
                <w:sz w:val="9"/>
                <w:szCs w:val="9"/>
                <w:color w:val="auto"/>
                <w:w w:val="95"/>
              </w:rPr>
              <w:t>Investments available-</w:t>
            </w: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87"/>
              </w:rPr>
              <w:t>5(n)</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5,546</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54,049</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2019</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3,149</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54,560</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June 2019</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for-sale</w:t>
            </w:r>
          </w:p>
        </w:tc>
      </w:tr>
      <w:tr>
        <w:trPr>
          <w:trHeight w:val="88"/>
        </w:trPr>
        <w:tc>
          <w:tcPr>
            <w:tcW w:w="1260" w:type="dxa"/>
            <w:vAlign w:val="bottom"/>
            <w:tcBorders>
              <w:top w:val="single" w:sz="8" w:color="CCFFCC"/>
            </w:tcBorders>
          </w:tcPr>
          <w:p>
            <w:pPr>
              <w:spacing w:after="0"/>
              <w:rPr>
                <w:sz w:val="7"/>
                <w:szCs w:val="7"/>
                <w:color w:val="auto"/>
              </w:rPr>
            </w:pPr>
          </w:p>
        </w:tc>
        <w:tc>
          <w:tcPr>
            <w:tcW w:w="640" w:type="dxa"/>
            <w:vAlign w:val="bottom"/>
            <w:tcBorders>
              <w:top w:val="single" w:sz="8" w:color="CCFFCC"/>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1280" w:type="dxa"/>
            <w:vAlign w:val="bottom"/>
            <w:tcBorders>
              <w:top w:val="single" w:sz="8" w:color="CCFFCC"/>
            </w:tcBorders>
          </w:tcPr>
          <w:p>
            <w:pPr>
              <w:spacing w:after="0"/>
              <w:rPr>
                <w:sz w:val="7"/>
                <w:szCs w:val="7"/>
                <w:color w:val="auto"/>
              </w:rPr>
            </w:pPr>
          </w:p>
        </w:tc>
        <w:tc>
          <w:tcPr>
            <w:tcW w:w="1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1080" w:type="dxa"/>
            <w:vAlign w:val="bottom"/>
            <w:tcBorders>
              <w:top w:val="single" w:sz="8" w:color="CCFFCC"/>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880" w:type="dxa"/>
            <w:vAlign w:val="bottom"/>
            <w:tcBorders>
              <w:top w:val="single" w:sz="8" w:color="CCFFCC"/>
            </w:tcBorders>
          </w:tcPr>
          <w:p>
            <w:pPr>
              <w:spacing w:after="0"/>
              <w:rPr>
                <w:sz w:val="7"/>
                <w:szCs w:val="7"/>
                <w:color w:val="auto"/>
              </w:rPr>
            </w:pPr>
          </w:p>
        </w:tc>
      </w:tr>
      <w:tr>
        <w:trPr>
          <w:trHeight w:val="155"/>
        </w:trPr>
        <w:tc>
          <w:tcPr>
            <w:tcW w:w="126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9"/>
                <w:szCs w:val="9"/>
                <w:color w:val="auto"/>
              </w:rPr>
              <w:t>82,519</w:t>
            </w:r>
          </w:p>
        </w:tc>
        <w:tc>
          <w:tcPr>
            <w:tcW w:w="200" w:type="dxa"/>
            <w:vAlign w:val="bottom"/>
            <w:shd w:val="clear" w:color="auto" w:fill="CCFFCC"/>
          </w:tcPr>
          <w:p>
            <w:pPr>
              <w:spacing w:after="0"/>
              <w:rPr>
                <w:sz w:val="13"/>
                <w:szCs w:val="13"/>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9"/>
                <w:szCs w:val="9"/>
                <w:color w:val="auto"/>
              </w:rPr>
              <w:t>145,261</w:t>
            </w:r>
          </w:p>
        </w:tc>
        <w:tc>
          <w:tcPr>
            <w:tcW w:w="580" w:type="dxa"/>
            <w:vAlign w:val="bottom"/>
            <w:shd w:val="clear" w:color="auto" w:fill="CCFFCC"/>
          </w:tcPr>
          <w:p>
            <w:pPr>
              <w:jc w:val="right"/>
              <w:spacing w:after="0"/>
              <w:rPr>
                <w:sz w:val="20"/>
                <w:szCs w:val="20"/>
                <w:color w:val="auto"/>
              </w:rPr>
            </w:pPr>
            <w:r>
              <w:rPr>
                <w:rFonts w:ascii="Arial" w:cs="Arial" w:eastAsia="Arial" w:hAnsi="Arial"/>
                <w:sz w:val="9"/>
                <w:szCs w:val="9"/>
                <w:color w:val="auto"/>
              </w:rPr>
              <w:t>5,987,240</w:t>
            </w:r>
          </w:p>
        </w:tc>
        <w:tc>
          <w:tcPr>
            <w:tcW w:w="8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9"/>
                <w:szCs w:val="9"/>
                <w:color w:val="auto"/>
              </w:rPr>
              <w:t>84,945</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9"/>
                <w:szCs w:val="9"/>
                <w:color w:val="auto"/>
              </w:rPr>
              <w:t>136,670</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9"/>
                <w:szCs w:val="9"/>
                <w:color w:val="auto"/>
              </w:rPr>
              <w:t>5,201,858</w:t>
            </w:r>
          </w:p>
        </w:tc>
        <w:tc>
          <w:tcPr>
            <w:tcW w:w="10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r>
      <w:tr>
        <w:trPr>
          <w:trHeight w:val="20"/>
        </w:trPr>
        <w:tc>
          <w:tcPr>
            <w:tcW w:w="12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540" w:right="180" w:hanging="492"/>
        <w:spacing w:after="0" w:line="264" w:lineRule="auto"/>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Derivatives held for trading are principally negotiated to satisfy client’s needs. The Group may also take positions with the expectation of profiting from favorable movements in prices, rates or indexes. Also, this caption includes any derivatives which does not comply IAS 39 hedging accounting requirements.</w:t>
      </w:r>
    </w:p>
    <w:p>
      <w:pPr>
        <w:spacing w:after="0" w:line="181" w:lineRule="exact"/>
        <w:rPr>
          <w:rFonts w:ascii="Arial" w:cs="Arial" w:eastAsia="Arial" w:hAnsi="Arial"/>
          <w:sz w:val="18"/>
          <w:szCs w:val="18"/>
          <w:color w:val="auto"/>
        </w:rPr>
      </w:pPr>
    </w:p>
    <w:p>
      <w:pPr>
        <w:ind w:left="1540" w:right="380" w:hanging="492"/>
        <w:spacing w:after="0" w:line="277" w:lineRule="auto"/>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liabilities in foreign currency and/or which bear interest variable rates. The Group uses derivatives financial instruments as cash flow hedges to cover these risks.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940"/>
        <w:spacing w:after="0" w:line="277" w:lineRule="auto"/>
        <w:rPr>
          <w:sz w:val="20"/>
          <w:szCs w:val="20"/>
          <w:color w:val="auto"/>
        </w:rPr>
      </w:pPr>
      <w:r>
        <w:rPr>
          <w:rFonts w:ascii="Arial" w:cs="Arial" w:eastAsia="Arial" w:hAnsi="Arial"/>
          <w:sz w:val="18"/>
          <w:szCs w:val="18"/>
          <w:color w:val="auto"/>
        </w:rPr>
        <w:t>A schedule indicating, as of December 31, 2011, the periods when the cash flow hedges are expected to occur and affect the consolidated statement of income, net of the deferred income tax is presented below:</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Up to 1 year</w:t>
            </w:r>
          </w:p>
        </w:tc>
        <w:tc>
          <w:tcPr>
            <w:tcW w:w="14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From 1 to 3 years</w:t>
            </w:r>
          </w:p>
        </w:tc>
        <w:tc>
          <w:tcPr>
            <w:tcW w:w="13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From 3 to 5 years</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Over 5 years</w:t>
            </w:r>
          </w:p>
        </w:tc>
      </w:tr>
      <w:tr>
        <w:trPr>
          <w:trHeight w:val="160"/>
        </w:trPr>
        <w:tc>
          <w:tcPr>
            <w:tcW w:w="384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US$(000)</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US$(000)</w:t>
            </w:r>
          </w:p>
        </w:tc>
        <w:tc>
          <w:tcPr>
            <w:tcW w:w="1380" w:type="dxa"/>
            <w:vAlign w:val="bottom"/>
            <w:gridSpan w:val="2"/>
          </w:tcPr>
          <w:p>
            <w:pPr>
              <w:jc w:val="right"/>
              <w:ind w:right="520"/>
              <w:spacing w:after="0"/>
              <w:rPr>
                <w:sz w:val="20"/>
                <w:szCs w:val="20"/>
                <w:color w:val="auto"/>
              </w:rPr>
            </w:pPr>
            <w:r>
              <w:rPr>
                <w:rFonts w:ascii="Arial" w:cs="Arial" w:eastAsia="Arial" w:hAnsi="Arial"/>
                <w:sz w:val="13"/>
                <w:szCs w:val="13"/>
                <w:color w:val="auto"/>
              </w:rPr>
              <w:t>US$(000)</w:t>
            </w: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r>
      <w:tr>
        <w:trPr>
          <w:trHeight w:val="124"/>
        </w:trPr>
        <w:tc>
          <w:tcPr>
            <w:tcW w:w="3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3840" w:type="dxa"/>
            <w:vAlign w:val="bottom"/>
            <w:shd w:val="clear" w:color="auto" w:fill="CCFFCC"/>
          </w:tcPr>
          <w:p>
            <w:pPr>
              <w:spacing w:after="0"/>
              <w:rPr>
                <w:sz w:val="20"/>
                <w:szCs w:val="20"/>
                <w:color w:val="auto"/>
              </w:rPr>
            </w:pPr>
            <w:r>
              <w:rPr>
                <w:rFonts w:ascii="Arial" w:cs="Arial" w:eastAsia="Arial" w:hAnsi="Arial"/>
                <w:sz w:val="13"/>
                <w:szCs w:val="13"/>
                <w:color w:val="auto"/>
              </w:rPr>
              <w:t>Cash outflows (liabilities)</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(266,191)</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(737,441)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(80,653)</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(932)</w:t>
            </w:r>
          </w:p>
        </w:tc>
      </w:tr>
      <w:tr>
        <w:trPr>
          <w:trHeight w:val="197"/>
        </w:trPr>
        <w:tc>
          <w:tcPr>
            <w:tcW w:w="384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r>
      <w:tr>
        <w:trPr>
          <w:trHeight w:val="196"/>
        </w:trPr>
        <w:tc>
          <w:tcPr>
            <w:tcW w:w="38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Consolidated statement of income</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(19,274)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(35,763)</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(10,042)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(524)</w:t>
            </w:r>
          </w:p>
        </w:tc>
      </w:tr>
      <w:tr>
        <w:trPr>
          <w:trHeight w:val="20"/>
        </w:trPr>
        <w:tc>
          <w:tcPr>
            <w:tcW w:w="384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540" w:right="40"/>
        <w:spacing w:after="0" w:line="257" w:lineRule="auto"/>
        <w:rPr>
          <w:sz w:val="20"/>
          <w:szCs w:val="20"/>
          <w:color w:val="auto"/>
        </w:rPr>
      </w:pPr>
      <w:r>
        <w:rPr>
          <w:rFonts w:ascii="Arial" w:cs="Arial" w:eastAsia="Arial" w:hAnsi="Arial"/>
          <w:sz w:val="18"/>
          <w:szCs w:val="18"/>
          <w:color w:val="auto"/>
        </w:rPr>
        <w:t>As of December 31, 2011, the accumulated balance of unrealized loss on cash flow hedges recorded as other comprehensive income in the caption “Cash flow hedges reserve”, results from the current hedges (unrealized loss for approximately US$65.6 million) and the terminated hedge in 2009 (unrealized gain for approximately US$10.4 million) which is being recognized over the maturity of the underlying financial instrument, see Note 15(a)(iv). Likewise, the transfer of net loss on cash flow hedges to the consolidated statements of income is presented in Note 16(c).</w:t>
      </w:r>
    </w:p>
    <w:p>
      <w:pPr>
        <w:spacing w:after="0" w:line="188" w:lineRule="exact"/>
        <w:rPr>
          <w:sz w:val="20"/>
          <w:szCs w:val="20"/>
          <w:color w:val="auto"/>
        </w:rPr>
      </w:pPr>
    </w:p>
    <w:p>
      <w:pPr>
        <w:ind w:left="1000" w:right="340" w:hanging="492"/>
        <w:spacing w:after="0" w:line="286"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165" w:lineRule="exact"/>
        <w:rPr>
          <w:rFonts w:ascii="Arial" w:cs="Arial" w:eastAsia="Arial" w:hAnsi="Arial"/>
          <w:sz w:val="17"/>
          <w:szCs w:val="17"/>
          <w:color w:val="auto"/>
        </w:rPr>
      </w:pPr>
    </w:p>
    <w:p>
      <w:pPr>
        <w:ind w:left="1000" w:hanging="492"/>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December 31, 2011, 2010 and 2009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60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60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19,425</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27,225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47,512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Provision, Note 24</w:t>
            </w:r>
          </w:p>
        </w:tc>
        <w:tc>
          <w:tcPr>
            <w:tcW w:w="1080" w:type="dxa"/>
            <w:vAlign w:val="bottom"/>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8,440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14,425</w:t>
            </w: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private hospitals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4,044</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Decreases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(16,240)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(34,712)</w:t>
            </w:r>
          </w:p>
        </w:tc>
      </w:tr>
      <w:tr>
        <w:trPr>
          <w:trHeight w:val="210"/>
        </w:trPr>
        <w:tc>
          <w:tcPr>
            <w:tcW w:w="602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29,009</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19,425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27,225</w:t>
            </w:r>
          </w:p>
        </w:tc>
      </w:tr>
      <w:tr>
        <w:trPr>
          <w:trHeight w:val="20"/>
        </w:trPr>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legal claims against the Group which have not been provided for, in Management’s and its legal advisor’s opinion, they will not have a material effect on the Group’s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40" w:hanging="492"/>
        <w:spacing w:after="0" w:line="264" w:lineRule="auto"/>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As of December 31, 2011, it corresponds to restricted funds related to repurchase agreements (Note 5(o)) and derivative transactions amounting to US$82.8 million and US$7.3 million, respectively (as of December 31, 2010, it corresponds to restricted funds related to repurchase agreements, see Note 5(o)). Repurchase agreements mature on June 2012.</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6,614,487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5,581,392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Saving deposits</w:t>
            </w:r>
          </w:p>
        </w:tc>
        <w:tc>
          <w:tcPr>
            <w:tcW w:w="1060" w:type="dxa"/>
            <w:vAlign w:val="bottom"/>
          </w:tcPr>
          <w:p>
            <w:pPr>
              <w:jc w:val="right"/>
              <w:spacing w:after="0"/>
              <w:rPr>
                <w:sz w:val="20"/>
                <w:szCs w:val="20"/>
                <w:color w:val="auto"/>
              </w:rPr>
            </w:pPr>
            <w:r>
              <w:rPr>
                <w:rFonts w:ascii="Arial" w:cs="Arial" w:eastAsia="Arial" w:hAnsi="Arial"/>
                <w:sz w:val="18"/>
                <w:szCs w:val="18"/>
                <w:color w:val="auto"/>
              </w:rPr>
              <w:t>5,096,509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4,244,750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Time deposits (c)</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6,464,769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060" w:type="dxa"/>
            <w:vAlign w:val="bottom"/>
          </w:tcPr>
          <w:p>
            <w:pPr>
              <w:jc w:val="right"/>
              <w:spacing w:after="0"/>
              <w:rPr>
                <w:sz w:val="20"/>
                <w:szCs w:val="20"/>
                <w:color w:val="auto"/>
              </w:rPr>
            </w:pPr>
            <w:r>
              <w:rPr>
                <w:rFonts w:ascii="Arial" w:cs="Arial" w:eastAsia="Arial" w:hAnsi="Arial"/>
                <w:sz w:val="18"/>
                <w:szCs w:val="18"/>
                <w:color w:val="auto"/>
              </w:rPr>
              <w:t>1,757,124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1,313,122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Bank’s negotiable certificates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136,338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163,681</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18,643,999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17,767,714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59,848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50,404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18,703,847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17,818,118</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right="14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those accounts; on the other hand, according to such policy, balances that are lower than a specified amount for each type of account, do not bear interest. Also, time deposits earn interest at market rates.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Interest rates are determined by the Group considering interest rates prevailing in the market in which each of the Group’s subsidiaries operates.</w:t>
      </w:r>
    </w:p>
    <w:p>
      <w:pPr>
        <w:spacing w:after="0" w:line="248" w:lineRule="exact"/>
        <w:rPr>
          <w:sz w:val="20"/>
          <w:szCs w:val="20"/>
          <w:color w:val="auto"/>
        </w:rPr>
      </w:pPr>
    </w:p>
    <w:p>
      <w:pPr>
        <w:ind w:left="1000" w:hanging="492"/>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Non-interest</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In Peru</w:t>
            </w:r>
          </w:p>
        </w:tc>
        <w:tc>
          <w:tcPr>
            <w:tcW w:w="1060" w:type="dxa"/>
            <w:vAlign w:val="bottom"/>
          </w:tcPr>
          <w:p>
            <w:pPr>
              <w:jc w:val="right"/>
              <w:spacing w:after="0"/>
              <w:rPr>
                <w:sz w:val="20"/>
                <w:szCs w:val="20"/>
                <w:color w:val="auto"/>
              </w:rPr>
            </w:pPr>
            <w:r>
              <w:rPr>
                <w:rFonts w:ascii="Arial" w:cs="Arial" w:eastAsia="Arial" w:hAnsi="Arial"/>
                <w:sz w:val="18"/>
                <w:szCs w:val="18"/>
                <w:color w:val="auto"/>
              </w:rPr>
              <w:t>4,645,607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3,745,788</w:t>
            </w:r>
          </w:p>
        </w:tc>
      </w:tr>
      <w:tr>
        <w:trPr>
          <w:trHeight w:val="216"/>
        </w:trPr>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 other countries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745,081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614,782</w:t>
            </w:r>
          </w:p>
        </w:tc>
      </w:tr>
      <w:tr>
        <w:trPr>
          <w:trHeight w:val="20"/>
        </w:trPr>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5,390,688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4,360,570</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Interest bearing</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 Peru</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12,363,772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12,386,046</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In other countries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889,539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1,021,098</w:t>
            </w:r>
          </w:p>
        </w:tc>
      </w:tr>
      <w:tr>
        <w:trPr>
          <w:trHeight w:val="20"/>
        </w:trPr>
        <w:tc>
          <w:tcPr>
            <w:tcW w:w="7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13,253,311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13,407,144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18,643,999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17,767,714</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3,163,777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5,239,027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60" w:type="dxa"/>
            <w:vAlign w:val="bottom"/>
          </w:tcPr>
          <w:p>
            <w:pPr>
              <w:jc w:val="right"/>
              <w:spacing w:after="0"/>
              <w:rPr>
                <w:sz w:val="20"/>
                <w:szCs w:val="20"/>
                <w:color w:val="auto"/>
              </w:rPr>
            </w:pPr>
            <w:r>
              <w:rPr>
                <w:rFonts w:ascii="Arial" w:cs="Arial" w:eastAsia="Arial" w:hAnsi="Arial"/>
                <w:sz w:val="18"/>
                <w:szCs w:val="18"/>
                <w:color w:val="auto"/>
              </w:rPr>
              <w:t>1,531,252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939,104</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293,393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244,426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42,212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50,001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6,464,769</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2011 and 2010, in Management’s opinion, the Group’s deposits and obligations are diversified with no significant concentrations.</w:t>
      </w:r>
    </w:p>
    <w:p>
      <w:pPr>
        <w:spacing w:after="0" w:line="248" w:lineRule="exact"/>
        <w:rPr>
          <w:sz w:val="20"/>
          <w:szCs w:val="20"/>
          <w:color w:val="auto"/>
        </w:rPr>
      </w:pPr>
    </w:p>
    <w:p>
      <w:pPr>
        <w:jc w:val="both"/>
        <w:ind w:left="520" w:right="60"/>
        <w:spacing w:after="0" w:line="264" w:lineRule="auto"/>
        <w:rPr>
          <w:sz w:val="20"/>
          <w:szCs w:val="20"/>
          <w:color w:val="auto"/>
        </w:rPr>
      </w:pPr>
      <w:r>
        <w:rPr>
          <w:rFonts w:ascii="Arial" w:cs="Arial" w:eastAsia="Arial" w:hAnsi="Arial"/>
          <w:sz w:val="18"/>
          <w:szCs w:val="18"/>
          <w:color w:val="auto"/>
        </w:rPr>
        <w:t>As of December 31, 2011 and 2010, approximately US$6,233.4 million and US$4,925.8 million, respectively of the deposits and obligations balances, are covered by the Peruvian “Fondo de Seguro de Depósitos” (Deposit Insurance Fund). At those dates, the “Fondo de Seguro de Depósitos” covered up to US$33,984.1 and US$30,542.2,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900" w:type="dxa"/>
            <w:vAlign w:val="bottom"/>
            <w:gridSpan w:val="3"/>
          </w:tcPr>
          <w:p>
            <w:pPr>
              <w:ind w:left="80"/>
              <w:spacing w:after="0"/>
              <w:rPr>
                <w:sz w:val="20"/>
                <w:szCs w:val="20"/>
                <w:color w:val="auto"/>
              </w:rPr>
            </w:pPr>
            <w:r>
              <w:rPr>
                <w:rFonts w:ascii="Arial" w:cs="Arial" w:eastAsia="Arial" w:hAnsi="Arial"/>
                <w:sz w:val="18"/>
                <w:szCs w:val="18"/>
                <w:b w:val="1"/>
                <w:bCs w:val="1"/>
                <w:color w:val="auto"/>
              </w:rPr>
              <w:t>Due to banks and correspondents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1,672,348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1,953,040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241,836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145,984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138,671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133,240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2,052,855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2,232,264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7,165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8,056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2,060,020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2,240,320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F-59</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This item is made up as follows: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loans (*)</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496,073</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482,750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China Development Shijiaz huang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148,875</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Wells Fargo &amp; Co.</w:t>
            </w:r>
          </w:p>
        </w:tc>
        <w:tc>
          <w:tcPr>
            <w:tcW w:w="1040" w:type="dxa"/>
            <w:vAlign w:val="bottom"/>
          </w:tcPr>
          <w:p>
            <w:pPr>
              <w:jc w:val="right"/>
              <w:spacing w:after="0"/>
              <w:rPr>
                <w:sz w:val="20"/>
                <w:szCs w:val="20"/>
                <w:color w:val="auto"/>
              </w:rPr>
            </w:pPr>
            <w:r>
              <w:rPr>
                <w:rFonts w:ascii="Arial" w:cs="Arial" w:eastAsia="Arial" w:hAnsi="Arial"/>
                <w:sz w:val="18"/>
                <w:szCs w:val="18"/>
                <w:color w:val="auto"/>
              </w:rPr>
              <w:t>144,998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Deutsche Bank AG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121,679</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43,449</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Bank of America N.A.</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95,645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94,968</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Toronto Dominion Bank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Bank of New York</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Cobank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47,903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Atlantic Private Placement Pool SPC</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Sumitomo Mitsui Banking Corp.</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 Bank</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100,721</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Banco Latinoamericano de Comercio de Panama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 Bank</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Mercantil Commercebank</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Commerzbank AG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127,207</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149,120</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1,672,348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1,953,040</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right="20" w:hanging="506"/>
        <w:spacing w:after="0" w:line="257" w:lineRule="auto"/>
        <w:tabs>
          <w:tab w:leader="none" w:pos="2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December 31, 2011, the balance includes two syndicated loans obtained from foreign financial entities in March 2011 and October 2010 amounting to US$150.0 million and US$350.0 million, respectively with maturity in March 2014 and October 2013, respectively, with interest payments every semester at Libor 6m+1.75 percent. During 2011, the syndicated loans, which are subject to variable interest rate risk, were hedged through IRS with the same maturities; as a result, the loans were economically converted to fix rate, see Note 11(b).</w:t>
      </w:r>
    </w:p>
    <w:p>
      <w:pPr>
        <w:spacing w:after="0" w:line="188" w:lineRule="exact"/>
        <w:rPr>
          <w:rFonts w:ascii="Arial" w:cs="Arial" w:eastAsia="Arial" w:hAnsi="Arial"/>
          <w:sz w:val="18"/>
          <w:szCs w:val="18"/>
          <w:color w:val="auto"/>
        </w:rPr>
      </w:pPr>
    </w:p>
    <w:p>
      <w:pPr>
        <w:ind w:left="2040"/>
        <w:spacing w:after="0" w:line="276" w:lineRule="auto"/>
        <w:rPr>
          <w:rFonts w:ascii="Arial" w:cs="Arial" w:eastAsia="Arial" w:hAnsi="Arial"/>
          <w:sz w:val="18"/>
          <w:szCs w:val="18"/>
          <w:color w:val="auto"/>
        </w:rPr>
      </w:pPr>
      <w:r>
        <w:rPr>
          <w:rFonts w:ascii="Arial" w:cs="Arial" w:eastAsia="Arial" w:hAnsi="Arial"/>
          <w:sz w:val="17"/>
          <w:szCs w:val="17"/>
          <w:color w:val="auto"/>
        </w:rPr>
        <w:t>As of December 31, 2010, the balance included two syndicated loans amounting to US$350.0 million and US$136.7 million, obtained from several foreign financial entities, with maturity in October 2013 and March 2011, and interest payment every semester at Libor 6M+1.75 percent and Libor 6M+0.75 percent, respectively. The syndicated loan amounting to US$136.7 million, subject to variable interest rate risk, was hedged through an IRS with the same maturities; as a result, it was economically converted to fix rate. Said derivative financial instrument expired in March 2011, see Note 11(b).</w:t>
      </w:r>
    </w:p>
    <w:p>
      <w:pPr>
        <w:spacing w:after="0" w:line="173" w:lineRule="exact"/>
        <w:rPr>
          <w:sz w:val="20"/>
          <w:szCs w:val="20"/>
          <w:color w:val="auto"/>
        </w:rPr>
      </w:pPr>
    </w:p>
    <w:p>
      <w:pPr>
        <w:ind w:left="1540" w:right="140"/>
        <w:spacing w:after="0" w:line="264" w:lineRule="auto"/>
        <w:rPr>
          <w:sz w:val="20"/>
          <w:szCs w:val="20"/>
          <w:color w:val="auto"/>
        </w:rPr>
      </w:pPr>
      <w:r>
        <w:rPr>
          <w:rFonts w:ascii="Arial" w:cs="Arial" w:eastAsia="Arial" w:hAnsi="Arial"/>
          <w:sz w:val="18"/>
          <w:szCs w:val="18"/>
          <w:color w:val="auto"/>
        </w:rPr>
        <w:t>As of December 31, 2011, these loans have maturities between January 2012 and February 2019 (between January 2011 and May 2019 as of December 31, 2010) and their annual interest rate is between 0.69 and 10.50 percent (between 0.02 and 12.00 percent as of December 31, 2010).</w:t>
      </w:r>
    </w:p>
    <w:p>
      <w:pPr>
        <w:spacing w:after="0" w:line="181" w:lineRule="exact"/>
        <w:rPr>
          <w:sz w:val="20"/>
          <w:szCs w:val="20"/>
          <w:color w:val="auto"/>
        </w:rPr>
      </w:pPr>
    </w:p>
    <w:p>
      <w:pPr>
        <w:ind w:left="1540" w:right="10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257" w:lineRule="auto"/>
        <w:tabs>
          <w:tab w:leader="none" w:pos="15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for its Spanish acronym) to promote the development of Peru, they have maturities between January 2012 and November 2031 and their annual interest rates are between 6.00 and 7.75 percent (between January 2011 and November 2030 and annual interest rate between 6.00 and 7.75 percent as of December 31, 2010). These credit lines are secured by a loan portfolio amounting to US$241.8 and US$146.0 million as of December 31, 2011 and 2010, respectively.</w:t>
      </w:r>
    </w:p>
    <w:p>
      <w:pPr>
        <w:spacing w:after="0" w:line="188" w:lineRule="exact"/>
        <w:rPr>
          <w:rFonts w:ascii="Arial" w:cs="Arial" w:eastAsia="Arial" w:hAnsi="Arial"/>
          <w:sz w:val="18"/>
          <w:szCs w:val="18"/>
          <w:color w:val="auto"/>
        </w:rPr>
      </w:pPr>
    </w:p>
    <w:p>
      <w:pPr>
        <w:jc w:val="both"/>
        <w:ind w:left="1540" w:right="140"/>
        <w:spacing w:after="0" w:line="264" w:lineRule="auto"/>
        <w:rPr>
          <w:rFonts w:ascii="Arial" w:cs="Arial" w:eastAsia="Arial" w:hAnsi="Arial"/>
          <w:sz w:val="18"/>
          <w:szCs w:val="18"/>
          <w:color w:val="auto"/>
        </w:rPr>
      </w:pPr>
      <w:r>
        <w:rPr>
          <w:rFonts w:ascii="Arial" w:cs="Arial" w:eastAsia="Arial" w:hAnsi="Arial"/>
          <w:sz w:val="18"/>
          <w:szCs w:val="18"/>
          <w:color w:val="auto"/>
        </w:rPr>
        <w:t>Promotional credit lines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181" w:lineRule="exact"/>
        <w:rPr>
          <w:rFonts w:ascii="Arial" w:cs="Arial" w:eastAsia="Arial" w:hAnsi="Arial"/>
          <w:sz w:val="18"/>
          <w:szCs w:val="18"/>
          <w:color w:val="auto"/>
        </w:rPr>
      </w:pPr>
    </w:p>
    <w:p>
      <w:pPr>
        <w:ind w:left="1000" w:right="360" w:hanging="492"/>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December 31, 2011 and 2010, maturities of due to banks and correspondents are shown below, based on the remaining period to the repayment date:</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585,211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943,797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458,685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469,682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731,912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712,034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199,575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41,427</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77,472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65,324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2,052,855</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2,232,264</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00" w:right="500" w:hanging="492"/>
        <w:spacing w:after="0" w:line="342"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of December 31, 2011 and 2010, credit lines granted by several local and foreign financial institutions, available for future operating activities or to settle capital commitments amounted to US$2,117.0 million (US$2,590.1 million as of December 31, 2010).</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4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Reserves for</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Technical</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Claims assumed</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reserves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100,940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901,175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1,002,115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insurance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111,901</w:t>
            </w:r>
          </w:p>
        </w:tc>
        <w:tc>
          <w:tcPr>
            <w:tcW w:w="126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186,470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299,507</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44,718</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31,951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76,676</w:t>
            </w:r>
          </w:p>
        </w:tc>
      </w:tr>
      <w:tr>
        <w:trPr>
          <w:trHeight w:val="210"/>
        </w:trPr>
        <w:tc>
          <w:tcPr>
            <w:tcW w:w="40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257,559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1,119,596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1,378,298</w:t>
            </w:r>
          </w:p>
        </w:tc>
      </w:tr>
      <w:tr>
        <w:trPr>
          <w:trHeight w:val="20"/>
        </w:trPr>
        <w:tc>
          <w:tcPr>
            <w:tcW w:w="40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4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Reserves for</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Technical</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Claims assumed</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reserves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84,919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758,807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843,726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insurance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126,649</w:t>
            </w:r>
          </w:p>
        </w:tc>
        <w:tc>
          <w:tcPr>
            <w:tcW w:w="1260" w:type="dxa"/>
            <w:vAlign w:val="bottom"/>
          </w:tcPr>
          <w:p>
            <w:pPr>
              <w:jc w:val="right"/>
              <w:spacing w:after="0"/>
              <w:rPr>
                <w:sz w:val="20"/>
                <w:szCs w:val="20"/>
                <w:color w:val="auto"/>
              </w:rPr>
            </w:pPr>
            <w:r>
              <w:rPr>
                <w:rFonts w:ascii="Arial" w:cs="Arial" w:eastAsia="Arial" w:hAnsi="Arial"/>
                <w:sz w:val="18"/>
                <w:szCs w:val="18"/>
                <w:color w:val="auto"/>
              </w:rPr>
              <w:t>1,063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156,808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284,520</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41,393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26,646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68,077</w:t>
            </w:r>
          </w:p>
        </w:tc>
      </w:tr>
      <w:tr>
        <w:trPr>
          <w:trHeight w:val="210"/>
        </w:trPr>
        <w:tc>
          <w:tcPr>
            <w:tcW w:w="40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252,961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942,261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1,196,323</w:t>
            </w:r>
          </w:p>
        </w:tc>
      </w:tr>
      <w:tr>
        <w:trPr>
          <w:trHeight w:val="20"/>
        </w:trPr>
        <w:tc>
          <w:tcPr>
            <w:tcW w:w="40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312" w:lineRule="auto"/>
        <w:rPr>
          <w:sz w:val="20"/>
          <w:szCs w:val="20"/>
          <w:color w:val="auto"/>
        </w:rPr>
      </w:pPr>
      <w:r>
        <w:rPr>
          <w:rFonts w:ascii="Arial" w:cs="Arial" w:eastAsia="Arial" w:hAnsi="Arial"/>
          <w:sz w:val="16"/>
          <w:szCs w:val="16"/>
          <w:color w:val="auto"/>
        </w:rPr>
        <w:t>Insurance claims reserves represent reported claims and an estimation for incurred but non reported claims (IBNR). Reported claims are adjusted on the basis of technical reports received from independent adjusters. Claims to be paid by the reinsurers and coinsurers are shown as ceded claims, which are presented in the caption “Accounts receivable from reinsurers and coinsurers” of the consolidated financial statements.</w:t>
      </w:r>
    </w:p>
    <w:p>
      <w:pPr>
        <w:spacing w:after="0" w:line="147" w:lineRule="exact"/>
        <w:rPr>
          <w:sz w:val="20"/>
          <w:szCs w:val="20"/>
          <w:color w:val="auto"/>
        </w:rPr>
      </w:pPr>
    </w:p>
    <w:p>
      <w:pPr>
        <w:ind w:left="1020" w:right="440"/>
        <w:spacing w:after="0" w:line="342" w:lineRule="auto"/>
        <w:rPr>
          <w:sz w:val="20"/>
          <w:szCs w:val="20"/>
          <w:color w:val="auto"/>
        </w:rPr>
      </w:pPr>
      <w:r>
        <w:rPr>
          <w:rFonts w:ascii="Arial" w:cs="Arial" w:eastAsia="Arial" w:hAnsi="Arial"/>
          <w:sz w:val="16"/>
          <w:szCs w:val="16"/>
          <w:color w:val="auto"/>
        </w:rPr>
        <w:t>As of December 31, 2011, the reserves for direct claims include reserves for IBNR for life, general and health insurance for an amount of US$28.1, US$3.2 and US$23.8 million, respectively (US$25.3, US$2.1 and US$19.2 million, respectively, as of December 31, 2010).</w:t>
      </w:r>
    </w:p>
    <w:p>
      <w:pPr>
        <w:spacing w:after="0" w:line="124" w:lineRule="exact"/>
        <w:rPr>
          <w:sz w:val="20"/>
          <w:szCs w:val="20"/>
          <w:color w:val="auto"/>
        </w:rPr>
      </w:pPr>
    </w:p>
    <w:p>
      <w:pPr>
        <w:ind w:left="1020" w:right="120"/>
        <w:spacing w:after="0" w:line="286" w:lineRule="auto"/>
        <w:rPr>
          <w:sz w:val="20"/>
          <w:szCs w:val="20"/>
          <w:color w:val="auto"/>
        </w:rPr>
      </w:pPr>
      <w:r>
        <w:rPr>
          <w:rFonts w:ascii="Arial" w:cs="Arial" w:eastAsia="Arial" w:hAnsi="Arial"/>
          <w:sz w:val="17"/>
          <w:szCs w:val="17"/>
          <w:color w:val="auto"/>
        </w:rPr>
        <w:t>During 2011 and previous years, the differences between the estimations for the incurred and non-reported claims and the settled and pending liquidation claims have not been significant. Retrospective analysis indicates that the amounts accrued are adequate and the Management believes that the estimated IBNR reserve is sufficient to cover any liability as of December 31, 2011 and 2010.</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for the years ended December 31, 2011 and 2010 of insurance claims and technical reserves is as follows: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84,919</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127,712</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41,431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254,062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Claims, Note 23</w:t>
            </w:r>
          </w:p>
        </w:tc>
        <w:tc>
          <w:tcPr>
            <w:tcW w:w="1080" w:type="dxa"/>
            <w:vAlign w:val="bottom"/>
          </w:tcPr>
          <w:p>
            <w:pPr>
              <w:jc w:val="right"/>
              <w:spacing w:after="0"/>
              <w:rPr>
                <w:sz w:val="20"/>
                <w:szCs w:val="20"/>
                <w:color w:val="auto"/>
              </w:rPr>
            </w:pPr>
            <w:r>
              <w:rPr>
                <w:rFonts w:ascii="Arial" w:cs="Arial" w:eastAsia="Arial" w:hAnsi="Arial"/>
                <w:sz w:val="18"/>
                <w:szCs w:val="18"/>
                <w:color w:val="auto"/>
              </w:rPr>
              <w:t>123,194</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93,314</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189,878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406,386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(108,738)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(107,840)</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(187,250)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(403,828)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100,940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44,725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258,702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70,960</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142,367</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38,633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Claims, Note 23</w:t>
            </w:r>
          </w:p>
        </w:tc>
        <w:tc>
          <w:tcPr>
            <w:tcW w:w="1080" w:type="dxa"/>
            <w:vAlign w:val="bottom"/>
          </w:tcPr>
          <w:p>
            <w:pPr>
              <w:jc w:val="right"/>
              <w:spacing w:after="0"/>
              <w:rPr>
                <w:sz w:val="20"/>
                <w:szCs w:val="20"/>
                <w:color w:val="auto"/>
              </w:rPr>
            </w:pPr>
            <w:r>
              <w:rPr>
                <w:rFonts w:ascii="Arial" w:cs="Arial" w:eastAsia="Arial" w:hAnsi="Arial"/>
                <w:sz w:val="18"/>
                <w:szCs w:val="18"/>
                <w:color w:val="auto"/>
              </w:rPr>
              <w:t>102,821</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82,763</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161,606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347,190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(92,268)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(97,326)</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(159,201)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(348,795)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3,406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84,919</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127,712</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41,431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254,062</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(c)</w:t>
            </w:r>
          </w:p>
        </w:tc>
        <w:tc>
          <w:tcPr>
            <w:tcW w:w="4920" w:type="dxa"/>
            <w:vAlign w:val="bottom"/>
            <w:gridSpan w:val="2"/>
            <w:vMerge w:val="restart"/>
          </w:tcPr>
          <w:p>
            <w:pPr>
              <w:ind w:left="140"/>
              <w:spacing w:after="0"/>
              <w:rPr>
                <w:sz w:val="20"/>
                <w:szCs w:val="20"/>
                <w:color w:val="auto"/>
              </w:rPr>
            </w:pPr>
            <w:r>
              <w:rPr>
                <w:rFonts w:ascii="Arial" w:cs="Arial" w:eastAsia="Arial" w:hAnsi="Arial"/>
                <w:sz w:val="18"/>
                <w:szCs w:val="18"/>
                <w:color w:val="auto"/>
              </w:rPr>
              <w:t>Technical reserves: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758,807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156,808</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26,646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942,261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32,258</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32,258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9,435</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30,953</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135,073</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135,073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(37,470)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(37,470)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901,175</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186,470</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31,951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1,119,596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60" w:type="dxa"/>
            <w:vAlign w:val="bottom"/>
          </w:tcPr>
          <w:p>
            <w:pPr>
              <w:spacing w:after="0"/>
              <w:rPr>
                <w:sz w:val="16"/>
                <w:szCs w:val="16"/>
                <w:color w:val="auto"/>
              </w:rPr>
            </w:pPr>
          </w:p>
        </w:tc>
        <w:tc>
          <w:tcPr>
            <w:tcW w:w="13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216"/>
        </w:trPr>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630,183</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112,804</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23,844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766,831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32,196</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32,196</w:t>
            </w: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44,150</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3,369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47,109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157,198</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157,198</w:t>
            </w: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(34,616)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(34,616)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(25,744)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(26,457)</w:t>
            </w:r>
          </w:p>
        </w:tc>
      </w:tr>
      <w:tr>
        <w:trPr>
          <w:trHeight w:val="210"/>
        </w:trPr>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758,807</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156,808</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26,646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942,261</w:t>
            </w:r>
          </w:p>
        </w:tc>
      </w:tr>
      <w:tr>
        <w:trPr>
          <w:trHeight w:val="20"/>
        </w:trPr>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40"/>
        <w:spacing w:after="0" w:line="264" w:lineRule="auto"/>
        <w:rPr>
          <w:sz w:val="20"/>
          <w:szCs w:val="20"/>
          <w:color w:val="auto"/>
        </w:rPr>
      </w:pPr>
      <w:r>
        <w:rPr>
          <w:rFonts w:ascii="Arial" w:cs="Arial" w:eastAsia="Arial" w:hAnsi="Arial"/>
          <w:sz w:val="18"/>
          <w:szCs w:val="18"/>
          <w:color w:val="auto"/>
        </w:rPr>
        <w:t>As of December 31, 2011 and 2010, no additional reserves were needed as a result of the liability adequacy test. The main assumptions used in estimation of retirement, disability and survival fixed pensions and traditional life and unit linked insurance contracts reserves as of those dates, were the following:</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Modality</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6"/>
              </w:rPr>
              <w:t>Mortality Table</w:t>
            </w:r>
          </w:p>
        </w:tc>
        <w:tc>
          <w:tcPr>
            <w:tcW w:w="29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Technical rates</w:t>
            </w:r>
          </w:p>
        </w:tc>
      </w:tr>
      <w:tr>
        <w:trPr>
          <w:trHeight w:val="418"/>
        </w:trPr>
        <w:tc>
          <w:tcPr>
            <w:tcW w:w="37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RV - 2009, B - 85, B – 85 adjusted, MI</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1"/>
              </w:rPr>
              <w:t>2% - 6.03% in US$ and 1.31% - 3.56%</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4"/>
              </w:rPr>
              <w:t>Retirement, disability and survival fixed pensions</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- 85, B - 2006 and MI - 2006</w:t>
            </w:r>
          </w:p>
        </w:tc>
        <w:tc>
          <w:tcPr>
            <w:tcW w:w="2960" w:type="dxa"/>
            <w:vAlign w:val="bottom"/>
          </w:tcPr>
          <w:p>
            <w:pPr>
              <w:jc w:val="center"/>
              <w:ind w:left="50"/>
              <w:spacing w:after="0"/>
              <w:rPr>
                <w:sz w:val="20"/>
                <w:szCs w:val="20"/>
                <w:color w:val="auto"/>
              </w:rPr>
            </w:pPr>
            <w:r>
              <w:rPr>
                <w:rFonts w:ascii="Arial" w:cs="Arial" w:eastAsia="Arial" w:hAnsi="Arial"/>
                <w:sz w:val="18"/>
                <w:szCs w:val="18"/>
                <w:color w:val="auto"/>
                <w:w w:val="92"/>
              </w:rPr>
              <w:t>in S/.</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w w:val="93"/>
              </w:rPr>
              <w:t>Traditional life and unit linked insurance contracts</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CSO 80 adjustable</w:t>
            </w:r>
          </w:p>
        </w:tc>
        <w:tc>
          <w:tcPr>
            <w:tcW w:w="2960" w:type="dxa"/>
            <w:vAlign w:val="bottom"/>
          </w:tcPr>
          <w:p>
            <w:pPr>
              <w:jc w:val="center"/>
              <w:ind w:left="50"/>
              <w:spacing w:after="0"/>
              <w:rPr>
                <w:sz w:val="20"/>
                <w:szCs w:val="20"/>
                <w:color w:val="auto"/>
              </w:rPr>
            </w:pPr>
            <w:r>
              <w:rPr>
                <w:rFonts w:ascii="Arial" w:cs="Arial" w:eastAsia="Arial" w:hAnsi="Arial"/>
                <w:sz w:val="18"/>
                <w:szCs w:val="18"/>
                <w:color w:val="auto"/>
                <w:w w:val="91"/>
              </w:rPr>
              <w:t>4.00% - 5.00% in US$</w:t>
            </w:r>
          </w:p>
        </w:tc>
      </w:tr>
    </w:tbl>
    <w:p>
      <w:pPr>
        <w:spacing w:after="0" w:line="20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2011, are the interest rates and the mortality tables used. The Group has evaluated the changes of the reserves related to its most significant life insurance contracts included in retirement, disability and survival fixed pensions contracts of +/- 100 bps of the interest rates and of +/- 5 bps of the mortality factors, being the results as follows: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82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1"/>
              </w:rPr>
              <w:t>Amount of the</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8"/>
                <w:szCs w:val="18"/>
                <w:b w:val="1"/>
                <w:bCs w:val="1"/>
                <w:color w:val="auto"/>
              </w:rPr>
              <w:t>Variables</w:t>
            </w:r>
          </w:p>
        </w:tc>
        <w:tc>
          <w:tcPr>
            <w:tcW w:w="2820" w:type="dxa"/>
            <w:vAlign w:val="bottom"/>
          </w:tcPr>
          <w:p>
            <w:pPr>
              <w:jc w:val="center"/>
              <w:ind w:left="1090"/>
              <w:spacing w:after="0"/>
              <w:rPr>
                <w:sz w:val="20"/>
                <w:szCs w:val="20"/>
                <w:color w:val="auto"/>
              </w:rPr>
            </w:pPr>
            <w:r>
              <w:rPr>
                <w:rFonts w:ascii="Arial" w:cs="Arial" w:eastAsia="Arial" w:hAnsi="Arial"/>
                <w:sz w:val="18"/>
                <w:szCs w:val="18"/>
                <w:b w:val="1"/>
                <w:bCs w:val="1"/>
                <w:color w:val="auto"/>
                <w:w w:val="87"/>
              </w:rPr>
              <w:t>reserve</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2820" w:type="dxa"/>
            <w:vAlign w:val="bottom"/>
          </w:tcPr>
          <w:p>
            <w:pPr>
              <w:jc w:val="center"/>
              <w:ind w:left="1090"/>
              <w:spacing w:after="0"/>
              <w:rPr>
                <w:sz w:val="20"/>
                <w:szCs w:val="20"/>
                <w:color w:val="auto"/>
              </w:rPr>
            </w:pPr>
            <w:r>
              <w:rPr>
                <w:rFonts w:ascii="Arial" w:cs="Arial" w:eastAsia="Arial" w:hAnsi="Arial"/>
                <w:sz w:val="18"/>
                <w:szCs w:val="18"/>
                <w:color w:val="auto"/>
                <w:w w:val="93"/>
              </w:rPr>
              <w:t>US$(000)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Dollars - Basis amount</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487,961</w:t>
            </w:r>
          </w:p>
        </w:tc>
        <w:tc>
          <w:tcPr>
            <w:tcW w:w="12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441,719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(46,242)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543,512</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55,551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483,003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493,159</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5,198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9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Amount of the</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20" w:type="dxa"/>
            <w:vAlign w:val="bottom"/>
          </w:tcPr>
          <w:p>
            <w:pPr>
              <w:spacing w:after="0"/>
              <w:rPr>
                <w:sz w:val="20"/>
                <w:szCs w:val="20"/>
                <w:color w:val="auto"/>
              </w:rPr>
            </w:pPr>
            <w:r>
              <w:rPr>
                <w:rFonts w:ascii="Arial" w:cs="Arial" w:eastAsia="Arial" w:hAnsi="Arial"/>
                <w:sz w:val="18"/>
                <w:szCs w:val="18"/>
                <w:b w:val="1"/>
                <w:bCs w:val="1"/>
                <w:color w:val="auto"/>
              </w:rPr>
              <w:t>Variables</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reserve</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98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156,504</w:t>
            </w:r>
          </w:p>
        </w:tc>
        <w:tc>
          <w:tcPr>
            <w:tcW w:w="12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139,053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(17,451)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178,027</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21,523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155,240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157,843</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1,339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4360" w:type="dxa"/>
            <w:vAlign w:val="bottom"/>
            <w:gridSpan w:val="4"/>
          </w:tcPr>
          <w:p>
            <w:pPr>
              <w:ind w:left="80"/>
              <w:spacing w:after="0"/>
              <w:rPr>
                <w:sz w:val="20"/>
                <w:szCs w:val="20"/>
                <w:color w:val="auto"/>
              </w:rPr>
            </w:pPr>
            <w:r>
              <w:rPr>
                <w:rFonts w:ascii="Arial" w:cs="Arial" w:eastAsia="Arial" w:hAnsi="Arial"/>
                <w:sz w:val="18"/>
                <w:szCs w:val="18"/>
                <w:b w:val="1"/>
                <w:bCs w:val="1"/>
                <w:color w:val="auto"/>
              </w:rPr>
              <w:t>Bonds and notes issued</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3920" w:type="dxa"/>
            <w:vAlign w:val="bottom"/>
            <w:gridSpan w:val="3"/>
          </w:tcPr>
          <w:p>
            <w:pPr>
              <w:ind w:left="140"/>
              <w:spacing w:after="0"/>
              <w:rPr>
                <w:sz w:val="20"/>
                <w:szCs w:val="20"/>
                <w:color w:val="auto"/>
              </w:rPr>
            </w:pPr>
            <w:r>
              <w:rPr>
                <w:rFonts w:ascii="Arial" w:cs="Arial" w:eastAsia="Arial" w:hAnsi="Arial"/>
                <w:sz w:val="18"/>
                <w:szCs w:val="18"/>
                <w:color w:val="auto"/>
              </w:rPr>
              <w:t>This item is made up as follows: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9"/>
              </w:rPr>
              <w:t xml:space="preserve">Weighted </w:t>
            </w:r>
            <w:r>
              <w:rPr>
                <w:rFonts w:ascii="Arial" w:cs="Arial" w:eastAsia="Arial" w:hAnsi="Arial"/>
                <w:sz w:val="11"/>
                <w:szCs w:val="11"/>
                <w:b w:val="1"/>
                <w:bCs w:val="1"/>
                <w:color w:val="auto"/>
                <w:w w:val="99"/>
              </w:rPr>
              <w:t>average annual interest rate</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vMerge w:val="restart"/>
          </w:tcPr>
          <w:p>
            <w:pPr>
              <w:ind w:left="880"/>
              <w:spacing w:after="0"/>
              <w:rPr>
                <w:sz w:val="20"/>
                <w:szCs w:val="20"/>
                <w:color w:val="auto"/>
              </w:rPr>
            </w:pPr>
            <w:r>
              <w:rPr>
                <w:rFonts w:ascii="Arial" w:cs="Arial" w:eastAsia="Arial" w:hAnsi="Arial"/>
                <w:sz w:val="11"/>
                <w:szCs w:val="11"/>
                <w:b w:val="1"/>
                <w:bCs w:val="1"/>
                <w:color w:val="auto"/>
              </w:rPr>
              <w:t>Maturity</w:t>
            </w:r>
          </w:p>
        </w:tc>
        <w:tc>
          <w:tcPr>
            <w:tcW w:w="96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24"/>
                <w:szCs w:val="24"/>
                <w:color w:val="auto"/>
              </w:rPr>
            </w:pPr>
          </w:p>
        </w:tc>
        <w:tc>
          <w:tcPr>
            <w:tcW w:w="98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20" w:type="dxa"/>
            <w:vAlign w:val="bottom"/>
            <w:gridSpan w:val="2"/>
          </w:tcPr>
          <w:p>
            <w:pPr>
              <w:spacing w:after="0"/>
              <w:rPr>
                <w:sz w:val="9"/>
                <w:szCs w:val="9"/>
                <w:color w:val="auto"/>
              </w:rPr>
            </w:pPr>
          </w:p>
        </w:tc>
        <w:tc>
          <w:tcPr>
            <w:tcW w:w="700" w:type="dxa"/>
            <w:vAlign w:val="bottom"/>
          </w:tcPr>
          <w:p>
            <w:pPr>
              <w:jc w:val="right"/>
              <w:ind w:right="46"/>
              <w:spacing w:after="0" w:line="105" w:lineRule="exact"/>
              <w:rPr>
                <w:sz w:val="20"/>
                <w:szCs w:val="20"/>
                <w:color w:val="auto"/>
              </w:rPr>
            </w:pPr>
            <w:r>
              <w:rPr>
                <w:rFonts w:ascii="Arial" w:cs="Arial" w:eastAsia="Arial" w:hAnsi="Arial"/>
                <w:sz w:val="11"/>
                <w:szCs w:val="11"/>
                <w:b w:val="1"/>
                <w:bCs w:val="1"/>
                <w:color w:val="auto"/>
              </w:rPr>
              <w:t>2011</w:t>
            </w:r>
          </w:p>
        </w:tc>
        <w:tc>
          <w:tcPr>
            <w:tcW w:w="1280" w:type="dxa"/>
            <w:vAlign w:val="bottom"/>
          </w:tcPr>
          <w:p>
            <w:pPr>
              <w:jc w:val="right"/>
              <w:ind w:right="126"/>
              <w:spacing w:after="0" w:line="105" w:lineRule="exact"/>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920" w:type="dxa"/>
            <w:vAlign w:val="bottom"/>
            <w:gridSpan w:val="3"/>
          </w:tcPr>
          <w:p>
            <w:pPr>
              <w:jc w:val="right"/>
              <w:ind w:right="10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060" w:type="dxa"/>
            <w:vAlign w:val="bottom"/>
            <w:gridSpan w:val="2"/>
          </w:tcPr>
          <w:p>
            <w:pPr>
              <w:ind w:left="280"/>
              <w:spacing w:after="0"/>
              <w:rPr>
                <w:sz w:val="20"/>
                <w:szCs w:val="20"/>
                <w:color w:val="auto"/>
              </w:rPr>
            </w:pPr>
            <w:r>
              <w:rPr>
                <w:rFonts w:ascii="Arial" w:cs="Arial" w:eastAsia="Arial" w:hAnsi="Arial"/>
                <w:sz w:val="11"/>
                <w:szCs w:val="11"/>
                <w:color w:val="auto"/>
              </w:rPr>
              <w:t>US$(000)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Senior notes (i)(*)(***)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5.08</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5.38</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Between March 2016 and September 2020</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1,483,012</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789,273</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CCR Inc. MT100 – secured notes (vi)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Between October 2012 and July 2017</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762,494</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960,404</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Corporate bonds (ii)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5.81</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5.95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2"/>
              </w:rPr>
              <w:t>Between November 2012 and December 2021</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575,801</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423,637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Subordinated notes (iv)</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7.07</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7.17</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w w:val="96"/>
              </w:rPr>
              <w:t>Between October 2022 and September 2026</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517,589</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158,657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Junior subordinated notes (iii)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9.75</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9.75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November 2069</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220,396</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218,989</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Subordinated bonds</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7.49</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7.33</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Between October 2012 and May 2027</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170,058</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136,665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Subordinated negotiable certificates notes (v)</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6.87</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6.95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1"/>
              </w:rPr>
              <w:t>Between November 2021 and September 2026</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118,574</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111,864</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Leasing bonds (vii)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8.72</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6.81</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August 2018</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37,092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134,365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Negociable certificates of deposit – Edyficar</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5.31</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4.23</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Between July and August 2012</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35,203</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17,077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Mortgage bonds (vii)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7.44</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7.63</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April 2012</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4,956</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3,920,722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2,955,887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Interest payable</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44,800</w:t>
            </w: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26,031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Total</w:t>
            </w: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3,965,522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2,981,918</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F-66</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During 2011 and 2010, the Group made the following debt issuances: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164"/>
        </w:trPr>
        <w:tc>
          <w:tcPr>
            <w:tcW w:w="3560" w:type="dxa"/>
            <w:vAlign w:val="bottom"/>
          </w:tcPr>
          <w:p>
            <w:pPr>
              <w:spacing w:after="0"/>
              <w:rPr>
                <w:sz w:val="20"/>
                <w:szCs w:val="20"/>
                <w:color w:val="auto"/>
              </w:rPr>
            </w:pPr>
            <w:r>
              <w:rPr>
                <w:rFonts w:ascii="Arial" w:cs="Arial" w:eastAsia="Arial" w:hAnsi="Arial"/>
                <w:sz w:val="13"/>
                <w:szCs w:val="13"/>
                <w:b w:val="1"/>
                <w:bCs w:val="1"/>
                <w:color w:val="auto"/>
              </w:rPr>
              <w:t>Issuances 2011</w:t>
            </w:r>
          </w:p>
        </w:tc>
        <w:tc>
          <w:tcPr>
            <w:tcW w:w="2260" w:type="dxa"/>
            <w:vAlign w:val="bottom"/>
          </w:tcPr>
          <w:p>
            <w:pPr>
              <w:ind w:left="1220"/>
              <w:spacing w:after="0"/>
              <w:rPr>
                <w:sz w:val="20"/>
                <w:szCs w:val="20"/>
                <w:color w:val="auto"/>
              </w:rPr>
            </w:pPr>
            <w:r>
              <w:rPr>
                <w:rFonts w:ascii="Arial" w:cs="Arial" w:eastAsia="Arial" w:hAnsi="Arial"/>
                <w:sz w:val="13"/>
                <w:szCs w:val="13"/>
                <w:b w:val="1"/>
                <w:bCs w:val="1"/>
                <w:color w:val="auto"/>
              </w:rPr>
              <w:t>Currency</w:t>
            </w:r>
          </w:p>
        </w:tc>
        <w:tc>
          <w:tcPr>
            <w:tcW w:w="124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 issued</w:t>
            </w:r>
          </w:p>
        </w:tc>
        <w:tc>
          <w:tcPr>
            <w:tcW w:w="1320" w:type="dxa"/>
            <w:vAlign w:val="bottom"/>
          </w:tcPr>
          <w:p>
            <w:pPr>
              <w:jc w:val="center"/>
              <w:ind w:left="97"/>
              <w:spacing w:after="0"/>
              <w:rPr>
                <w:sz w:val="20"/>
                <w:szCs w:val="20"/>
                <w:color w:val="auto"/>
              </w:rPr>
            </w:pPr>
            <w:r>
              <w:rPr>
                <w:rFonts w:ascii="Arial" w:cs="Arial" w:eastAsia="Arial" w:hAnsi="Arial"/>
                <w:sz w:val="13"/>
                <w:szCs w:val="13"/>
                <w:b w:val="1"/>
                <w:bCs w:val="1"/>
                <w:color w:val="auto"/>
                <w:w w:val="94"/>
              </w:rPr>
              <w:t>Maturity</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Rate</w:t>
            </w:r>
          </w:p>
        </w:tc>
      </w:tr>
      <w:tr>
        <w:trPr>
          <w:trHeight w:val="124"/>
        </w:trPr>
        <w:tc>
          <w:tcPr>
            <w:tcW w:w="35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Senior notes BCP -</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Second issuance (*)</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4.75</w:t>
            </w:r>
          </w:p>
        </w:tc>
      </w:tr>
      <w:tr>
        <w:trPr>
          <w:trHeight w:val="129"/>
        </w:trPr>
        <w:tc>
          <w:tcPr>
            <w:tcW w:w="356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Corporate bonds BCP -</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Eighth issuance Series A</w:t>
            </w:r>
          </w:p>
        </w:tc>
        <w:tc>
          <w:tcPr>
            <w:tcW w:w="2260" w:type="dxa"/>
            <w:vAlign w:val="bottom"/>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91,000</w:t>
            </w:r>
          </w:p>
        </w:tc>
        <w:tc>
          <w:tcPr>
            <w:tcW w:w="1320" w:type="dxa"/>
            <w:vAlign w:val="bottom"/>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2014</w:t>
            </w:r>
          </w:p>
        </w:tc>
        <w:tc>
          <w:tcPr>
            <w:tcW w:w="96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3.75</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Ninth issuance Series A</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128,000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w:t>
            </w: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Tenth issuance Series A</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150,000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2021</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7.25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Subordinated notes BCP (**)</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350,000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2026</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6.875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Subordinated bones PPS</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First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2026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6.969</w:t>
            </w:r>
          </w:p>
        </w:tc>
      </w:tr>
      <w:tr>
        <w:trPr>
          <w:trHeight w:val="129"/>
        </w:trPr>
        <w:tc>
          <w:tcPr>
            <w:tcW w:w="356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Negotiable certificates of deposit – Edyficar</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40,000</w:t>
            </w:r>
          </w:p>
        </w:tc>
        <w:tc>
          <w:tcPr>
            <w:tcW w:w="1320" w:type="dxa"/>
            <w:vAlign w:val="bottom"/>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5.41</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5.27</w:t>
            </w: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5.20</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Issuances 2010</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Senior notes BCP -</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First issuance (***)</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800,000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2020</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5.375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Negotiable certificates of deposit – Edyficar</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Third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2011</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4.23</w:t>
            </w:r>
          </w:p>
        </w:tc>
      </w:tr>
    </w:tbl>
    <w:p>
      <w:pPr>
        <w:spacing w:after="0" w:line="202" w:lineRule="exact"/>
        <w:rPr>
          <w:sz w:val="20"/>
          <w:szCs w:val="20"/>
          <w:color w:val="auto"/>
        </w:rPr>
      </w:pPr>
    </w:p>
    <w:p>
      <w:pPr>
        <w:ind w:left="2040" w:right="120" w:hanging="506"/>
        <w:spacing w:after="0" w:line="264" w:lineRule="auto"/>
        <w:tabs>
          <w:tab w:leader="none" w:pos="2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Interest are payable semi-annually. BCP can redeem the Senior notes, in whole or in part, at any time, with the penalty of the payment of an interest rate equivalent to the American Treasury plus 40 basis points. Payment of principal will take place at the date of maturity of the notes or when BCP redeems the notes.</w:t>
      </w:r>
    </w:p>
    <w:p>
      <w:pPr>
        <w:spacing w:after="0" w:line="181" w:lineRule="exact"/>
        <w:rPr>
          <w:sz w:val="20"/>
          <w:szCs w:val="20"/>
          <w:color w:val="auto"/>
        </w:rPr>
      </w:pPr>
    </w:p>
    <w:p>
      <w:pPr>
        <w:ind w:left="2040" w:hanging="506"/>
        <w:spacing w:after="0" w:line="276" w:lineRule="auto"/>
        <w:tabs>
          <w:tab w:leader="none" w:pos="2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Interest are payable semi-annually. Since September 16, 2021, the interest rate becomes a variable rate of Libor 3 months plus 770.8 basis points payable quarterly. Since September 16, 2016 and until September 15, 2021, BCP may redeem all or part of the notes, with the penalty of the payment equal to the American Treasury plus 50 basis points . Additionally, from September 16, 2021 or at any later date of coupon payment, BCP may redeem all or part of the notes without penalty. Payment of principal will take place at the date of maturity of the notes or when BCP redeems the notes.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040" w:right="200" w:hanging="506"/>
        <w:spacing w:after="0" w:line="264" w:lineRule="auto"/>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Interest are payable semi-annually. BCP can redeem the Senior notes, in whole or in part, at any time, with the penalty of the payment of an interest rate equivalent to the American Treasury plus 40 basis points. Payment of principal will take place at the date of maturity of the notes or when BCP redeems the notes.</w:t>
      </w:r>
    </w:p>
    <w:p>
      <w:pPr>
        <w:spacing w:after="0" w:line="181" w:lineRule="exact"/>
        <w:rPr>
          <w:sz w:val="20"/>
          <w:szCs w:val="20"/>
          <w:color w:val="auto"/>
        </w:rPr>
      </w:pPr>
    </w:p>
    <w:p>
      <w:pPr>
        <w:ind w:left="1540" w:right="40"/>
        <w:spacing w:after="0" w:line="277" w:lineRule="auto"/>
        <w:rPr>
          <w:sz w:val="20"/>
          <w:szCs w:val="20"/>
          <w:color w:val="auto"/>
        </w:rPr>
      </w:pPr>
      <w:r>
        <w:rPr>
          <w:rFonts w:ascii="Arial" w:cs="Arial" w:eastAsia="Arial" w:hAnsi="Arial"/>
          <w:sz w:val="18"/>
          <w:szCs w:val="18"/>
          <w:color w:val="auto"/>
        </w:rPr>
        <w:t>During 2011, redeemed corporate and leasing bonds amounted to US$140.1 million and US$92.4 million, respectively (US$37.1 million and US$55.3 million, respectively, during 2010).</w:t>
      </w:r>
    </w:p>
    <w:p>
      <w:pPr>
        <w:spacing w:after="0" w:line="170" w:lineRule="exact"/>
        <w:rPr>
          <w:sz w:val="20"/>
          <w:szCs w:val="20"/>
          <w:color w:val="auto"/>
        </w:rPr>
      </w:pPr>
    </w:p>
    <w:p>
      <w:pPr>
        <w:ind w:left="1540" w:right="180"/>
        <w:spacing w:after="0" w:line="312" w:lineRule="auto"/>
        <w:rPr>
          <w:sz w:val="20"/>
          <w:szCs w:val="20"/>
          <w:color w:val="auto"/>
        </w:rPr>
      </w:pPr>
      <w:r>
        <w:rPr>
          <w:rFonts w:ascii="Arial" w:cs="Arial" w:eastAsia="Arial" w:hAnsi="Arial"/>
          <w:sz w:val="16"/>
          <w:szCs w:val="16"/>
          <w:color w:val="auto"/>
        </w:rPr>
        <w:t>As of December 31, 2011 and 2010, the Group has hedged fix corporate bonds issued in Peruvian currency for a notional amount of US$82.2 million and US$113.4 million, respectively, subject to foreign exchange and variable interest risks. The corporate bonds have been hedged through CCS and IRS and were economically converted to U.S. Dollars at fix rate, see Note 11(b).</w:t>
      </w:r>
    </w:p>
    <w:p>
      <w:pPr>
        <w:spacing w:after="0" w:line="147" w:lineRule="exact"/>
        <w:rPr>
          <w:sz w:val="20"/>
          <w:szCs w:val="20"/>
          <w:color w:val="auto"/>
        </w:rPr>
      </w:pPr>
    </w:p>
    <w:p>
      <w:pPr>
        <w:ind w:left="1520" w:right="100" w:hanging="499"/>
        <w:spacing w:after="0" w:line="255"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Corporate bonds include an issuance (Series A) denominated in “Chilean Unidades de Fomento – UF” for UF 2.7 million effected by BCP Emisiones Latam 1 S.A. The Group can redeem 100 percent of the bonds only if the legal reserve funds legislation and tax law, related to income tax and value added tax change in Peru, Panama or Chile. As of December 31, 2011 and 2010, the balance amounts to US$115.4 million and US$123.9 million, respectively. This debt, subject to foreign exchange risk, has been hedged through cross currency swaps (CCS) for a notional amount equal to the principal and with the same maturity, see note 11(b); as a result, these bonds were economically converted to US$ Dollars.</w:t>
      </w:r>
    </w:p>
    <w:p>
      <w:pPr>
        <w:spacing w:after="0" w:line="193" w:lineRule="exact"/>
        <w:rPr>
          <w:rFonts w:ascii="Arial" w:cs="Arial" w:eastAsia="Arial" w:hAnsi="Arial"/>
          <w:sz w:val="18"/>
          <w:szCs w:val="18"/>
          <w:color w:val="auto"/>
        </w:rPr>
      </w:pPr>
    </w:p>
    <w:p>
      <w:pPr>
        <w:jc w:val="both"/>
        <w:ind w:left="1520" w:right="100" w:hanging="499"/>
        <w:spacing w:after="0" w:line="264"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November 2019, interest rate will be Libor 3 months plus 816.7 basis points, with quarterly payments; at that date and or any interest payment date BCP can redeem 100 percent of the notes, without penalties and after fulfilling certain requirements. Payment of principal will take place at the date of maturity of the notes or when BCP redeems the notes.</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debt does not have collateral and qualifies as Tier 1 capital for SBS regulations.</w:t>
      </w:r>
    </w:p>
    <w:p>
      <w:pPr>
        <w:spacing w:after="0" w:line="225" w:lineRule="exact"/>
        <w:rPr>
          <w:rFonts w:ascii="Arial" w:cs="Arial" w:eastAsia="Arial" w:hAnsi="Arial"/>
          <w:sz w:val="18"/>
          <w:szCs w:val="18"/>
          <w:color w:val="auto"/>
        </w:rPr>
      </w:pPr>
    </w:p>
    <w:p>
      <w:pPr>
        <w:ind w:left="1520" w:right="60" w:hanging="499"/>
        <w:spacing w:after="0" w:line="291" w:lineRule="auto"/>
        <w:tabs>
          <w:tab w:leader="none" w:pos="1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October 2007, BCP through its Panama branch issued Subordinated Notes for S/.483.3 million. This debt accrues a fixed annual interest rate of 7.17 percent for the first 10 years, with semiannual payments. In October 2017, interest rate will be the average of at least three valuations on the market interest rate for sovereign bonds issued by the Peruvian Government (with maturity on 2037), plus 150 basis points, with semiannual payments. From such date, BCP can redeem 100 percent of the notes, without penalties. Payment of principal will take place at the date of maturity of the notes (October 2022) or when BCP redeems the notes. Cash flows of this debt, subject to foreign exchange risk and interest rate risk, were hedged, until October 2009 through CCS and IRS, Note 11(b); at that date, the Group discontinued prospectively the combined cash flow hedge of CCS and IRS through their unwinding, see Note 11(b)(ii).</w:t>
      </w:r>
    </w:p>
    <w:p>
      <w:pPr>
        <w:spacing w:after="0" w:line="167" w:lineRule="exact"/>
        <w:rPr>
          <w:rFonts w:ascii="Arial" w:cs="Arial" w:eastAsia="Arial" w:hAnsi="Arial"/>
          <w:sz w:val="16"/>
          <w:szCs w:val="16"/>
          <w:color w:val="auto"/>
        </w:rPr>
      </w:pPr>
    </w:p>
    <w:p>
      <w:pPr>
        <w:ind w:left="1520" w:hanging="499"/>
        <w:spacing w:after="0" w:line="264" w:lineRule="auto"/>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November 2016, the interest rate will change to a floating interest rate, established as Libor plus 2.79 percent, with semiannual payments. From such date, BCP can redeem 100 percent of the debt, without penalties. Payment of principal will take place at the date of maturity of the certificates or when BCP redeems the debt.</w:t>
      </w:r>
    </w:p>
    <w:p>
      <w:pPr>
        <w:spacing w:after="0" w:line="181" w:lineRule="exact"/>
        <w:rPr>
          <w:rFonts w:ascii="Arial" w:cs="Arial" w:eastAsia="Arial" w:hAnsi="Arial"/>
          <w:sz w:val="18"/>
          <w:szCs w:val="18"/>
          <w:color w:val="auto"/>
        </w:rPr>
      </w:pPr>
    </w:p>
    <w:p>
      <w:pPr>
        <w:ind w:left="1520" w:right="560" w:hanging="499"/>
        <w:spacing w:after="0" w:line="286" w:lineRule="auto"/>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This item is made up as follows:</w:t>
      </w:r>
    </w:p>
    <w:p>
      <w:pPr>
        <w:spacing w:after="0" w:line="200" w:lineRule="exact"/>
        <w:rPr>
          <w:sz w:val="20"/>
          <w:szCs w:val="20"/>
          <w:color w:val="auto"/>
        </w:rPr>
      </w:pP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20" w:type="dxa"/>
            <w:vAlign w:val="bottom"/>
          </w:tcPr>
          <w:p>
            <w:pPr>
              <w:jc w:val="center"/>
              <w:ind w:left="817"/>
              <w:spacing w:after="0"/>
              <w:rPr>
                <w:sz w:val="20"/>
                <w:szCs w:val="20"/>
                <w:color w:val="auto"/>
              </w:rPr>
            </w:pPr>
            <w:r>
              <w:rPr>
                <w:rFonts w:ascii="Arial" w:cs="Arial" w:eastAsia="Arial" w:hAnsi="Arial"/>
                <w:sz w:val="13"/>
                <w:szCs w:val="13"/>
                <w:b w:val="1"/>
                <w:bCs w:val="1"/>
                <w:color w:val="auto"/>
                <w:w w:val="89"/>
              </w:rPr>
              <w:t>Interest</w:t>
            </w:r>
          </w:p>
        </w:tc>
        <w:tc>
          <w:tcPr>
            <w:tcW w:w="9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Maturity</w:t>
            </w:r>
          </w:p>
        </w:tc>
        <w:tc>
          <w:tcPr>
            <w:tcW w:w="9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8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2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US$(000)</w:t>
            </w: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US$(000)</w:t>
            </w:r>
          </w:p>
        </w:tc>
        <w:tc>
          <w:tcPr>
            <w:tcW w:w="0" w:type="dxa"/>
            <w:vAlign w:val="bottom"/>
          </w:tcPr>
          <w:p>
            <w:pPr>
              <w:spacing w:after="0"/>
              <w:rPr>
                <w:sz w:val="1"/>
                <w:szCs w:val="1"/>
                <w:color w:val="auto"/>
              </w:rPr>
            </w:pPr>
          </w:p>
        </w:tc>
      </w:tr>
      <w:tr>
        <w:trPr>
          <w:trHeight w:val="124"/>
        </w:trPr>
        <w:tc>
          <w:tcPr>
            <w:tcW w:w="3880" w:type="dxa"/>
            <w:vAlign w:val="bottom"/>
            <w:gridSpan w:val="2"/>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CCR Inc. MT-100, Payment rights master Trust -</w:t>
            </w:r>
          </w:p>
        </w:tc>
        <w:tc>
          <w:tcPr>
            <w:tcW w:w="24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2005</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9"/>
              </w:rPr>
              <w:t>Libor 1m + 21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10/10/2012</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19,252</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42,920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2006</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9"/>
              </w:rPr>
              <w:t>Libor 1m + 24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10/03/2016</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27,326</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31,508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2008</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Fixed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6"/>
              </w:rPr>
              <w:t>6.27</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10/06/2015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88,170</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107,933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2008</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B Floating Rate Certificates</w:t>
            </w:r>
          </w:p>
        </w:tc>
        <w:tc>
          <w:tcPr>
            <w:tcW w:w="2420" w:type="dxa"/>
            <w:vAlign w:val="bottom"/>
            <w:shd w:val="clear" w:color="auto" w:fill="CCFFCC"/>
          </w:tcPr>
          <w:p>
            <w:pPr>
              <w:jc w:val="center"/>
              <w:ind w:left="997"/>
              <w:spacing w:after="0" w:line="135" w:lineRule="exact"/>
              <w:rPr>
                <w:sz w:val="20"/>
                <w:szCs w:val="20"/>
                <w:color w:val="auto"/>
              </w:rPr>
            </w:pPr>
            <w:r>
              <w:rPr>
                <w:rFonts w:ascii="Arial" w:cs="Arial" w:eastAsia="Arial" w:hAnsi="Arial"/>
                <w:sz w:val="13"/>
                <w:szCs w:val="13"/>
                <w:color w:val="auto"/>
                <w:w w:val="89"/>
              </w:rPr>
              <w:t>Libor 1m + 225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10/12/2015</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116,731</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146,432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8"/>
              </w:rPr>
              <w:t>Libor 1m + 47.5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10/10/2012</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44,118</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98,526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B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8"/>
              </w:rPr>
              <w:t>Libor 1m + 57.6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10/03/2016</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51,164</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59,153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C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8"/>
              </w:rPr>
              <w:t>Libor 1m + 44.5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10/07/2017</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311,912</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338,258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D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8"/>
              </w:rPr>
              <w:t>Libor 1m + 36.1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10/07/2014</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103,821</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135,674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Borders>
              <w:top w:val="single" w:sz="8" w:color="CCFFCC"/>
            </w:tcBorders>
          </w:tcPr>
          <w:p>
            <w:pPr>
              <w:spacing w:after="0"/>
              <w:rPr>
                <w:sz w:val="11"/>
                <w:szCs w:val="11"/>
                <w:color w:val="auto"/>
              </w:rPr>
            </w:pPr>
          </w:p>
        </w:tc>
        <w:tc>
          <w:tcPr>
            <w:tcW w:w="3600" w:type="dxa"/>
            <w:vAlign w:val="bottom"/>
            <w:tcBorders>
              <w:top w:val="single" w:sz="8" w:color="CCFFCC"/>
            </w:tcBorders>
          </w:tcPr>
          <w:p>
            <w:pPr>
              <w:spacing w:after="0"/>
              <w:rPr>
                <w:sz w:val="11"/>
                <w:szCs w:val="11"/>
                <w:color w:val="auto"/>
              </w:rPr>
            </w:pPr>
          </w:p>
        </w:tc>
        <w:tc>
          <w:tcPr>
            <w:tcW w:w="2420" w:type="dxa"/>
            <w:vAlign w:val="bottom"/>
            <w:tcBorders>
              <w:top w:val="single" w:sz="8" w:color="CCFFCC"/>
            </w:tcBorders>
          </w:tcPr>
          <w:p>
            <w:pPr>
              <w:spacing w:after="0"/>
              <w:rPr>
                <w:sz w:val="11"/>
                <w:szCs w:val="11"/>
                <w:color w:val="auto"/>
              </w:rPr>
            </w:pPr>
          </w:p>
        </w:tc>
        <w:tc>
          <w:tcPr>
            <w:tcW w:w="940" w:type="dxa"/>
            <w:vAlign w:val="bottom"/>
            <w:tcBorders>
              <w:top w:val="single" w:sz="8" w:color="CCFFC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0" w:type="dxa"/>
            <w:vAlign w:val="bottom"/>
            <w:tcBorders>
              <w:bottom w:val="single" w:sz="8" w:color="CCFFCC"/>
            </w:tcBorders>
            <w:shd w:val="clear" w:color="auto" w:fill="CCFFCC"/>
          </w:tcPr>
          <w:p>
            <w:pPr>
              <w:spacing w:after="0" w:line="115" w:lineRule="exact"/>
              <w:rPr>
                <w:sz w:val="20"/>
                <w:szCs w:val="20"/>
                <w:color w:val="auto"/>
              </w:rPr>
            </w:pPr>
            <w:r>
              <w:rPr>
                <w:rFonts w:ascii="Arial" w:cs="Arial" w:eastAsia="Arial" w:hAnsi="Arial"/>
                <w:sz w:val="13"/>
                <w:szCs w:val="13"/>
                <w:b w:val="1"/>
                <w:bCs w:val="1"/>
                <w:color w:val="auto"/>
                <w:w w:val="83"/>
              </w:rPr>
              <w:t>Total</w:t>
            </w:r>
          </w:p>
        </w:tc>
        <w:tc>
          <w:tcPr>
            <w:tcW w:w="3600" w:type="dxa"/>
            <w:vAlign w:val="bottom"/>
            <w:tcBorders>
              <w:bottom w:val="single" w:sz="8" w:color="CCFFCC"/>
            </w:tcBorders>
            <w:shd w:val="clear" w:color="auto" w:fill="CCFFCC"/>
          </w:tcPr>
          <w:p>
            <w:pPr>
              <w:spacing w:after="0"/>
              <w:rPr>
                <w:sz w:val="15"/>
                <w:szCs w:val="15"/>
                <w:color w:val="auto"/>
              </w:rPr>
            </w:pPr>
          </w:p>
        </w:tc>
        <w:tc>
          <w:tcPr>
            <w:tcW w:w="2420" w:type="dxa"/>
            <w:vAlign w:val="bottom"/>
            <w:tcBorders>
              <w:bottom w:val="single" w:sz="8" w:color="CCFFCC"/>
            </w:tcBorders>
            <w:shd w:val="clear" w:color="auto" w:fill="CCFFCC"/>
          </w:tcPr>
          <w:p>
            <w:pPr>
              <w:spacing w:after="0"/>
              <w:rPr>
                <w:sz w:val="15"/>
                <w:szCs w:val="15"/>
                <w:color w:val="auto"/>
              </w:rPr>
            </w:pPr>
          </w:p>
        </w:tc>
        <w:tc>
          <w:tcPr>
            <w:tcW w:w="94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3"/>
                <w:szCs w:val="13"/>
                <w:color w:val="auto"/>
              </w:rPr>
              <w:t>762,494</w:t>
            </w:r>
          </w:p>
        </w:tc>
        <w:tc>
          <w:tcPr>
            <w:tcW w:w="16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3"/>
                <w:szCs w:val="13"/>
                <w:color w:val="auto"/>
              </w:rPr>
              <w:t>960,404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The 2005-A, 2006-A, 2007-A and 2007-B notes were issued with a financial guaranty insurance policy from AMBAC Assurance Corporation (“AMBAC”), which secured the timely payment of scheduled principal and certain accrued interest. In 2010 and in order to terminate the financial guaranty insurance policy from AMBAC, BCP made an exchange offer to holders of these notes, whereby the existing notes were replaced by new notes with similar terms and maturities.</w:t>
      </w:r>
    </w:p>
    <w:p>
      <w:pPr>
        <w:spacing w:after="0" w:line="187" w:lineRule="exact"/>
        <w:rPr>
          <w:sz w:val="20"/>
          <w:szCs w:val="20"/>
          <w:color w:val="auto"/>
        </w:rPr>
      </w:pPr>
    </w:p>
    <w:p>
      <w:pPr>
        <w:ind w:left="1540" w:right="240"/>
        <w:spacing w:after="0" w:line="277" w:lineRule="auto"/>
        <w:rPr>
          <w:sz w:val="20"/>
          <w:szCs w:val="20"/>
          <w:color w:val="auto"/>
        </w:rPr>
      </w:pPr>
      <w:r>
        <w:rPr>
          <w:rFonts w:ascii="Arial" w:cs="Arial" w:eastAsia="Arial" w:hAnsi="Arial"/>
          <w:sz w:val="18"/>
          <w:szCs w:val="18"/>
          <w:color w:val="auto"/>
        </w:rPr>
        <w:t>As of December 31, 2011 and 2010 all issuances subject to variable interest rates were hedged through interest rate swaps (IRS); as a result they were economically converted to fix rate, see Note 11(b).</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180" w:hanging="499"/>
        <w:spacing w:after="0" w:line="259" w:lineRule="auto"/>
        <w:tabs>
          <w:tab w:leader="none" w:pos="15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As of December 31, 2010, the Group has hedged fix leasing bonds issued in Peruvian currency for a notional amount of US$15.7 million hedged through IRS for a notional amount equal to the principal and with the same maturity see note 11(b); as a result, these bonds were economically converted to US$ Dollars.</w:t>
      </w:r>
    </w:p>
    <w:p>
      <w:pPr>
        <w:spacing w:after="0" w:line="186" w:lineRule="exact"/>
        <w:rPr>
          <w:rFonts w:ascii="Arial" w:cs="Arial" w:eastAsia="Arial" w:hAnsi="Arial"/>
          <w:sz w:val="18"/>
          <w:szCs w:val="18"/>
          <w:color w:val="auto"/>
        </w:rPr>
      </w:pPr>
    </w:p>
    <w:p>
      <w:pPr>
        <w:ind w:left="1000" w:hanging="492"/>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Bonds and notes issued, classified by maturity are shown below:</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55,335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227,195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290,441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683,228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461,213</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345,134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504,401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2,609,830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1,616,106</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3,920,722</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2,955,887</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Bonds and notes issued have certain financial and operating covenants which, in Management’s opinion, the Group is in compliance at the date of the consolidated statements of financial position.</w:t>
      </w:r>
    </w:p>
    <w:p>
      <w:pPr>
        <w:spacing w:after="0" w:line="166" w:lineRule="exact"/>
        <w:rPr>
          <w:sz w:val="20"/>
          <w:szCs w:val="20"/>
          <w:color w:val="auto"/>
        </w:rPr>
      </w:pPr>
    </w:p>
    <w:p>
      <w:pPr>
        <w:ind w:left="560" w:hanging="552"/>
        <w:spacing w:after="0"/>
        <w:tabs>
          <w:tab w:leader="none" w:pos="5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3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December 31, 2011, 2010 and 2009, 94,382,317 shares of capital stock were issued at US$5 per share.</w:t>
      </w:r>
    </w:p>
    <w:p>
      <w:pPr>
        <w:spacing w:after="0" w:line="211" w:lineRule="exact"/>
        <w:rPr>
          <w:sz w:val="20"/>
          <w:szCs w:val="20"/>
          <w:color w:val="auto"/>
        </w:rPr>
      </w:pPr>
    </w:p>
    <w:p>
      <w:pPr>
        <w:ind w:left="1000" w:hanging="492"/>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25"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As of December 31, 2011, treasury stock comprises the par value of 14,974,957 Credicorp’s shares (14,941,833 and 14,847,842 Credicorp’s shares as of December, 31, 2010 and 2009, respectively) owned by the Group’s companies.</w:t>
      </w:r>
    </w:p>
    <w:p>
      <w:pPr>
        <w:spacing w:after="0" w:line="170"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The difference between their acquisition cost of US$217.8 million and their par value of US$74.9 million (as of December 31, 2010 and 2009 acquisition cost of US$209.2 million and US$198.0 million, respectively and their par value of US$74.6 million and US$74.2 million, respectively) is presented as a reduction of “Capital surplus”.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Reserves -</w:t>
      </w:r>
    </w:p>
    <w:p>
      <w:pPr>
        <w:spacing w:after="0" w:line="225"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In accordance with Peruvian regulation,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2011, 2010 and 2009, these reserves amounted to approximately US$387.3, US$369.3 and US$242.9 million, respectively.</w:t>
      </w:r>
    </w:p>
    <w:p>
      <w:pPr>
        <w:spacing w:after="0" w:line="188"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The Shareholders’ meetings held on March 31, 2011, March 26, 2010 and March 31, 2009 agreed to transfer from “Retained earnings” to “Reserves” US$407.8, US$331.6 and US$238.1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4" w:right="39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308" w:lineRule="auto"/>
        <w:rPr>
          <w:sz w:val="20"/>
          <w:szCs w:val="20"/>
          <w:color w:val="auto"/>
        </w:rPr>
      </w:pPr>
      <w:r>
        <w:rPr>
          <w:rFonts w:ascii="Arial" w:cs="Arial" w:eastAsia="Arial" w:hAnsi="Arial"/>
          <w:sz w:val="17"/>
          <w:szCs w:val="17"/>
          <w:color w:val="auto"/>
        </w:rPr>
        <w:t>The caption “Other reserves” includes the unrealized net gain (loss) from available-for-sale investments and from derivatives instruments used as cash flow hedges net of its corresponding deferred income tax, and non-controlling interest; its movement is as follows:</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53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Unrealized net gain (loss) of:</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5340" w:type="dxa"/>
            <w:vAlign w:val="bottom"/>
          </w:tcPr>
          <w:p>
            <w:pPr>
              <w:spacing w:after="0"/>
              <w:rPr>
                <w:sz w:val="8"/>
                <w:szCs w:val="8"/>
                <w:color w:val="auto"/>
              </w:rPr>
            </w:pPr>
          </w:p>
        </w:tc>
        <w:tc>
          <w:tcPr>
            <w:tcW w:w="1760" w:type="dxa"/>
            <w:vAlign w:val="bottom"/>
            <w:gridSpan w:val="3"/>
          </w:tcPr>
          <w:p>
            <w:pPr>
              <w:jc w:val="center"/>
              <w:ind w:right="180"/>
              <w:spacing w:after="0" w:line="102" w:lineRule="exact"/>
              <w:rPr>
                <w:sz w:val="20"/>
                <w:szCs w:val="20"/>
                <w:color w:val="auto"/>
              </w:rPr>
            </w:pPr>
            <w:r>
              <w:rPr>
                <w:rFonts w:ascii="Arial" w:cs="Arial" w:eastAsia="Arial" w:hAnsi="Arial"/>
                <w:sz w:val="11"/>
                <w:szCs w:val="11"/>
                <w:b w:val="1"/>
                <w:bCs w:val="1"/>
                <w:color w:val="auto"/>
                <w:w w:val="89"/>
              </w:rPr>
              <w:t>Available-for-sale</w:t>
            </w: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2"/>
        </w:trPr>
        <w:tc>
          <w:tcPr>
            <w:tcW w:w="5340" w:type="dxa"/>
            <w:vAlign w:val="bottom"/>
          </w:tcPr>
          <w:p>
            <w:pPr>
              <w:spacing w:after="0"/>
              <w:rPr>
                <w:sz w:val="10"/>
                <w:szCs w:val="10"/>
                <w:color w:val="auto"/>
              </w:rPr>
            </w:pPr>
          </w:p>
        </w:tc>
        <w:tc>
          <w:tcPr>
            <w:tcW w:w="1120" w:type="dxa"/>
            <w:vAlign w:val="bottom"/>
          </w:tcPr>
          <w:p>
            <w:pPr>
              <w:jc w:val="center"/>
              <w:ind w:left="406"/>
              <w:spacing w:after="0" w:line="122" w:lineRule="exact"/>
              <w:rPr>
                <w:sz w:val="20"/>
                <w:szCs w:val="20"/>
                <w:color w:val="auto"/>
              </w:rPr>
            </w:pPr>
            <w:r>
              <w:rPr>
                <w:rFonts w:ascii="Arial" w:cs="Arial" w:eastAsia="Arial" w:hAnsi="Arial"/>
                <w:sz w:val="11"/>
                <w:szCs w:val="11"/>
                <w:b w:val="1"/>
                <w:bCs w:val="1"/>
                <w:color w:val="auto"/>
                <w:w w:val="84"/>
              </w:rPr>
              <w:t>investments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Cash flow hedge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6"/>
        </w:trPr>
        <w:tc>
          <w:tcPr>
            <w:tcW w:w="5340" w:type="dxa"/>
            <w:vAlign w:val="bottom"/>
          </w:tcPr>
          <w:p>
            <w:pPr>
              <w:spacing w:after="0"/>
              <w:rPr>
                <w:sz w:val="10"/>
                <w:szCs w:val="10"/>
                <w:color w:val="auto"/>
              </w:rPr>
            </w:pPr>
          </w:p>
        </w:tc>
        <w:tc>
          <w:tcPr>
            <w:tcW w:w="1120" w:type="dxa"/>
            <w:vAlign w:val="bottom"/>
          </w:tcPr>
          <w:p>
            <w:pPr>
              <w:jc w:val="center"/>
              <w:ind w:left="406"/>
              <w:spacing w:after="0"/>
              <w:rPr>
                <w:sz w:val="20"/>
                <w:szCs w:val="20"/>
                <w:color w:val="auto"/>
              </w:rPr>
            </w:pPr>
            <w:r>
              <w:rPr>
                <w:rFonts w:ascii="Arial" w:cs="Arial" w:eastAsia="Arial" w:hAnsi="Arial"/>
                <w:sz w:val="11"/>
                <w:szCs w:val="11"/>
                <w:b w:val="1"/>
                <w:bCs w:val="1"/>
                <w:color w:val="auto"/>
                <w:w w:val="86"/>
              </w:rPr>
              <w:t>reserve</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reserve</w:t>
            </w:r>
          </w:p>
        </w:tc>
        <w:tc>
          <w:tcPr>
            <w:tcW w:w="11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Total</w:t>
            </w:r>
          </w:p>
        </w:tc>
      </w:tr>
      <w:tr>
        <w:trPr>
          <w:trHeight w:val="136"/>
        </w:trPr>
        <w:tc>
          <w:tcPr>
            <w:tcW w:w="5340" w:type="dxa"/>
            <w:vAlign w:val="bottom"/>
          </w:tcPr>
          <w:p>
            <w:pPr>
              <w:spacing w:after="0"/>
              <w:rPr>
                <w:sz w:val="11"/>
                <w:szCs w:val="11"/>
                <w:color w:val="auto"/>
              </w:rPr>
            </w:pPr>
          </w:p>
        </w:tc>
        <w:tc>
          <w:tcPr>
            <w:tcW w:w="1120" w:type="dxa"/>
            <w:vAlign w:val="bottom"/>
          </w:tcPr>
          <w:p>
            <w:pPr>
              <w:jc w:val="center"/>
              <w:ind w:left="406"/>
              <w:spacing w:after="0"/>
              <w:rPr>
                <w:sz w:val="20"/>
                <w:szCs w:val="20"/>
                <w:color w:val="auto"/>
              </w:rPr>
            </w:pPr>
            <w:r>
              <w:rPr>
                <w:rFonts w:ascii="Arial" w:cs="Arial" w:eastAsia="Arial" w:hAnsi="Arial"/>
                <w:sz w:val="11"/>
                <w:szCs w:val="11"/>
                <w:color w:val="auto"/>
                <w:w w:val="89"/>
              </w:rPr>
              <w:t>US$(000)</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1"/>
                <w:szCs w:val="11"/>
                <w:color w:val="auto"/>
              </w:rPr>
              <w:t>US$(000)</w:t>
            </w:r>
          </w:p>
        </w:tc>
      </w:tr>
      <w:tr>
        <w:trPr>
          <w:trHeight w:val="117"/>
        </w:trPr>
        <w:tc>
          <w:tcPr>
            <w:tcW w:w="5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January 1, 2009</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72,729</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(118,122)</w:t>
            </w:r>
          </w:p>
        </w:tc>
        <w:tc>
          <w:tcPr>
            <w:tcW w:w="11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(45,393)</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319,041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319,041</w:t>
            </w:r>
          </w:p>
        </w:tc>
      </w:tr>
      <w:tr>
        <w:trPr>
          <w:trHeight w:val="112"/>
        </w:trPr>
        <w:tc>
          <w:tcPr>
            <w:tcW w:w="6460" w:type="dxa"/>
            <w:vAlign w:val="bottom"/>
            <w:gridSpan w:val="2"/>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r>
      <w:tr>
        <w:trPr>
          <w:trHeight w:val="131"/>
        </w:trPr>
        <w:tc>
          <w:tcPr>
            <w:tcW w:w="6460" w:type="dxa"/>
            <w:vAlign w:val="bottom"/>
            <w:gridSpan w:val="2"/>
            <w:shd w:val="clear" w:color="auto" w:fill="CCFFCC"/>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(112,618)</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(112,618)</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9,825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9,825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gain from cash flow hedges, Note 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30,317</w:t>
            </w:r>
          </w:p>
        </w:tc>
        <w:tc>
          <w:tcPr>
            <w:tcW w:w="18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30,317</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36,274</w:t>
            </w:r>
          </w:p>
        </w:tc>
        <w:tc>
          <w:tcPr>
            <w:tcW w:w="180" w:type="dxa"/>
            <w:vAlign w:val="bottom"/>
          </w:tcPr>
          <w:p>
            <w:pPr>
              <w:spacing w:after="0"/>
              <w:rPr>
                <w:sz w:val="10"/>
                <w:szCs w:val="10"/>
                <w:color w:val="auto"/>
              </w:rPr>
            </w:pP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36,274</w:t>
            </w:r>
          </w:p>
        </w:tc>
      </w:tr>
      <w:tr>
        <w:trPr>
          <w:trHeight w:val="115"/>
        </w:trPr>
        <w:tc>
          <w:tcPr>
            <w:tcW w:w="5340" w:type="dxa"/>
            <w:vAlign w:val="bottom"/>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2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Balances as of December 31, 2009</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288,977</w:t>
            </w:r>
          </w:p>
        </w:tc>
        <w:tc>
          <w:tcPr>
            <w:tcW w:w="180" w:type="dxa"/>
            <w:vAlign w:val="bottom"/>
          </w:tcPr>
          <w:p>
            <w:pPr>
              <w:spacing w:after="0"/>
              <w:rPr>
                <w:sz w:val="10"/>
                <w:szCs w:val="10"/>
                <w:color w:val="auto"/>
              </w:rPr>
            </w:pPr>
          </w:p>
        </w:tc>
        <w:tc>
          <w:tcPr>
            <w:tcW w:w="14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(51,531)</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237,446</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191,305</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191,305</w:t>
            </w:r>
          </w:p>
        </w:tc>
      </w:tr>
      <w:tr>
        <w:trPr>
          <w:trHeight w:val="112"/>
        </w:trPr>
        <w:tc>
          <w:tcPr>
            <w:tcW w:w="6460" w:type="dxa"/>
            <w:vAlign w:val="bottom"/>
            <w:gridSpan w:val="2"/>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6460" w:type="dxa"/>
            <w:vAlign w:val="bottom"/>
            <w:gridSpan w:val="2"/>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(59,785)</w:t>
            </w:r>
          </w:p>
        </w:tc>
        <w:tc>
          <w:tcPr>
            <w:tcW w:w="14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1"/>
                <w:szCs w:val="11"/>
                <w:color w:val="auto"/>
              </w:rPr>
              <w:t>(59,785)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3,250</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3,250</w:t>
            </w:r>
          </w:p>
        </w:tc>
      </w:tr>
      <w:tr>
        <w:trPr>
          <w:trHeight w:val="112"/>
        </w:trPr>
        <w:tc>
          <w:tcPr>
            <w:tcW w:w="6460" w:type="dxa"/>
            <w:vAlign w:val="bottom"/>
            <w:gridSpan w:val="2"/>
          </w:tcPr>
          <w:p>
            <w:pPr>
              <w:spacing w:after="0" w:line="112" w:lineRule="exact"/>
              <w:rPr>
                <w:sz w:val="20"/>
                <w:szCs w:val="20"/>
                <w:color w:val="auto"/>
              </w:rPr>
            </w:pPr>
            <w:r>
              <w:rPr>
                <w:rFonts w:ascii="Arial" w:cs="Arial" w:eastAsia="Arial" w:hAnsi="Arial"/>
                <w:sz w:val="11"/>
                <w:szCs w:val="11"/>
                <w:color w:val="auto"/>
              </w:rPr>
              <w:t>Net unrealized loss from cash flow hedges,</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6460" w:type="dxa"/>
            <w:vAlign w:val="bottom"/>
            <w:gridSpan w:val="2"/>
          </w:tcPr>
          <w:p>
            <w:pPr>
              <w:ind w:left="120"/>
              <w:spacing w:after="0"/>
              <w:rPr>
                <w:sz w:val="20"/>
                <w:szCs w:val="20"/>
                <w:color w:val="auto"/>
              </w:rPr>
            </w:pPr>
            <w:r>
              <w:rPr>
                <w:rFonts w:ascii="Arial" w:cs="Arial" w:eastAsia="Arial" w:hAnsi="Arial"/>
                <w:sz w:val="11"/>
                <w:szCs w:val="11"/>
                <w:color w:val="auto"/>
              </w:rPr>
              <w:t>Note 11(b)(ii)</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(44,584)</w:t>
            </w:r>
          </w:p>
        </w:tc>
        <w:tc>
          <w:tcPr>
            <w:tcW w:w="1160" w:type="dxa"/>
            <w:vAlign w:val="bottom"/>
            <w:gridSpan w:val="2"/>
          </w:tcPr>
          <w:p>
            <w:pPr>
              <w:jc w:val="right"/>
              <w:ind w:right="60"/>
              <w:spacing w:after="0"/>
              <w:rPr>
                <w:sz w:val="20"/>
                <w:szCs w:val="20"/>
                <w:color w:val="auto"/>
              </w:rPr>
            </w:pPr>
            <w:r>
              <w:rPr>
                <w:rFonts w:ascii="Arial" w:cs="Arial" w:eastAsia="Arial" w:hAnsi="Arial"/>
                <w:sz w:val="11"/>
                <w:szCs w:val="11"/>
                <w:color w:val="auto"/>
              </w:rPr>
              <w:t>(44,584)</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39,089</w:t>
            </w:r>
          </w:p>
        </w:tc>
        <w:tc>
          <w:tcPr>
            <w:tcW w:w="18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39,089</w:t>
            </w:r>
          </w:p>
        </w:tc>
      </w:tr>
      <w:tr>
        <w:trPr>
          <w:trHeight w:val="115"/>
        </w:trPr>
        <w:tc>
          <w:tcPr>
            <w:tcW w:w="5340" w:type="dxa"/>
            <w:vAlign w:val="bottom"/>
            <w:tcBorders>
              <w:top w:val="single" w:sz="8" w:color="CCFFCC"/>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December 31, 2010</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423,747</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(57,026)</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366,721</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6,330</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6,330</w:t>
            </w:r>
          </w:p>
        </w:tc>
      </w:tr>
      <w:tr>
        <w:trPr>
          <w:trHeight w:val="112"/>
        </w:trPr>
        <w:tc>
          <w:tcPr>
            <w:tcW w:w="6460" w:type="dxa"/>
            <w:vAlign w:val="bottom"/>
            <w:gridSpan w:val="2"/>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r>
      <w:tr>
        <w:trPr>
          <w:trHeight w:val="131"/>
        </w:trPr>
        <w:tc>
          <w:tcPr>
            <w:tcW w:w="6460" w:type="dxa"/>
            <w:vAlign w:val="bottom"/>
            <w:gridSpan w:val="2"/>
            <w:shd w:val="clear" w:color="auto" w:fill="CCFFCC"/>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(35,760)</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(35,760)</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1,025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1,025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loss from cash flow hedges, Note11(b)(ii)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(23,578)</w:t>
            </w:r>
          </w:p>
        </w:tc>
        <w:tc>
          <w:tcPr>
            <w:tcW w:w="11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(23,578)</w:t>
            </w:r>
          </w:p>
        </w:tc>
      </w:tr>
      <w:tr>
        <w:trPr>
          <w:trHeight w:val="135"/>
        </w:trPr>
        <w:tc>
          <w:tcPr>
            <w:tcW w:w="6460" w:type="dxa"/>
            <w:vAlign w:val="bottom"/>
            <w:gridSpan w:val="2"/>
          </w:tcPr>
          <w:p>
            <w:pPr>
              <w:spacing w:after="0"/>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25,430</w:t>
            </w:r>
          </w:p>
        </w:tc>
        <w:tc>
          <w:tcPr>
            <w:tcW w:w="18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25,430</w:t>
            </w:r>
          </w:p>
        </w:tc>
      </w:tr>
      <w:tr>
        <w:trPr>
          <w:trHeight w:val="115"/>
        </w:trPr>
        <w:tc>
          <w:tcPr>
            <w:tcW w:w="5340" w:type="dxa"/>
            <w:vAlign w:val="bottom"/>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2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62"/>
        </w:trPr>
        <w:tc>
          <w:tcPr>
            <w:tcW w:w="6460" w:type="dxa"/>
            <w:vAlign w:val="bottom"/>
            <w:gridSpan w:val="2"/>
          </w:tcPr>
          <w:p>
            <w:pPr>
              <w:spacing w:after="0"/>
              <w:rPr>
                <w:sz w:val="20"/>
                <w:szCs w:val="20"/>
                <w:color w:val="auto"/>
              </w:rPr>
            </w:pPr>
            <w:r>
              <w:rPr>
                <w:rFonts w:ascii="Arial" w:cs="Arial" w:eastAsia="Arial" w:hAnsi="Arial"/>
                <w:sz w:val="11"/>
                <w:szCs w:val="11"/>
                <w:b w:val="1"/>
                <w:bCs w:val="1"/>
                <w:color w:val="auto"/>
              </w:rPr>
              <w:t>Balances as of December 31, 2011</w:t>
            </w:r>
          </w:p>
        </w:tc>
        <w:tc>
          <w:tcPr>
            <w:tcW w:w="460" w:type="dxa"/>
            <w:vAlign w:val="bottom"/>
          </w:tcPr>
          <w:p>
            <w:pPr>
              <w:jc w:val="right"/>
              <w:spacing w:after="0"/>
              <w:rPr>
                <w:sz w:val="20"/>
                <w:szCs w:val="20"/>
                <w:color w:val="auto"/>
              </w:rPr>
            </w:pPr>
            <w:r>
              <w:rPr>
                <w:rFonts w:ascii="Arial" w:cs="Arial" w:eastAsia="Arial" w:hAnsi="Arial"/>
                <w:sz w:val="11"/>
                <w:szCs w:val="11"/>
                <w:color w:val="auto"/>
              </w:rPr>
              <w:t>395,342</w:t>
            </w: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(55,174)</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340,168</w:t>
            </w:r>
          </w:p>
        </w:tc>
      </w:tr>
      <w:tr>
        <w:trPr>
          <w:trHeight w:val="20"/>
        </w:trPr>
        <w:tc>
          <w:tcPr>
            <w:tcW w:w="5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25" w:lineRule="exact"/>
        <w:rPr>
          <w:sz w:val="20"/>
          <w:szCs w:val="20"/>
          <w:color w:val="auto"/>
        </w:rPr>
      </w:pPr>
    </w:p>
    <w:p>
      <w:pPr>
        <w:ind w:left="1020" w:right="180"/>
        <w:spacing w:after="0" w:line="277" w:lineRule="auto"/>
        <w:rPr>
          <w:sz w:val="20"/>
          <w:szCs w:val="20"/>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financial instruments used as cash flow hedges; its movement is as follows:</w:t>
      </w:r>
    </w:p>
    <w:p>
      <w:pPr>
        <w:spacing w:after="0" w:line="15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82"/>
        </w:trPr>
        <w:tc>
          <w:tcPr>
            <w:tcW w:w="60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color w:val="auto"/>
              </w:rPr>
              <w:t>US$(000)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r>
      <w:tr>
        <w:trPr>
          <w:trHeight w:val="134"/>
        </w:trPr>
        <w:tc>
          <w:tcPr>
            <w:tcW w:w="6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Available-for-sale investments:</w:t>
            </w: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Net unrealized gain from available-for-sale investments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6,330</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191,305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319,041</w:t>
            </w:r>
          </w:p>
        </w:tc>
      </w:tr>
      <w:tr>
        <w:trPr>
          <w:trHeight w:val="130"/>
        </w:trPr>
        <w:tc>
          <w:tcPr>
            <w:tcW w:w="6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Transfer of net realized gain from investments available-for-sale to the consolidated income statement,</w:t>
            </w:r>
          </w:p>
        </w:tc>
        <w:tc>
          <w:tcPr>
            <w:tcW w:w="10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6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net of realized loss</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(35,760)</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(59,785)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(112,618)</w:t>
            </w: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Transfer of impairment on investment available-for-sale to consolidated income statement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9,825</w:t>
            </w:r>
          </w:p>
        </w:tc>
      </w:tr>
      <w:tr>
        <w:trPr>
          <w:trHeight w:val="142"/>
        </w:trPr>
        <w:tc>
          <w:tcPr>
            <w:tcW w:w="602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Sub total</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(28,405)</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134,770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216,248</w:t>
            </w:r>
          </w:p>
        </w:tc>
      </w:tr>
      <w:tr>
        <w:trPr>
          <w:trHeight w:val="149"/>
        </w:trPr>
        <w:tc>
          <w:tcPr>
            <w:tcW w:w="602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Non-controlling interest on investment available-for-sale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4,842</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22,795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45,019</w:t>
            </w: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(29,605)</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67,696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7,283</w:t>
            </w:r>
          </w:p>
        </w:tc>
      </w:tr>
      <w:tr>
        <w:trPr>
          <w:trHeight w:val="142"/>
        </w:trPr>
        <w:tc>
          <w:tcPr>
            <w:tcW w:w="60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89"/>
        </w:trPr>
        <w:tc>
          <w:tcPr>
            <w:tcW w:w="602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(53,168)</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225,261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268,550</w:t>
            </w:r>
          </w:p>
        </w:tc>
      </w:tr>
      <w:tr>
        <w:trPr>
          <w:trHeight w:val="129"/>
        </w:trPr>
        <w:tc>
          <w:tcPr>
            <w:tcW w:w="6020" w:type="dxa"/>
            <w:vAlign w:val="bottom"/>
            <w:tcBorders>
              <w:top w:val="single" w:sz="8" w:color="CCFFC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Borders>
              <w:top w:val="single" w:sz="8" w:color="CCFFC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flow hedges:</w:t>
            </w: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Net unrealized (loss) gain from cash flow hedges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(23,578)</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(44,584)</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30,317</w:t>
            </w: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Transfer of net realized loss from cash flow hedges to the consolidated income statement</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25,430</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39,089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36,274</w:t>
            </w:r>
          </w:p>
        </w:tc>
      </w:tr>
      <w:tr>
        <w:trPr>
          <w:trHeight w:val="142"/>
        </w:trPr>
        <w:tc>
          <w:tcPr>
            <w:tcW w:w="60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Sub total</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1,852</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66,591</w:t>
            </w:r>
          </w:p>
        </w:tc>
      </w:tr>
      <w:tr>
        <w:trPr>
          <w:trHeight w:val="149"/>
        </w:trPr>
        <w:tc>
          <w:tcPr>
            <w:tcW w:w="6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Non-controlling interest of cash flow hedges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875</w:t>
            </w: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(1,412)</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(1,686)</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(1,442)</w:t>
            </w:r>
          </w:p>
        </w:tc>
      </w:tr>
      <w:tr>
        <w:trPr>
          <w:trHeight w:val="142"/>
        </w:trPr>
        <w:tc>
          <w:tcPr>
            <w:tcW w:w="602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(7,319)</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66,024</w:t>
            </w:r>
          </w:p>
        </w:tc>
      </w:tr>
      <w:tr>
        <w:trPr>
          <w:trHeight w:val="20"/>
        </w:trPr>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25"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During 2011, 2010 and 2009, Credicorp paid cash dividends, net of the effect of treasury shares, for approximately US$155.5, US$135.5 and US$119.3 million, respectively.</w:t>
      </w:r>
    </w:p>
    <w:p>
      <w:pPr>
        <w:spacing w:after="0" w:line="170"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The Board of Directors Meeting dated February 22, 2012 agreed to declare a cash dividend of US$2.3 per common share, approximately US$217.1 million, corresponding to the 2011 results, dividends will be paid in cash starting May 18, 2012.</w:t>
      </w:r>
    </w:p>
    <w:p>
      <w:pPr>
        <w:spacing w:after="0" w:line="170" w:lineRule="exact"/>
        <w:rPr>
          <w:sz w:val="20"/>
          <w:szCs w:val="20"/>
          <w:color w:val="auto"/>
        </w:rPr>
      </w:pPr>
    </w:p>
    <w:p>
      <w:pPr>
        <w:ind w:left="1000" w:right="380"/>
        <w:spacing w:after="0" w:line="308"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74" w:right="49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25" w:lineRule="exact"/>
        <w:rPr>
          <w:rFonts w:ascii="Arial" w:cs="Arial" w:eastAsia="Arial" w:hAnsi="Arial"/>
          <w:sz w:val="18"/>
          <w:szCs w:val="18"/>
          <w:color w:val="auto"/>
        </w:rPr>
      </w:pPr>
    </w:p>
    <w:p>
      <w:pPr>
        <w:ind w:left="1000" w:right="100"/>
        <w:spacing w:after="0" w:line="279" w:lineRule="auto"/>
        <w:rPr>
          <w:rFonts w:ascii="Arial" w:cs="Arial" w:eastAsia="Arial" w:hAnsi="Arial"/>
          <w:sz w:val="18"/>
          <w:szCs w:val="18"/>
          <w:color w:val="auto"/>
        </w:rPr>
      </w:pPr>
      <w:r>
        <w:rPr>
          <w:rFonts w:ascii="Arial" w:cs="Arial" w:eastAsia="Arial" w:hAnsi="Arial"/>
          <w:sz w:val="17"/>
          <w:szCs w:val="17"/>
          <w:color w:val="auto"/>
        </w:rPr>
        <w:t>As of December 31, 2011 and 2010, the regulatory capital for Credicorp’s subsidiaries engaged in financial and insurance activities in Peru calculated following SBS regulations amounted to approximately US$3,022.7 and US$2,391.3 million, respectively. As of December 31, 2011, the consolidated regulatory capital for Credicorp exceeds by approximately US$549.2 million the minimum regulatory consolidated capital required by the SBS (approximately US$514.8 million as of December 31, 2010).</w:t>
      </w:r>
    </w:p>
    <w:p>
      <w:pPr>
        <w:spacing w:after="0" w:line="167" w:lineRule="exact"/>
        <w:rPr>
          <w:rFonts w:ascii="Arial" w:cs="Arial" w:eastAsia="Arial" w:hAnsi="Arial"/>
          <w:sz w:val="18"/>
          <w:szCs w:val="18"/>
          <w:color w:val="auto"/>
        </w:rPr>
      </w:pPr>
    </w:p>
    <w:p>
      <w:pPr>
        <w:ind w:left="500" w:hanging="492"/>
        <w:spacing w:after="0"/>
        <w:tabs>
          <w:tab w:leader="none" w:pos="5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ind w:left="1000" w:right="260" w:hanging="492"/>
        <w:spacing w:after="0" w:line="286" w:lineRule="auto"/>
        <w:tabs>
          <w:tab w:leader="none" w:pos="10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Credicorp’s Peruvian subsidiaries are subject to corporate taxation on income under the Peruvian Tax system. The statutory Income Tax rate is 30 percent on taxable income after calculating the workers’ profit sharing, which in accordance with current legislation is determined using a 5 percent rate.</w:t>
      </w:r>
    </w:p>
    <w:p>
      <w:pPr>
        <w:spacing w:after="0" w:line="166"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Credicorp’s Bolivian subsidiaries are subject to corporate taxation on income under the Bolivian Tax system. The statutory income tax rate is 25 percent.</w:t>
      </w:r>
    </w:p>
    <w:p>
      <w:pPr>
        <w:spacing w:after="0" w:line="170" w:lineRule="exact"/>
        <w:rPr>
          <w:sz w:val="20"/>
          <w:szCs w:val="20"/>
          <w:color w:val="auto"/>
        </w:rPr>
      </w:pPr>
    </w:p>
    <w:p>
      <w:pPr>
        <w:ind w:left="1020" w:right="200"/>
        <w:spacing w:after="0" w:line="277" w:lineRule="auto"/>
        <w:rPr>
          <w:sz w:val="20"/>
          <w:szCs w:val="20"/>
          <w:color w:val="auto"/>
        </w:rPr>
      </w:pPr>
      <w:r>
        <w:rPr>
          <w:rFonts w:ascii="Arial" w:cs="Arial" w:eastAsia="Arial" w:hAnsi="Arial"/>
          <w:sz w:val="18"/>
          <w:szCs w:val="18"/>
          <w:color w:val="auto"/>
        </w:rPr>
        <w:t>ASHC and its Subsidiaries are not subject to taxes in the Cayman Islands or Panama. For the three years ended December 31, 2011, 2010 and 2009, no taxable income was generated from their operations in the United States of America.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0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2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w w:val="96"/>
              </w:rPr>
              <w:t>(i)  (Decrease) increase arising from net income of subsidiaries not domiciled</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02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in Peru</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440" w:type="dxa"/>
            <w:vAlign w:val="bottom"/>
          </w:tcPr>
          <w:p>
            <w:pPr>
              <w:ind w:left="120"/>
              <w:spacing w:after="0"/>
              <w:rPr>
                <w:sz w:val="20"/>
                <w:szCs w:val="20"/>
                <w:color w:val="auto"/>
              </w:rPr>
            </w:pPr>
            <w:r>
              <w:rPr>
                <w:rFonts w:ascii="Arial" w:cs="Arial" w:eastAsia="Arial" w:hAnsi="Arial"/>
                <w:sz w:val="18"/>
                <w:szCs w:val="18"/>
                <w:color w:val="auto"/>
              </w:rPr>
              <w:t>(ii)</w:t>
            </w:r>
          </w:p>
        </w:tc>
        <w:tc>
          <w:tcPr>
            <w:tcW w:w="5580" w:type="dxa"/>
            <w:vAlign w:val="bottom"/>
          </w:tcPr>
          <w:p>
            <w:pPr>
              <w:ind w:left="40"/>
              <w:spacing w:after="0"/>
              <w:rPr>
                <w:sz w:val="20"/>
                <w:szCs w:val="20"/>
                <w:color w:val="auto"/>
              </w:rPr>
            </w:pPr>
            <w:r>
              <w:rPr>
                <w:rFonts w:ascii="Arial" w:cs="Arial" w:eastAsia="Arial" w:hAnsi="Arial"/>
                <w:sz w:val="18"/>
                <w:szCs w:val="18"/>
                <w:color w:val="auto"/>
              </w:rPr>
              <w:t>Non-taxable income, net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r>
      <w:tr>
        <w:trPr>
          <w:trHeight w:val="216"/>
        </w:trPr>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(iii)</w:t>
            </w:r>
          </w:p>
        </w:tc>
        <w:tc>
          <w:tcPr>
            <w:tcW w:w="5580" w:type="dxa"/>
            <w:vAlign w:val="bottom"/>
            <w:shd w:val="clear" w:color="auto" w:fill="CCFFCC"/>
          </w:tcPr>
          <w:p>
            <w:pPr>
              <w:ind w:left="40"/>
              <w:spacing w:after="0"/>
              <w:rPr>
                <w:sz w:val="20"/>
                <w:szCs w:val="20"/>
                <w:color w:val="auto"/>
              </w:rPr>
            </w:pPr>
            <w:r>
              <w:rPr>
                <w:rFonts w:ascii="Arial" w:cs="Arial" w:eastAsia="Arial" w:hAnsi="Arial"/>
                <w:sz w:val="18"/>
                <w:szCs w:val="18"/>
                <w:color w:val="auto"/>
              </w:rPr>
              <w:t>Translation results not considered for tax purposes</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(4.74)</w:t>
            </w:r>
          </w:p>
        </w:tc>
      </w:tr>
      <w:tr>
        <w:trPr>
          <w:trHeight w:val="210"/>
        </w:trPr>
        <w:tc>
          <w:tcPr>
            <w:tcW w:w="6020" w:type="dxa"/>
            <w:vAlign w:val="bottom"/>
            <w:tcBorders>
              <w:top w:val="single" w:sz="8" w:color="CCFFCC"/>
            </w:tcBorders>
            <w:gridSpan w:val="2"/>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6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22.53</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23.67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21.54</w:t>
            </w:r>
          </w:p>
        </w:tc>
      </w:tr>
      <w:tr>
        <w:trPr>
          <w:trHeight w:val="20"/>
        </w:trPr>
        <w:tc>
          <w:tcPr>
            <w:tcW w:w="440" w:type="dxa"/>
            <w:vAlign w:val="bottom"/>
            <w:tcBorders>
              <w:top w:val="single" w:sz="8" w:color="CCFFCC"/>
            </w:tcBorders>
            <w:shd w:val="clear" w:color="auto" w:fill="CCFFCC"/>
          </w:tcPr>
          <w:p>
            <w:pPr>
              <w:spacing w:after="0" w:line="20" w:lineRule="exact"/>
              <w:rPr>
                <w:sz w:val="1"/>
                <w:szCs w:val="1"/>
                <w:color w:val="auto"/>
              </w:rPr>
            </w:pPr>
          </w:p>
        </w:tc>
        <w:tc>
          <w:tcPr>
            <w:tcW w:w="55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Income tax expense as of December 31, 2011, 2010 and 2009 comprises: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 Peru</w:t>
            </w:r>
          </w:p>
        </w:tc>
        <w:tc>
          <w:tcPr>
            <w:tcW w:w="1320" w:type="dxa"/>
            <w:vAlign w:val="bottom"/>
          </w:tcPr>
          <w:p>
            <w:pPr>
              <w:jc w:val="right"/>
              <w:spacing w:after="0"/>
              <w:rPr>
                <w:sz w:val="20"/>
                <w:szCs w:val="20"/>
                <w:color w:val="auto"/>
              </w:rPr>
            </w:pPr>
            <w:r>
              <w:rPr>
                <w:rFonts w:ascii="Arial" w:cs="Arial" w:eastAsia="Arial" w:hAnsi="Arial"/>
                <w:sz w:val="18"/>
                <w:szCs w:val="18"/>
                <w:color w:val="auto"/>
              </w:rPr>
              <w:t>217,726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200,195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3,219</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219,565</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203,414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w:t>
            </w: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 Peru</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(9,057)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(16,333)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210,508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187,081</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deferred income tax has been calculated on all temporary differences considering an income tax rate of 30 percent.</w:t>
      </w:r>
    </w:p>
    <w:p>
      <w:pPr>
        <w:spacing w:after="0" w:line="225" w:lineRule="exact"/>
        <w:rPr>
          <w:sz w:val="20"/>
          <w:szCs w:val="20"/>
          <w:color w:val="auto"/>
        </w:rPr>
      </w:pPr>
    </w:p>
    <w:p>
      <w:pPr>
        <w:ind w:left="1000" w:hanging="492"/>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1320" w:type="dxa"/>
            <w:vAlign w:val="bottom"/>
          </w:tcPr>
          <w:p>
            <w:pPr>
              <w:jc w:val="right"/>
              <w:spacing w:after="0"/>
              <w:rPr>
                <w:sz w:val="20"/>
                <w:szCs w:val="20"/>
                <w:color w:val="auto"/>
              </w:rPr>
            </w:pPr>
            <w:r>
              <w:rPr>
                <w:rFonts w:ascii="Arial" w:cs="Arial" w:eastAsia="Arial" w:hAnsi="Arial"/>
                <w:sz w:val="18"/>
                <w:szCs w:val="18"/>
                <w:color w:val="auto"/>
              </w:rPr>
              <w:t>73,429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10,230</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Share-based compensation rights provision</w:t>
            </w:r>
          </w:p>
        </w:tc>
        <w:tc>
          <w:tcPr>
            <w:tcW w:w="1320" w:type="dxa"/>
            <w:vAlign w:val="bottom"/>
          </w:tcPr>
          <w:p>
            <w:pPr>
              <w:jc w:val="right"/>
              <w:spacing w:after="0"/>
              <w:rPr>
                <w:sz w:val="20"/>
                <w:szCs w:val="20"/>
                <w:color w:val="auto"/>
              </w:rPr>
            </w:pPr>
            <w:r>
              <w:rPr>
                <w:rFonts w:ascii="Arial" w:cs="Arial" w:eastAsia="Arial" w:hAnsi="Arial"/>
                <w:sz w:val="18"/>
                <w:szCs w:val="18"/>
                <w:color w:val="auto"/>
              </w:rPr>
              <w:t>3,544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27,267</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Deferred income tax asset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114,470</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Unrealized net gains on investments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(67,405)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Intangibles assets, net</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(25,859)</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commissions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(5,742)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(5,596)</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Leasing operations, net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Gain for difference tax exchange</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(1,438)</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(19,767)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(127,960)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(168,777)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(13,490)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1" w:right="59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US$31.0, US$66.0 and US$14.1 million, as of December 31, 2011, 2010 and 2009, respectively, related to the income tax effects of unrealized gains and losses on investments available for sale and cash flow hedges. Likewise, the Group recognized the deferred tax liability arising from the acquisition of private hospitals (year 2011), see Note 2(a), Edyficar (year 2009), see Note 2(c) and AFP Prima (year 2006) for approximately US$35.8 million (approximately US$25.4 million, as of December 31, 2010).</w:t>
      </w:r>
    </w:p>
    <w:p>
      <w:pPr>
        <w:spacing w:after="0" w:line="188" w:lineRule="exact"/>
        <w:rPr>
          <w:sz w:val="20"/>
          <w:szCs w:val="20"/>
          <w:color w:val="auto"/>
        </w:rPr>
      </w:pPr>
    </w:p>
    <w:p>
      <w:pPr>
        <w:ind w:left="1000" w:right="80" w:hanging="492"/>
        <w:spacing w:after="0" w:line="259"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Peruvian Tax Authority has the right to review and, if necessary, amend the annual tax returns of the Peruvian subsidiaries up to four years after their filing. From the review of the subsidiaries’ tax returns by the Tax Authority no significant additional taxes arose for the consolidated financial statements. Management of each subsidiary has filed an appeal in the applicable cases. Tax returns of the main subsidiaries not yet reviewed by the Peruvian Tax Authority are the following:</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Edyficar</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Prima AFP</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Pacífico Peruano Suiza</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2007 – 2011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Pacífico Vida</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2007 – 2011</w:t>
            </w: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Nevertheless, the Peruvian Tax Authority has started tax audits for the fiscal year 2009 in Prima AFP and Pacifico Vida.</w:t>
      </w:r>
    </w:p>
    <w:p>
      <w:pPr>
        <w:spacing w:after="0" w:line="225"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2011 and 2010.</w:t>
      </w:r>
    </w:p>
    <w:p>
      <w:pPr>
        <w:spacing w:after="0" w:line="187" w:lineRule="exact"/>
        <w:rPr>
          <w:sz w:val="20"/>
          <w:szCs w:val="20"/>
          <w:color w:val="auto"/>
        </w:rPr>
      </w:pPr>
    </w:p>
    <w:p>
      <w:pPr>
        <w:ind w:left="1020" w:right="620"/>
        <w:spacing w:after="0" w:line="277" w:lineRule="auto"/>
        <w:rPr>
          <w:sz w:val="20"/>
          <w:szCs w:val="20"/>
          <w:color w:val="auto"/>
        </w:rPr>
      </w:pPr>
      <w:r>
        <w:rPr>
          <w:rFonts w:ascii="Arial" w:cs="Arial" w:eastAsia="Arial" w:hAnsi="Arial"/>
          <w:sz w:val="18"/>
          <w:szCs w:val="18"/>
          <w:color w:val="auto"/>
        </w:rPr>
        <w:t>Likewise, the Income Tax returns for the fiscal years 2006 to 2011 from Banco de Crédito de Bolivia are pending to be reviewed by the Bolivian Tax Authority.</w:t>
      </w:r>
    </w:p>
    <w:p>
      <w:pPr>
        <w:spacing w:after="0" w:line="166"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As indicated in Note 3(w), 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April,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outstanding SARs and their exercise prices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outstanding</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Year of</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SARs issued as of</w:t>
            </w:r>
          </w:p>
        </w:tc>
        <w:tc>
          <w:tcPr>
            <w:tcW w:w="314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Number of Vested SARs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Issuance</w:t>
            </w: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 2011</w:t>
            </w:r>
          </w:p>
        </w:tc>
        <w:tc>
          <w:tcPr>
            <w:tcW w:w="1160" w:type="dxa"/>
            <w:vAlign w:val="bottom"/>
          </w:tcPr>
          <w:p>
            <w:pPr>
              <w:spacing w:after="0"/>
              <w:rPr>
                <w:sz w:val="20"/>
                <w:szCs w:val="20"/>
                <w:color w:val="auto"/>
              </w:rPr>
            </w:pPr>
          </w:p>
        </w:tc>
        <w:tc>
          <w:tcPr>
            <w:tcW w:w="19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as of December 31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3"/>
          </w:tcPr>
          <w:p>
            <w:pPr>
              <w:ind w:left="5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2011</w:t>
            </w:r>
          </w:p>
        </w:tc>
        <w:tc>
          <w:tcPr>
            <w:tcW w:w="1980" w:type="dxa"/>
            <w:vAlign w:val="bottom"/>
            <w:tcBorders>
              <w:top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b w:val="1"/>
                <w:bCs w:val="1"/>
                <w:color w:val="auto"/>
              </w:rPr>
              <w:t>2010</w:t>
            </w: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2011</w:t>
            </w:r>
          </w:p>
        </w:tc>
        <w:tc>
          <w:tcPr>
            <w:tcW w:w="92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2003</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36,500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5.57</w:t>
            </w:r>
          </w:p>
        </w:tc>
        <w:tc>
          <w:tcPr>
            <w:tcW w:w="9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87,500</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8.39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2005</w:t>
            </w:r>
          </w:p>
        </w:tc>
        <w:tc>
          <w:tcPr>
            <w:tcW w:w="192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107,500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13.40</w:t>
            </w:r>
          </w:p>
        </w:tc>
        <w:tc>
          <w:tcPr>
            <w:tcW w:w="9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53,000</w:t>
            </w: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53,000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171,300</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2007</w:t>
            </w:r>
          </w:p>
        </w:tc>
        <w:tc>
          <w:tcPr>
            <w:tcW w:w="1920" w:type="dxa"/>
            <w:vAlign w:val="bottom"/>
          </w:tcPr>
          <w:p>
            <w:pPr>
              <w:jc w:val="right"/>
              <w:spacing w:after="0"/>
              <w:rPr>
                <w:sz w:val="20"/>
                <w:szCs w:val="20"/>
                <w:color w:val="auto"/>
              </w:rPr>
            </w:pPr>
            <w:r>
              <w:rPr>
                <w:rFonts w:ascii="Arial" w:cs="Arial" w:eastAsia="Arial" w:hAnsi="Arial"/>
                <w:sz w:val="18"/>
                <w:szCs w:val="18"/>
                <w:color w:val="auto"/>
              </w:rPr>
              <w:t>45,007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168,310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2008</w:t>
            </w: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65,216</w:t>
            </w:r>
          </w:p>
        </w:tc>
        <w:tc>
          <w:tcPr>
            <w:tcW w:w="20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65,216</w:t>
            </w:r>
          </w:p>
        </w:tc>
        <w:tc>
          <w:tcPr>
            <w:tcW w:w="22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206,589</w:t>
            </w:r>
          </w:p>
        </w:tc>
        <w:tc>
          <w:tcPr>
            <w:tcW w:w="1420" w:type="dxa"/>
            <w:vAlign w:val="bottom"/>
            <w:tcBorders>
              <w:bottom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bottom w:val="single" w:sz="8" w:color="CCFFCC"/>
            </w:tcBorders>
            <w:shd w:val="clear" w:color="auto" w:fill="CCFFCC"/>
          </w:tcPr>
          <w:p>
            <w:pPr>
              <w:spacing w:after="0"/>
              <w:rPr>
                <w:sz w:val="22"/>
                <w:szCs w:val="22"/>
                <w:color w:val="auto"/>
              </w:rPr>
            </w:pP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2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777,699</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right="40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2011 and 2010, using the binomial option pricing model, considering the following market information:</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1280" w:type="dxa"/>
            <w:vAlign w:val="bottom"/>
          </w:tcPr>
          <w:p>
            <w:pPr>
              <w:spacing w:after="0"/>
              <w:rPr>
                <w:sz w:val="20"/>
                <w:szCs w:val="20"/>
                <w:color w:val="auto"/>
              </w:rPr>
            </w:pPr>
          </w:p>
        </w:tc>
        <w:tc>
          <w:tcPr>
            <w:tcW w:w="1580" w:type="dxa"/>
            <w:vAlign w:val="bottom"/>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20"/>
                <w:szCs w:val="20"/>
                <w:color w:val="auto"/>
              </w:rPr>
            </w:pPr>
          </w:p>
        </w:tc>
        <w:tc>
          <w:tcPr>
            <w:tcW w:w="16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jc w:val="right"/>
              <w:ind w:right="570"/>
              <w:spacing w:after="0"/>
              <w:rPr>
                <w:sz w:val="20"/>
                <w:szCs w:val="20"/>
                <w:color w:val="auto"/>
              </w:rPr>
            </w:pPr>
            <w:r>
              <w:rPr>
                <w:rFonts w:ascii="Arial" w:cs="Arial" w:eastAsia="Arial" w:hAnsi="Arial"/>
                <w:sz w:val="18"/>
                <w:szCs w:val="18"/>
                <w:color w:val="auto"/>
              </w:rPr>
              <w:t>39.05%</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8"/>
                <w:szCs w:val="18"/>
                <w:color w:val="auto"/>
              </w:rPr>
            </w:pPr>
          </w:p>
        </w:tc>
        <w:tc>
          <w:tcPr>
            <w:tcW w:w="2280" w:type="dxa"/>
            <w:vAlign w:val="bottom"/>
            <w:gridSpan w:val="2"/>
          </w:tcPr>
          <w:p>
            <w:pPr>
              <w:jc w:val="right"/>
              <w:ind w:right="570"/>
              <w:spacing w:after="0"/>
              <w:rPr>
                <w:sz w:val="20"/>
                <w:szCs w:val="20"/>
                <w:color w:val="auto"/>
              </w:rPr>
            </w:pPr>
            <w:r>
              <w:rPr>
                <w:rFonts w:ascii="Arial" w:cs="Arial" w:eastAsia="Arial" w:hAnsi="Arial"/>
                <w:sz w:val="18"/>
                <w:szCs w:val="18"/>
                <w:color w:val="auto"/>
              </w:rPr>
              <w:t>2.43%</w:t>
            </w:r>
          </w:p>
        </w:tc>
        <w:tc>
          <w:tcPr>
            <w:tcW w:w="16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1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1.76 years</w:t>
            </w:r>
          </w:p>
        </w:tc>
        <w:tc>
          <w:tcPr>
            <w:tcW w:w="700" w:type="dxa"/>
            <w:vAlign w:val="bottom"/>
            <w:shd w:val="clear" w:color="auto" w:fill="CCFFCC"/>
          </w:tcPr>
          <w:p>
            <w:pPr>
              <w:spacing w:after="0"/>
              <w:rPr>
                <w:sz w:val="18"/>
                <w:szCs w:val="18"/>
                <w:color w:val="auto"/>
              </w:rPr>
            </w:pP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Quoted price of Credicorp shares at year-end</w:t>
            </w:r>
          </w:p>
        </w:tc>
        <w:tc>
          <w:tcPr>
            <w:tcW w:w="1280" w:type="dxa"/>
            <w:vAlign w:val="bottom"/>
          </w:tcPr>
          <w:p>
            <w:pPr>
              <w:ind w:left="700"/>
              <w:spacing w:after="0"/>
              <w:rPr>
                <w:sz w:val="20"/>
                <w:szCs w:val="20"/>
                <w:color w:val="auto"/>
              </w:rPr>
            </w:pPr>
            <w:r>
              <w:rPr>
                <w:rFonts w:ascii="Arial" w:cs="Arial" w:eastAsia="Arial" w:hAnsi="Arial"/>
                <w:sz w:val="18"/>
                <w:szCs w:val="18"/>
                <w:color w:val="auto"/>
              </w:rPr>
              <w:t>US$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109.47</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US$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of SARs for the years ended December 31, 2011 and 2010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0"/>
              </w:rPr>
              <w:t>Outstanding</w:t>
            </w:r>
          </w:p>
        </w:tc>
        <w:tc>
          <w:tcPr>
            <w:tcW w:w="2440" w:type="dxa"/>
            <w:vAlign w:val="bottom"/>
            <w:gridSpan w:val="4"/>
            <w:vMerge w:val="restart"/>
          </w:tcPr>
          <w:p>
            <w:pPr>
              <w:jc w:val="right"/>
              <w:ind w:right="840"/>
              <w:spacing w:after="0"/>
              <w:rPr>
                <w:sz w:val="20"/>
                <w:szCs w:val="20"/>
                <w:color w:val="auto"/>
              </w:rPr>
            </w:pPr>
            <w:r>
              <w:rPr>
                <w:rFonts w:ascii="Arial" w:cs="Arial" w:eastAsia="Arial" w:hAnsi="Arial"/>
                <w:sz w:val="18"/>
                <w:szCs w:val="18"/>
                <w:b w:val="1"/>
                <w:bCs w:val="1"/>
                <w:color w:val="auto"/>
              </w:rPr>
              <w:t>Vested SARs</w:t>
            </w:r>
          </w:p>
        </w:tc>
        <w:tc>
          <w:tcPr>
            <w:tcW w:w="1180" w:type="dxa"/>
            <w:vAlign w:val="bottom"/>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0"/>
              </w:rPr>
              <w:t>Outstanding</w:t>
            </w:r>
          </w:p>
        </w:tc>
        <w:tc>
          <w:tcPr>
            <w:tcW w:w="2260" w:type="dxa"/>
            <w:vAlign w:val="bottom"/>
            <w:gridSpan w:val="4"/>
            <w:vMerge w:val="restart"/>
          </w:tcPr>
          <w:p>
            <w:pPr>
              <w:jc w:val="right"/>
              <w:ind w:right="700"/>
              <w:spacing w:after="0"/>
              <w:rPr>
                <w:sz w:val="20"/>
                <w:szCs w:val="20"/>
                <w:color w:val="auto"/>
              </w:rPr>
            </w:pPr>
            <w:r>
              <w:rPr>
                <w:rFonts w:ascii="Arial" w:cs="Arial" w:eastAsia="Arial" w:hAnsi="Arial"/>
                <w:sz w:val="18"/>
                <w:szCs w:val="18"/>
                <w:b w:val="1"/>
                <w:bCs w:val="1"/>
                <w:color w:val="auto"/>
              </w:rPr>
              <w:t>Vested SARs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2440" w:type="dxa"/>
            <w:vAlign w:val="bottom"/>
            <w:gridSpan w:val="4"/>
            <w:vMerge w:val="continue"/>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SARs</w:t>
            </w:r>
          </w:p>
        </w:tc>
        <w:tc>
          <w:tcPr>
            <w:tcW w:w="22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2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4"/>
              </w:rPr>
              <w:t>Number</w:t>
            </w:r>
          </w:p>
        </w:tc>
        <w:tc>
          <w:tcPr>
            <w:tcW w:w="122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b w:val="1"/>
                <w:bCs w:val="1"/>
                <w:color w:val="auto"/>
              </w:rPr>
              <w:t>Number</w:t>
            </w:r>
          </w:p>
        </w:tc>
        <w:tc>
          <w:tcPr>
            <w:tcW w:w="10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1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4"/>
              </w:rPr>
              <w:t>Number</w:t>
            </w:r>
          </w:p>
        </w:tc>
        <w:tc>
          <w:tcPr>
            <w:tcW w:w="118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b w:val="1"/>
                <w:bCs w:val="1"/>
                <w:color w:val="auto"/>
              </w:rPr>
              <w:t>Number</w:t>
            </w:r>
          </w:p>
        </w:tc>
        <w:tc>
          <w:tcPr>
            <w:tcW w:w="9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795,155</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777,699</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76,989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1,147,463</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60,488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15,627</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(1,356)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(550,103)</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(550,103)</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(45,255)</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(349,260)</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(349,260)</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Decrease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(1,829)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(3,048)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fair value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(8,290)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36,322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2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0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22,088</w:t>
            </w:r>
          </w:p>
        </w:tc>
        <w:tc>
          <w:tcPr>
            <w:tcW w:w="20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795,155</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777,699</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76,989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Credicorp assumes the payment of the related income tax on behalf of its employees, which corresponds to 30 percent of the benefit. Credicorp estimates said income tax over the basis of the liability recorded for the vested benefits.</w:t>
      </w:r>
    </w:p>
    <w:p>
      <w:pPr>
        <w:spacing w:after="0" w:line="170" w:lineRule="exact"/>
        <w:rPr>
          <w:sz w:val="20"/>
          <w:szCs w:val="20"/>
          <w:color w:val="auto"/>
        </w:rPr>
      </w:pPr>
    </w:p>
    <w:p>
      <w:pPr>
        <w:ind w:left="1020" w:right="440"/>
        <w:spacing w:after="0" w:line="312" w:lineRule="auto"/>
        <w:rPr>
          <w:sz w:val="20"/>
          <w:szCs w:val="20"/>
          <w:color w:val="auto"/>
        </w:rPr>
      </w:pPr>
      <w:r>
        <w:rPr>
          <w:rFonts w:ascii="Arial" w:cs="Arial" w:eastAsia="Arial" w:hAnsi="Arial"/>
          <w:sz w:val="16"/>
          <w:szCs w:val="16"/>
          <w:color w:val="auto"/>
        </w:rPr>
        <w:t>The liabilities recorded for this plan, including the above mentioned income tax, are included in the consolidated statements of financial position caption “Other liabilities – Payroll taxes, salaries and other personnel expenses”, Note 11(a), and the expenses in the consolidated statements of income caption “Salaries and employees benefits”. Modifications to SARs prices were agreed with Group’s employees.</w:t>
      </w:r>
    </w:p>
    <w:p>
      <w:pPr>
        <w:spacing w:after="0" w:line="147"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During 2011, 2010 and previous years, the Group signed several contracts by which it acquired certificates linked to the yield of Credicorp’s shares, see Note 7(c).</w:t>
      </w:r>
    </w:p>
    <w:p>
      <w:pPr>
        <w:spacing w:after="0" w:line="170" w:lineRule="exact"/>
        <w:rPr>
          <w:sz w:val="20"/>
          <w:szCs w:val="20"/>
          <w:color w:val="auto"/>
        </w:rPr>
      </w:pPr>
    </w:p>
    <w:p>
      <w:pPr>
        <w:ind w:left="1000" w:hanging="492"/>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Stock awards (“equity-settled transaction”)</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Under this new plan Credicorp grants its own shares to the plan beneficiaries. Shares granted will vest up to 33.3 percent of all granted shares in each one of the subsequent three years to the grant date (March or April of each year).</w:t>
      </w:r>
    </w:p>
    <w:p>
      <w:pPr>
        <w:spacing w:after="0" w:line="170" w:lineRule="exact"/>
        <w:rPr>
          <w:sz w:val="20"/>
          <w:szCs w:val="20"/>
          <w:color w:val="auto"/>
        </w:rPr>
      </w:pPr>
    </w:p>
    <w:p>
      <w:pPr>
        <w:ind w:left="1020" w:right="80"/>
        <w:spacing w:after="0" w:line="279" w:lineRule="auto"/>
        <w:rPr>
          <w:sz w:val="20"/>
          <w:szCs w:val="20"/>
          <w:color w:val="auto"/>
        </w:rPr>
      </w:pPr>
      <w:r>
        <w:rPr>
          <w:rFonts w:ascii="Arial" w:cs="Arial" w:eastAsia="Arial" w:hAnsi="Arial"/>
          <w:sz w:val="17"/>
          <w:szCs w:val="17"/>
          <w:color w:val="auto"/>
        </w:rPr>
        <w:t>The fair value of stock awards granted is estimated at the grant date using a binomial pricing model with similar key assumptions as those used for the valuation of SARs (see paragraph (a) above), taking into account the terms and conditions upon which the shares were granted. Credicorp assumes the payment of the related income tax on behalf of its employees, which corresponds to 30 percent of the benefit. Credicorp estimates said income tax over the basis of the fair value of the shares granted at the grant date.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As of December 31, 2011, the Group had granted 549,529 shares of Credicorp, of which 333,294 shares were outstanding (396,658 and 321,630 shares, respectively as of December 31, 2010). The expense recorded for the year ended December 31, 2011 amounted to approximately US$15.7 million (US$11.2 and US$5.9 million for the years ended December 31, 2010 and 2009,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19.</w:t>
            </w:r>
          </w:p>
        </w:tc>
        <w:tc>
          <w:tcPr>
            <w:tcW w:w="6580" w:type="dxa"/>
            <w:vAlign w:val="bottom"/>
            <w:gridSpan w:val="3"/>
          </w:tcPr>
          <w:p>
            <w:pPr>
              <w:ind w:left="120"/>
              <w:spacing w:after="0"/>
              <w:rPr>
                <w:sz w:val="20"/>
                <w:szCs w:val="20"/>
                <w:color w:val="auto"/>
              </w:rPr>
            </w:pPr>
            <w:r>
              <w:rPr>
                <w:rFonts w:ascii="Arial" w:cs="Arial" w:eastAsia="Arial" w:hAnsi="Arial"/>
                <w:sz w:val="18"/>
                <w:szCs w:val="18"/>
                <w:b w:val="1"/>
                <w:bCs w:val="1"/>
                <w:color w:val="auto"/>
              </w:rPr>
              <w:t>Off-balance sheet accounts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 indirect loans (b), Note 6(a)</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1480" w:type="dxa"/>
            <w:vAlign w:val="bottom"/>
          </w:tcPr>
          <w:p>
            <w:pPr>
              <w:jc w:val="right"/>
              <w:spacing w:after="0"/>
              <w:rPr>
                <w:sz w:val="20"/>
                <w:szCs w:val="20"/>
                <w:color w:val="auto"/>
              </w:rPr>
            </w:pPr>
            <w:r>
              <w:rPr>
                <w:rFonts w:ascii="Arial" w:cs="Arial" w:eastAsia="Arial" w:hAnsi="Arial"/>
                <w:sz w:val="18"/>
                <w:szCs w:val="18"/>
                <w:color w:val="auto"/>
              </w:rPr>
              <w:t>3,128,534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2,718,200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599,466</w:t>
            </w:r>
          </w:p>
        </w:tc>
        <w:tc>
          <w:tcPr>
            <w:tcW w:w="18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417,011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3,728,000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3,135,211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for trading, Note 11(b)</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Forward currency contracts - buy</w:t>
            </w:r>
          </w:p>
        </w:tc>
        <w:tc>
          <w:tcPr>
            <w:tcW w:w="1480" w:type="dxa"/>
            <w:vAlign w:val="bottom"/>
          </w:tcPr>
          <w:p>
            <w:pPr>
              <w:jc w:val="right"/>
              <w:spacing w:after="0"/>
              <w:rPr>
                <w:sz w:val="20"/>
                <w:szCs w:val="20"/>
                <w:color w:val="auto"/>
              </w:rPr>
            </w:pPr>
            <w:r>
              <w:rPr>
                <w:rFonts w:ascii="Arial" w:cs="Arial" w:eastAsia="Arial" w:hAnsi="Arial"/>
                <w:sz w:val="18"/>
                <w:szCs w:val="18"/>
                <w:color w:val="auto"/>
              </w:rPr>
              <w:t>1,892,970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1,794,215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Forward currency contracts - sell</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1,580,294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833,980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tcPr>
          <w:p>
            <w:pPr>
              <w:jc w:val="right"/>
              <w:spacing w:after="0"/>
              <w:rPr>
                <w:sz w:val="20"/>
                <w:szCs w:val="20"/>
                <w:color w:val="auto"/>
              </w:rPr>
            </w:pPr>
            <w:r>
              <w:rPr>
                <w:rFonts w:ascii="Arial" w:cs="Arial" w:eastAsia="Arial" w:hAnsi="Arial"/>
                <w:sz w:val="18"/>
                <w:szCs w:val="18"/>
                <w:color w:val="auto"/>
              </w:rPr>
              <w:t>697,436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699,800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312,975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463,104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64,184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as hedges, Note 11(b)</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1,187,673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999,672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Cross currency swaps</w:t>
            </w:r>
          </w:p>
        </w:tc>
        <w:tc>
          <w:tcPr>
            <w:tcW w:w="1480" w:type="dxa"/>
            <w:vAlign w:val="bottom"/>
          </w:tcPr>
          <w:p>
            <w:pPr>
              <w:jc w:val="right"/>
              <w:spacing w:after="0"/>
              <w:rPr>
                <w:sz w:val="20"/>
                <w:szCs w:val="20"/>
                <w:color w:val="auto"/>
              </w:rPr>
            </w:pPr>
            <w:r>
              <w:rPr>
                <w:rFonts w:ascii="Arial" w:cs="Arial" w:eastAsia="Arial" w:hAnsi="Arial"/>
                <w:sz w:val="18"/>
                <w:szCs w:val="18"/>
                <w:color w:val="auto"/>
              </w:rPr>
              <w:t>115,433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 and interest rate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82,226</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113,362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Fair value hedges: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54,049</w:t>
            </w:r>
          </w:p>
        </w:tc>
        <w:tc>
          <w:tcPr>
            <w:tcW w:w="18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54,560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5,987,240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5,201,858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Responsibilities under credit lines agreements (c)</w:t>
            </w:r>
          </w:p>
        </w:tc>
        <w:tc>
          <w:tcPr>
            <w:tcW w:w="1480" w:type="dxa"/>
            <w:vAlign w:val="bottom"/>
          </w:tcPr>
          <w:p>
            <w:pPr>
              <w:jc w:val="right"/>
              <w:spacing w:after="0"/>
              <w:rPr>
                <w:sz w:val="20"/>
                <w:szCs w:val="20"/>
                <w:color w:val="auto"/>
              </w:rPr>
            </w:pPr>
            <w:r>
              <w:rPr>
                <w:rFonts w:ascii="Arial" w:cs="Arial" w:eastAsia="Arial" w:hAnsi="Arial"/>
                <w:sz w:val="18"/>
                <w:szCs w:val="18"/>
                <w:color w:val="auto"/>
              </w:rPr>
              <w:t>3,525,517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2,449,807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13,240,757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10,786,876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260" w:hanging="492"/>
        <w:spacing w:after="0" w:line="308" w:lineRule="auto"/>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93"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65" w:lineRule="exact"/>
        <w:rPr>
          <w:sz w:val="20"/>
          <w:szCs w:val="20"/>
          <w:color w:val="auto"/>
        </w:rPr>
      </w:pPr>
    </w:p>
    <w:p>
      <w:pPr>
        <w:ind w:left="1000" w:right="340" w:hanging="492"/>
        <w:spacing w:after="0" w:line="277"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66" w:lineRule="exact"/>
        <w:rPr>
          <w:rFonts w:ascii="Arial" w:cs="Arial" w:eastAsia="Arial" w:hAnsi="Arial"/>
          <w:sz w:val="18"/>
          <w:szCs w:val="18"/>
          <w:color w:val="auto"/>
        </w:rPr>
      </w:pPr>
    </w:p>
    <w:p>
      <w:pPr>
        <w:ind w:left="520" w:right="6920" w:hanging="512"/>
        <w:spacing w:after="0" w:line="501" w:lineRule="auto"/>
        <w:tabs>
          <w:tab w:leader="none" w:pos="509"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and dividend income and interest expenses </w:t>
      </w:r>
      <w:r>
        <w:rPr>
          <w:rFonts w:ascii="Arial" w:cs="Arial" w:eastAsia="Arial" w:hAnsi="Arial"/>
          <w:sz w:val="18"/>
          <w:szCs w:val="18"/>
          <w:color w:val="auto"/>
        </w:rPr>
        <w:t>These items are made up as follow:</w:t>
      </w:r>
    </w:p>
    <w:tbl>
      <w:tblPr>
        <w:tblLayout w:type="fixed"/>
        <w:tblInd w:w="50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Interest and dividend income</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loans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1,533,351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1,218,728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1,062,046</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investments available-for-sale</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223,809</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191,971</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183,309</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due from banks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42,886</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32,337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15,918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trading securities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3,900</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4,824</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15,321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11,615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9,715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interest income</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18,497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12,233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38,617</w:t>
            </w:r>
          </w:p>
        </w:tc>
      </w:tr>
      <w:tr>
        <w:trPr>
          <w:trHeight w:val="210"/>
        </w:trPr>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1,837,764</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1,471,708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1,312,925</w:t>
            </w:r>
          </w:p>
        </w:tc>
      </w:tr>
      <w:tr>
        <w:trPr>
          <w:trHeight w:val="197"/>
        </w:trPr>
        <w:tc>
          <w:tcPr>
            <w:tcW w:w="578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Interest expenses</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deposits and obligations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(217,322)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(156,106)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(226,875)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bonds and notes issued</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(186,743)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(124,311)</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(91,319)</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due to banks and correspondents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(64,369)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(43,532)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(27,328)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from hedging derivatives instruments</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(7,666)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(25,692)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(10,593)</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interest expenses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(55,500)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(64,480)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(64,449)</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(531,600)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(414,121)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r>
      <w:tr>
        <w:trPr>
          <w:trHeight w:val="20"/>
        </w:trPr>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During 2011, 2010 and 2009, the interest income accrued on impaired financial instruments recognized in the consolidated statements of income amounted to US$7.8, US$7.2 and US$5.0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jc w:val="both"/>
        <w:ind w:left="520" w:right="7920" w:hanging="512"/>
        <w:spacing w:after="0" w:line="601" w:lineRule="auto"/>
        <w:tabs>
          <w:tab w:leader="none" w:pos="509"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services commissions </w:t>
      </w:r>
      <w:r>
        <w:rPr>
          <w:rFonts w:ascii="Arial" w:cs="Arial" w:eastAsia="Arial" w:hAnsi="Arial"/>
          <w:sz w:val="15"/>
          <w:szCs w:val="15"/>
          <w:color w:val="auto"/>
        </w:rPr>
        <w:t>This item is made up as follows:</w:t>
      </w:r>
    </w:p>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0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gridSpan w:val="6"/>
            <w:shd w:val="clear" w:color="auto" w:fill="CCFFCC"/>
          </w:tcPr>
          <w:p>
            <w:pPr>
              <w:ind w:left="20"/>
              <w:spacing w:after="0"/>
              <w:rPr>
                <w:sz w:val="20"/>
                <w:szCs w:val="20"/>
                <w:color w:val="auto"/>
              </w:rPr>
            </w:pPr>
            <w:r>
              <w:rPr>
                <w:rFonts w:ascii="Arial" w:cs="Arial" w:eastAsia="Arial" w:hAnsi="Arial"/>
                <w:sz w:val="18"/>
                <w:szCs w:val="18"/>
                <w:color w:val="auto"/>
              </w:rPr>
              <w:t>Maintenance of accounts, transfers and credit and debit card services</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288,493</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251,840</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196,642</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Funds management</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147,470</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125,605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100,160</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Contingent loans fees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52,162</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43,781</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33,339</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Collection services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57,036</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49,836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42,841</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7"/>
              </w:rPr>
              <w:t>Commissions for banking services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28,249</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22,038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14,657</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Brokerage and custody services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8,737</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7,473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10,130</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25,696</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24,322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39,050</w:t>
            </w:r>
          </w:p>
        </w:tc>
      </w:tr>
      <w:tr>
        <w:trPr>
          <w:trHeight w:val="210"/>
        </w:trPr>
        <w:tc>
          <w:tcPr>
            <w:tcW w:w="500" w:type="dxa"/>
            <w:vAlign w:val="bottom"/>
          </w:tcPr>
          <w:p>
            <w:pPr>
              <w:spacing w:after="0"/>
              <w:rPr>
                <w:sz w:val="18"/>
                <w:szCs w:val="18"/>
                <w:color w:val="auto"/>
              </w:rPr>
            </w:pPr>
          </w:p>
        </w:tc>
        <w:tc>
          <w:tcPr>
            <w:tcW w:w="27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34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3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607,843</w:t>
            </w:r>
          </w:p>
        </w:tc>
        <w:tc>
          <w:tcPr>
            <w:tcW w:w="18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524,895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436,819</w:t>
            </w:r>
          </w:p>
        </w:tc>
      </w:tr>
      <w:tr>
        <w:trPr>
          <w:trHeight w:val="413"/>
        </w:trPr>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22.</w:t>
            </w:r>
          </w:p>
        </w:tc>
        <w:tc>
          <w:tcPr>
            <w:tcW w:w="27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premiums earned</w:t>
            </w:r>
          </w:p>
        </w:tc>
        <w:tc>
          <w:tcPr>
            <w:tcW w:w="134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Premiums ceded</w:t>
            </w:r>
          </w:p>
        </w:tc>
        <w:tc>
          <w:tcPr>
            <w:tcW w:w="40" w:type="dxa"/>
            <w:vAlign w:val="bottom"/>
          </w:tcPr>
          <w:p>
            <w:pPr>
              <w:spacing w:after="0"/>
              <w:rPr>
                <w:sz w:val="24"/>
                <w:szCs w:val="2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Assumed</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to reinsurers, net</w:t>
            </w:r>
          </w:p>
        </w:tc>
        <w:tc>
          <w:tcPr>
            <w:tcW w:w="40" w:type="dxa"/>
            <w:vAlign w:val="bottom"/>
          </w:tcPr>
          <w:p>
            <w:pPr>
              <w:spacing w:after="0"/>
              <w:rPr>
                <w:sz w:val="18"/>
                <w:szCs w:val="18"/>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from other</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Net premiums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of assumed net</w:t>
            </w:r>
          </w:p>
        </w:tc>
      </w:tr>
      <w:tr>
        <w:trPr>
          <w:trHeight w:val="220"/>
        </w:trPr>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premiums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companies, net</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earned</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premiums</w:t>
            </w:r>
          </w:p>
        </w:tc>
      </w:tr>
      <w:tr>
        <w:trPr>
          <w:trHeight w:val="230"/>
        </w:trPr>
        <w:tc>
          <w:tcPr>
            <w:tcW w:w="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40" w:type="dxa"/>
            <w:vAlign w:val="bottom"/>
          </w:tcPr>
          <w:p>
            <w:pPr>
              <w:spacing w:after="0"/>
              <w:rPr>
                <w:sz w:val="20"/>
                <w:szCs w:val="20"/>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2011</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200,468</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191,835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236,512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(3,195)</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2,338</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235,655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258,274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(117,975)</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6,634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146,933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0"/>
        </w:trPr>
        <w:tc>
          <w:tcPr>
            <w:tcW w:w="500" w:type="dxa"/>
            <w:vAlign w:val="bottom"/>
          </w:tcPr>
          <w:p>
            <w:pPr>
              <w:spacing w:after="0"/>
              <w:rPr>
                <w:sz w:val="18"/>
                <w:szCs w:val="18"/>
                <w:color w:val="auto"/>
              </w:rPr>
            </w:pPr>
          </w:p>
        </w:tc>
        <w:tc>
          <w:tcPr>
            <w:tcW w:w="270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40" w:type="dxa"/>
            <w:vAlign w:val="bottom"/>
            <w:tcBorders>
              <w:top w:val="single" w:sz="8" w:color="auto"/>
            </w:tcBorders>
            <w:gridSpan w:val="2"/>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695,254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(129,803)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8,972</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574,423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0"/>
        </w:trPr>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27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2010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156,611</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(7,544)</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149,067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203,635</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3,355</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204,173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204,236</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(84,935)</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7,752</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127,053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w:t>
            </w:r>
          </w:p>
        </w:tc>
      </w:tr>
      <w:tr>
        <w:trPr>
          <w:trHeight w:val="210"/>
        </w:trPr>
        <w:tc>
          <w:tcPr>
            <w:tcW w:w="500" w:type="dxa"/>
            <w:vAlign w:val="bottom"/>
          </w:tcPr>
          <w:p>
            <w:pPr>
              <w:spacing w:after="0"/>
              <w:rPr>
                <w:sz w:val="18"/>
                <w:szCs w:val="18"/>
                <w:color w:val="auto"/>
              </w:rPr>
            </w:pPr>
          </w:p>
        </w:tc>
        <w:tc>
          <w:tcPr>
            <w:tcW w:w="270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564,482</w:t>
            </w:r>
          </w:p>
        </w:tc>
        <w:tc>
          <w:tcPr>
            <w:tcW w:w="20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(95,296)</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11,107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480,293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w:t>
            </w:r>
          </w:p>
        </w:tc>
      </w:tr>
      <w:tr>
        <w:trPr>
          <w:trHeight w:val="197"/>
        </w:trPr>
        <w:tc>
          <w:tcPr>
            <w:tcW w:w="500" w:type="dxa"/>
            <w:vAlign w:val="bottom"/>
          </w:tcPr>
          <w:p>
            <w:pPr>
              <w:spacing w:after="0"/>
              <w:rPr>
                <w:sz w:val="17"/>
                <w:szCs w:val="17"/>
                <w:color w:val="auto"/>
              </w:rPr>
            </w:pPr>
          </w:p>
        </w:tc>
        <w:tc>
          <w:tcPr>
            <w:tcW w:w="270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2009</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127,569</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(6,120)</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121,449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174,396</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(2,536)</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2,967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174,827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232,369</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(110,613)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6,650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128,406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0"/>
        </w:trPr>
        <w:tc>
          <w:tcPr>
            <w:tcW w:w="500" w:type="dxa"/>
            <w:vAlign w:val="bottom"/>
          </w:tcPr>
          <w:p>
            <w:pPr>
              <w:spacing w:after="0"/>
              <w:rPr>
                <w:sz w:val="18"/>
                <w:szCs w:val="18"/>
                <w:color w:val="auto"/>
              </w:rPr>
            </w:pPr>
          </w:p>
        </w:tc>
        <w:tc>
          <w:tcPr>
            <w:tcW w:w="270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40" w:type="dxa"/>
            <w:vAlign w:val="bottom"/>
            <w:tcBorders>
              <w:top w:val="single" w:sz="8" w:color="auto"/>
            </w:tcBorders>
            <w:gridSpan w:val="2"/>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534,334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(119,269)</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9,617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424,682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0"/>
        </w:trPr>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526"/>
        <w:spacing w:after="0"/>
        <w:tabs>
          <w:tab w:leader="none" w:pos="10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4" w:right="87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hanging="526"/>
        <w:spacing w:after="0"/>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2"/>
          <w:numId w:val="113"/>
        </w:numPr>
        <w:rPr>
          <w:rFonts w:ascii="Arial" w:cs="Arial" w:eastAsia="Arial" w:hAnsi="Arial"/>
          <w:sz w:val="17"/>
          <w:szCs w:val="17"/>
          <w:color w:val="auto"/>
        </w:rPr>
      </w:pPr>
      <w:r>
        <w:rPr>
          <w:rFonts w:ascii="Arial" w:cs="Arial" w:eastAsia="Arial" w:hAnsi="Arial"/>
          <w:sz w:val="17"/>
          <w:szCs w:val="17"/>
          <w:color w:val="auto"/>
        </w:rPr>
        <w:t>US$40.3 million for automatic contracts (mainly excess of loss) and reinstallation premiums (US$33.3 million for the year 2010).</w:t>
      </w:r>
    </w:p>
    <w:p>
      <w:pPr>
        <w:spacing w:after="0" w:line="236" w:lineRule="exact"/>
        <w:rPr>
          <w:rFonts w:ascii="Arial" w:cs="Arial" w:eastAsia="Arial" w:hAnsi="Arial"/>
          <w:sz w:val="17"/>
          <w:szCs w:val="17"/>
          <w:color w:val="auto"/>
        </w:rPr>
      </w:pPr>
    </w:p>
    <w:p>
      <w:pPr>
        <w:ind w:left="1520" w:hanging="499"/>
        <w:spacing w:after="0" w:line="277" w:lineRule="auto"/>
        <w:tabs>
          <w:tab w:leader="none" w:pos="15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Gain of US$98.6 million for facultative contracts and of US$9.1 for unearned premiums ceded reserves (gain of US$94.4 and US$32.4 million for the year 2010).</w:t>
      </w:r>
    </w:p>
    <w:p>
      <w:pPr>
        <w:spacing w:after="0" w:line="166" w:lineRule="exact"/>
        <w:rPr>
          <w:rFonts w:ascii="Arial" w:cs="Arial" w:eastAsia="Arial" w:hAnsi="Arial"/>
          <w:sz w:val="18"/>
          <w:szCs w:val="18"/>
          <w:color w:val="auto"/>
        </w:rPr>
      </w:pPr>
    </w:p>
    <w:p>
      <w:pPr>
        <w:ind w:left="520" w:right="4480" w:hanging="512"/>
        <w:spacing w:after="0" w:line="501" w:lineRule="auto"/>
        <w:tabs>
          <w:tab w:leader="none" w:pos="509"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property and casualty and health insurance contracts </w:t>
      </w:r>
      <w:r>
        <w:rPr>
          <w:rFonts w:ascii="Arial" w:cs="Arial" w:eastAsia="Arial" w:hAnsi="Arial"/>
          <w:sz w:val="18"/>
          <w:szCs w:val="18"/>
          <w:color w:val="auto"/>
        </w:rPr>
        <w:t>This item is made up as follows:</w:t>
      </w: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7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 Note 14(b)</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123,194</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93,314</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189,878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406,386</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 Note 8(b)</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(4,515)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(22,602)</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(28,627)</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118,679</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70,712</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188,368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377,759</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7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 Note 14(b)</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102,821</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82,763</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161,606</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347,190</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 Note 8(b)</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(2,719)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(27,849)</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(31,618)</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100,102</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54,914</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160,556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315,572</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5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General</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insurance</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Health 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80,971</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108,397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148,985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338,353</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(1,762)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(49,149)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(51,895)</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79,209</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59,248</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148,001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286,458</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4" w:right="39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24.</w:t>
            </w:r>
          </w:p>
        </w:tc>
        <w:tc>
          <w:tcPr>
            <w:tcW w:w="5780" w:type="dxa"/>
            <w:vAlign w:val="bottom"/>
          </w:tcPr>
          <w:p>
            <w:pPr>
              <w:spacing w:after="0"/>
              <w:rPr>
                <w:sz w:val="20"/>
                <w:szCs w:val="20"/>
                <w:color w:val="auto"/>
              </w:rPr>
            </w:pPr>
            <w:r>
              <w:rPr>
                <w:rFonts w:ascii="Arial" w:cs="Arial" w:eastAsia="Arial" w:hAnsi="Arial"/>
                <w:sz w:val="18"/>
                <w:szCs w:val="18"/>
                <w:b w:val="1"/>
                <w:bCs w:val="1"/>
                <w:color w:val="auto"/>
              </w:rPr>
              <w:t>Other income and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These items are made up as follow:</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Other income</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Income from sale of seized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4,089</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5,373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Real estate rental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5,672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4,309</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4,035</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Recoveries of other accounts receivable and other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1,749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8,520</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19,955</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19,237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15,497</w:t>
            </w:r>
          </w:p>
        </w:tc>
      </w:tr>
      <w:tr>
        <w:trPr>
          <w:trHeight w:val="210"/>
        </w:trPr>
        <w:tc>
          <w:tcPr>
            <w:tcW w:w="500" w:type="dxa"/>
            <w:vAlign w:val="bottom"/>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other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30,374</w:t>
            </w:r>
          </w:p>
        </w:tc>
        <w:tc>
          <w:tcPr>
            <w:tcW w:w="20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30,668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32,144</w:t>
            </w:r>
          </w:p>
        </w:tc>
      </w:tr>
      <w:tr>
        <w:trPr>
          <w:trHeight w:val="197"/>
        </w:trPr>
        <w:tc>
          <w:tcPr>
            <w:tcW w:w="500" w:type="dxa"/>
            <w:vAlign w:val="bottom"/>
          </w:tcPr>
          <w:p>
            <w:pPr>
              <w:spacing w:after="0"/>
              <w:rPr>
                <w:sz w:val="17"/>
                <w:szCs w:val="17"/>
                <w:color w:val="auto"/>
              </w:rPr>
            </w:pPr>
          </w:p>
        </w:tc>
        <w:tc>
          <w:tcPr>
            <w:tcW w:w="578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Other expenses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Commissions from insurance activities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48,847</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39,796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42,701</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Sundry technical insurance expenses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29,292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17,413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13,574</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Provision for sundry risks, Note 11(d)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8,440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14,425</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 for other accounts receivables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2,613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9,590</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19,091</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22,957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16,524</w:t>
            </w:r>
          </w:p>
        </w:tc>
      </w:tr>
      <w:tr>
        <w:trPr>
          <w:trHeight w:val="210"/>
        </w:trPr>
        <w:tc>
          <w:tcPr>
            <w:tcW w:w="500" w:type="dxa"/>
            <w:vAlign w:val="bottom"/>
          </w:tcPr>
          <w:p>
            <w:pPr>
              <w:spacing w:after="0"/>
              <w:rPr>
                <w:sz w:val="18"/>
                <w:szCs w:val="18"/>
                <w:color w:val="auto"/>
              </w:rPr>
            </w:pPr>
          </w:p>
        </w:tc>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109,540</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91,219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96,814</w:t>
            </w:r>
          </w:p>
        </w:tc>
      </w:tr>
      <w:tr>
        <w:trPr>
          <w:trHeight w:val="20"/>
        </w:trPr>
        <w:tc>
          <w:tcPr>
            <w:tcW w:w="5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net earnings per ordinary share has been determined over the net income attributable to equity holders of Credicorp, as follows: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8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w w:val="94"/>
              </w:rPr>
              <w:t>Net income attributable to equity holders of Credicorp (in thousands of</w:t>
            </w:r>
          </w:p>
        </w:tc>
        <w:tc>
          <w:tcPr>
            <w:tcW w:w="1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4"/>
        </w:trPr>
        <w:tc>
          <w:tcPr>
            <w:tcW w:w="57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U.S. Dollars)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709,272</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571,302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r>
      <w:tr>
        <w:trPr>
          <w:trHeight w:val="210"/>
        </w:trPr>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Number of shares:</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Ordinary shares, Note 16(a)</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94,382,317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94,382,317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 treasury shares</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(14,941,833)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(14,847,842)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(14,620,842)</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Acquisition of treasury shares, net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(24,843)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(70,494)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(170,250)</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79,415,641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79,463,981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79,591,225</w:t>
            </w: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Plus - effect of dilution</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247,204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201,168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72,243</w:t>
            </w: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Stock awards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w w:val="92"/>
              </w:rPr>
              <w:t>Weighted average number of ordinary shares adjusted for the effect of dilution</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79,662,845</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79,665,149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79,663,468</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(in U.S. Dollars)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Diluted earnings per share (in U.S. Dollars)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8.90</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4" w:right="87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9" w:lineRule="exact"/>
        <w:rPr>
          <w:rFonts w:ascii="Arial" w:cs="Arial" w:eastAsia="Arial" w:hAnsi="Arial"/>
          <w:sz w:val="18"/>
          <w:szCs w:val="18"/>
          <w:b w:val="1"/>
          <w:bCs w:val="1"/>
          <w:color w:val="auto"/>
        </w:rPr>
      </w:pPr>
    </w:p>
    <w:p>
      <w:pPr>
        <w:ind w:left="520" w:right="20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 Banking -</w:t>
      </w:r>
    </w:p>
    <w:p>
      <w:pPr>
        <w:ind w:left="52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Principally handling loans, credit facilities, deposits and current accounts, and providing investment banking services, including corporate finance, for corporate, individual and institutional customers.</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Insurance -</w:t>
      </w:r>
    </w:p>
    <w:p>
      <w:pPr>
        <w:spacing w:after="0" w:line="225" w:lineRule="exact"/>
        <w:rPr>
          <w:rFonts w:ascii="Arial" w:cs="Arial" w:eastAsia="Arial" w:hAnsi="Arial"/>
          <w:sz w:val="18"/>
          <w:szCs w:val="18"/>
          <w:b w:val="1"/>
          <w:bCs w:val="1"/>
          <w:color w:val="auto"/>
        </w:rPr>
      </w:pPr>
    </w:p>
    <w:p>
      <w:pPr>
        <w:ind w:left="52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Principally granting commercial property, transportation and marine hull, automobile, life, health and pension fund underwriting insurance. Private hospitals services are also included under this operating segment.</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Pension funds -</w:t>
      </w:r>
    </w:p>
    <w:p>
      <w:pPr>
        <w:spacing w:after="0" w:line="225" w:lineRule="exact"/>
        <w:rPr>
          <w:rFonts w:ascii="Arial" w:cs="Arial" w:eastAsia="Arial" w:hAnsi="Arial"/>
          <w:sz w:val="18"/>
          <w:szCs w:val="18"/>
          <w:b w:val="1"/>
          <w:bCs w:val="1"/>
          <w:color w:val="auto"/>
        </w:rPr>
      </w:pPr>
    </w:p>
    <w:p>
      <w:pPr>
        <w:ind w:left="520" w:right="596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individuals. Brokerage and other -</w:t>
      </w:r>
    </w:p>
    <w:p>
      <w:pPr>
        <w:ind w:left="52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Including the structuring and placement of primary market issuances and the execution and trading of secondary market transactions. In addition, offers local securitization structuring to corporate entities and manages mutual funds.</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Certain operating segments have been aggregated to form the above reportable operating segments.</w:t>
      </w:r>
    </w:p>
    <w:p>
      <w:pPr>
        <w:spacing w:after="0" w:line="225" w:lineRule="exact"/>
        <w:rPr>
          <w:rFonts w:ascii="Arial" w:cs="Arial" w:eastAsia="Arial" w:hAnsi="Arial"/>
          <w:sz w:val="18"/>
          <w:szCs w:val="18"/>
          <w:b w:val="1"/>
          <w:bCs w:val="1"/>
          <w:color w:val="auto"/>
        </w:rPr>
      </w:pPr>
    </w:p>
    <w:p>
      <w:pPr>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8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25" w:lineRule="exact"/>
        <w:rPr>
          <w:rFonts w:ascii="Arial" w:cs="Arial" w:eastAsia="Arial" w:hAnsi="Arial"/>
          <w:sz w:val="18"/>
          <w:szCs w:val="18"/>
          <w:b w:val="1"/>
          <w:bCs w:val="1"/>
          <w:color w:val="auto"/>
        </w:rPr>
      </w:pPr>
    </w:p>
    <w:p>
      <w:pPr>
        <w:ind w:left="5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revenue from transactions with a single external customer or counterparty amounted to 10 percent or more of the Group’s total revenue in 2011, 2010 and 2009.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40" w:hanging="492"/>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regarding the Group’s operating segments (in millions of U.S. Dollars) for the years ended 31 December 2011, 2010 and 2009:</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92"/>
              </w:rPr>
              <w:t>Capital</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Provision for loan</w:t>
            </w:r>
          </w:p>
        </w:tc>
        <w:tc>
          <w:tcPr>
            <w:tcW w:w="84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Income before</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External</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9"/>
              </w:rPr>
              <w:t>Income from other</w:t>
            </w:r>
          </w:p>
        </w:tc>
        <w:tc>
          <w:tcPr>
            <w:tcW w:w="66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Total</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Operating income</w:t>
            </w:r>
          </w:p>
        </w:tc>
        <w:tc>
          <w:tcPr>
            <w:tcW w:w="9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2"/>
              </w:rPr>
              <w:t>losses, net of</w:t>
            </w: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Depreciation and</w:t>
            </w: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available–for–sale</w:t>
            </w:r>
          </w:p>
        </w:tc>
        <w:tc>
          <w:tcPr>
            <w:tcW w:w="8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translation result</w:t>
            </w:r>
          </w:p>
        </w:tc>
        <w:tc>
          <w:tcPr>
            <w:tcW w:w="8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Translation result</w:t>
            </w:r>
          </w:p>
        </w:tc>
        <w:tc>
          <w:tcPr>
            <w:tcW w:w="4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Net</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intangible assets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income</w:t>
            </w:r>
          </w:p>
        </w:tc>
        <w:tc>
          <w:tcPr>
            <w:tcW w:w="920" w:type="dxa"/>
            <w:vAlign w:val="bottom"/>
          </w:tcPr>
          <w:p>
            <w:pPr>
              <w:jc w:val="right"/>
              <w:ind w:right="226"/>
              <w:spacing w:after="0"/>
              <w:rPr>
                <w:sz w:val="20"/>
                <w:szCs w:val="20"/>
                <w:color w:val="auto"/>
              </w:rPr>
            </w:pPr>
            <w:r>
              <w:rPr>
                <w:rFonts w:ascii="Arial" w:cs="Arial" w:eastAsia="Arial" w:hAnsi="Arial"/>
                <w:sz w:val="11"/>
                <w:szCs w:val="11"/>
                <w:b w:val="1"/>
                <w:bCs w:val="1"/>
                <w:color w:val="auto"/>
              </w:rPr>
              <w:t>segments</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Eliminations</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86"/>
              </w:rPr>
              <w:t>income (*)</w:t>
            </w:r>
          </w:p>
        </w:tc>
        <w:tc>
          <w:tcPr>
            <w:tcW w:w="88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center"/>
              <w:ind w:right="26"/>
              <w:spacing w:after="0"/>
              <w:rPr>
                <w:sz w:val="20"/>
                <w:szCs w:val="20"/>
                <w:color w:val="auto"/>
              </w:rPr>
            </w:pPr>
            <w:r>
              <w:rPr>
                <w:rFonts w:ascii="Arial" w:cs="Arial" w:eastAsia="Arial" w:hAnsi="Arial"/>
                <w:sz w:val="11"/>
                <w:szCs w:val="11"/>
                <w:b w:val="1"/>
                <w:bCs w:val="1"/>
                <w:color w:val="auto"/>
                <w:w w:val="83"/>
              </w:rPr>
              <w:t>recoveries</w:t>
            </w:r>
          </w:p>
        </w:tc>
        <w:tc>
          <w:tcPr>
            <w:tcW w:w="840" w:type="dxa"/>
            <w:vAlign w:val="bottom"/>
          </w:tcPr>
          <w:p>
            <w:pPr>
              <w:jc w:val="right"/>
              <w:ind w:right="106"/>
              <w:spacing w:after="0"/>
              <w:rPr>
                <w:sz w:val="20"/>
                <w:szCs w:val="20"/>
                <w:color w:val="auto"/>
              </w:rPr>
            </w:pPr>
            <w:r>
              <w:rPr>
                <w:rFonts w:ascii="Arial" w:cs="Arial" w:eastAsia="Arial" w:hAnsi="Arial"/>
                <w:sz w:val="11"/>
                <w:szCs w:val="11"/>
                <w:b w:val="1"/>
                <w:bCs w:val="1"/>
                <w:color w:val="auto"/>
              </w:rPr>
              <w:t>amortization</w:t>
            </w:r>
          </w:p>
        </w:tc>
        <w:tc>
          <w:tcPr>
            <w:tcW w:w="9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investments</w:t>
            </w:r>
          </w:p>
        </w:tc>
        <w:tc>
          <w:tcPr>
            <w:tcW w:w="860" w:type="dxa"/>
            <w:vAlign w:val="bottom"/>
          </w:tcPr>
          <w:p>
            <w:pPr>
              <w:jc w:val="center"/>
              <w:ind w:right="26"/>
              <w:spacing w:after="0"/>
              <w:rPr>
                <w:sz w:val="20"/>
                <w:szCs w:val="20"/>
                <w:color w:val="auto"/>
              </w:rPr>
            </w:pPr>
            <w:r>
              <w:rPr>
                <w:rFonts w:ascii="Arial" w:cs="Arial" w:eastAsia="Arial" w:hAnsi="Arial"/>
                <w:sz w:val="11"/>
                <w:szCs w:val="11"/>
                <w:b w:val="1"/>
                <w:bCs w:val="1"/>
                <w:color w:val="auto"/>
                <w:w w:val="87"/>
              </w:rPr>
              <w:t>and income tax</w:t>
            </w:r>
          </w:p>
        </w:tc>
        <w:tc>
          <w:tcPr>
            <w:tcW w:w="860" w:type="dxa"/>
            <w:vAlign w:val="bottom"/>
          </w:tcPr>
          <w:p>
            <w:pPr>
              <w:jc w:val="right"/>
              <w:ind w:right="66"/>
              <w:spacing w:after="0"/>
              <w:rPr>
                <w:sz w:val="20"/>
                <w:szCs w:val="20"/>
                <w:color w:val="auto"/>
              </w:rPr>
            </w:pPr>
            <w:r>
              <w:rPr>
                <w:rFonts w:ascii="Arial" w:cs="Arial" w:eastAsia="Arial" w:hAnsi="Arial"/>
                <w:sz w:val="11"/>
                <w:szCs w:val="11"/>
                <w:b w:val="1"/>
                <w:bCs w:val="1"/>
                <w:color w:val="auto"/>
                <w:w w:val="89"/>
              </w:rPr>
              <w:t>and income tax</w:t>
            </w: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82"/>
              </w:rPr>
              <w:t>income</w:t>
            </w:r>
          </w:p>
        </w:tc>
        <w:tc>
          <w:tcPr>
            <w:tcW w:w="82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and goodwill</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78"/>
              </w:rPr>
              <w:t>Total 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2011</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2,391</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2,391</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1,260</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(216)</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747</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(134)</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612</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27,982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682</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682</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279</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90</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89</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133</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2,101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106</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106</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860" w:type="dxa"/>
            <w:vAlign w:val="bottom"/>
          </w:tcPr>
          <w:p>
            <w:pPr>
              <w:jc w:val="right"/>
              <w:spacing w:after="0"/>
              <w:rPr>
                <w:sz w:val="20"/>
                <w:szCs w:val="20"/>
                <w:color w:val="auto"/>
              </w:rPr>
            </w:pPr>
            <w:r>
              <w:rPr>
                <w:rFonts w:ascii="Arial" w:cs="Arial" w:eastAsia="Arial" w:hAnsi="Arial"/>
                <w:sz w:val="11"/>
                <w:szCs w:val="11"/>
                <w:color w:val="auto"/>
              </w:rPr>
              <w:t>(15)</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72</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54</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(54)</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72</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1</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7</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(22)</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3,251</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3,251</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1,503</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(215)</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(94)</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896</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(173)</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724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279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30,733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Borders>
              <w:top w:val="single" w:sz="8" w:color="CCFFC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2010</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2,042</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2,042</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1,037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(179)</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662</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(120)</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542</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139</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578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232</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94</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81</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7</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87</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38</w:t>
            </w:r>
          </w:p>
        </w:tc>
        <w:tc>
          <w:tcPr>
            <w:tcW w:w="860" w:type="dxa"/>
            <w:vAlign w:val="bottom"/>
          </w:tcPr>
          <w:p>
            <w:pPr>
              <w:jc w:val="right"/>
              <w:spacing w:after="0"/>
              <w:rPr>
                <w:sz w:val="20"/>
                <w:szCs w:val="20"/>
                <w:color w:val="auto"/>
              </w:rPr>
            </w:pPr>
            <w:r>
              <w:rPr>
                <w:rFonts w:ascii="Arial" w:cs="Arial" w:eastAsia="Arial" w:hAnsi="Arial"/>
                <w:sz w:val="11"/>
                <w:szCs w:val="11"/>
                <w:color w:val="auto"/>
              </w:rPr>
              <w:t>(9)</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(47)</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(49)</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2,757</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2,757</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1,222</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(175)</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(82)</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766</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603</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149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28,394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Borders>
              <w:top w:val="single" w:sz="8" w:color="CCFFC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2009</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1,820</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1,820</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502</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(96)</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406</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20,106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518</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518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192</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68</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64</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17</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860" w:type="dxa"/>
            <w:vAlign w:val="bottom"/>
          </w:tcPr>
          <w:p>
            <w:pPr>
              <w:jc w:val="right"/>
              <w:spacing w:after="0"/>
              <w:rPr>
                <w:sz w:val="20"/>
                <w:szCs w:val="20"/>
                <w:color w:val="auto"/>
              </w:rPr>
            </w:pPr>
            <w:r>
              <w:rPr>
                <w:rFonts w:ascii="Arial" w:cs="Arial" w:eastAsia="Arial" w:hAnsi="Arial"/>
                <w:sz w:val="11"/>
                <w:szCs w:val="11"/>
                <w:color w:val="auto"/>
              </w:rPr>
              <w:t>(10)</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40</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40</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25</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9</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2,458</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146</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(146)</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2,458</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1,031</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(71)</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(10)</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630</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(126)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183</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874" w:right="45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60" w:hanging="492"/>
        <w:spacing w:after="0" w:line="342" w:lineRule="auto"/>
        <w:tabs>
          <w:tab w:leader="none" w:pos="10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following tables presents (in millions of U.S. Dollars) the distribution of the Group’s external income, operating income, and non-current assets allocated based on the location of the customer and its assets, respectively for the years ended 31 December 2011, 2010 and 2009:</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Total</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5"/>
              </w:rPr>
              <w:t>Operating income</w:t>
            </w:r>
          </w:p>
        </w:tc>
        <w:tc>
          <w:tcPr>
            <w:tcW w:w="116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6"/>
              </w:rPr>
              <w:t>Non-current assets</w:t>
            </w:r>
          </w:p>
        </w:tc>
        <w:tc>
          <w:tcPr>
            <w:tcW w:w="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external</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86"/>
              </w:rPr>
              <w:t>Operating income</w:t>
            </w:r>
          </w:p>
        </w:tc>
        <w:tc>
          <w:tcPr>
            <w:tcW w:w="11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87"/>
              </w:rPr>
              <w:t>Non-current assets</w:t>
            </w:r>
          </w:p>
        </w:tc>
        <w:tc>
          <w:tcPr>
            <w:tcW w:w="4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Total</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Operating income</w:t>
            </w:r>
          </w:p>
        </w:tc>
        <w:tc>
          <w:tcPr>
            <w:tcW w:w="118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7"/>
              </w:rPr>
              <w:t>Non-current assets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92"/>
              </w:rPr>
              <w:t>income (*)</w:t>
            </w: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income (*)</w:t>
            </w:r>
          </w:p>
        </w:tc>
        <w:tc>
          <w:tcPr>
            <w:tcW w:w="98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income (*)</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Peru</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3,019</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1,423</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719</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2,540</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1,158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687</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2,226</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958</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624</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Panama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155</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Cayman Islands</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66</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Bolivia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107</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United States of America</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35</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40</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10</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39</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Chile</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8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8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b w:val="1"/>
                <w:bCs w:val="1"/>
                <w:color w:val="auto"/>
              </w:rPr>
              <w:t>Total consolidated</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3,251</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1,503</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926</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2,757</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1,222</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746</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2,458</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1,031</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80" w:hanging="916"/>
        <w:spacing w:after="0"/>
        <w:tabs>
          <w:tab w:leader="none" w:pos="2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2180" w:hanging="916"/>
        <w:spacing w:after="0"/>
        <w:tabs>
          <w:tab w:leader="none" w:pos="21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Operating income includes the net interest income from banking activities and the amount of the net premiums earned, less</w:t>
      </w:r>
    </w:p>
    <w:p>
      <w:pPr>
        <w:spacing w:after="0" w:line="3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insurance claims.</w:t>
      </w:r>
    </w:p>
    <w:p>
      <w:pPr>
        <w:spacing w:after="0" w:line="9" w:lineRule="exact"/>
        <w:rPr>
          <w:sz w:val="20"/>
          <w:szCs w:val="20"/>
          <w:color w:val="auto"/>
        </w:rPr>
      </w:pPr>
    </w:p>
    <w:p>
      <w:pPr>
        <w:ind w:left="2180" w:hanging="916"/>
        <w:spacing w:after="0"/>
        <w:tabs>
          <w:tab w:leader="none" w:pos="2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4" w:right="37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rFonts w:ascii="Arial" w:cs="Arial" w:eastAsia="Arial" w:hAnsi="Arial"/>
          <w:sz w:val="18"/>
          <w:szCs w:val="18"/>
          <w:b w:val="1"/>
          <w:bCs w:val="1"/>
          <w:color w:val="auto"/>
        </w:rPr>
      </w:pPr>
    </w:p>
    <w:p>
      <w:pPr>
        <w:jc w:val="both"/>
        <w:ind w:left="1000" w:right="180" w:hanging="492"/>
        <w:spacing w:after="0" w:line="264" w:lineRule="auto"/>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2011 and 2010 include transactions with related companies, the Board of Directors, the Group’s key executives (defined as the Management of Credicorp’s ) and enterprises which are controlled by these individuals through their majority shareholding or their role as Chairman or CEO.</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2011 and 2010:</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120" w:type="dxa"/>
            <w:vAlign w:val="bottom"/>
          </w:tcPr>
          <w:p>
            <w:pPr>
              <w:jc w:val="right"/>
              <w:ind w:right="890"/>
              <w:spacing w:after="0"/>
              <w:rPr>
                <w:sz w:val="20"/>
                <w:szCs w:val="20"/>
                <w:color w:val="auto"/>
              </w:rPr>
            </w:pPr>
            <w:r>
              <w:rPr>
                <w:rFonts w:ascii="Arial" w:cs="Arial" w:eastAsia="Arial" w:hAnsi="Arial"/>
                <w:sz w:val="18"/>
                <w:szCs w:val="18"/>
                <w:b w:val="1"/>
                <w:bCs w:val="1"/>
                <w:color w:val="auto"/>
              </w:rPr>
              <w:t>2011</w:t>
            </w: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120" w:type="dxa"/>
            <w:vAlign w:val="bottom"/>
          </w:tcPr>
          <w:p>
            <w:pPr>
              <w:jc w:val="right"/>
              <w:ind w:right="710"/>
              <w:spacing w:after="0"/>
              <w:rPr>
                <w:sz w:val="20"/>
                <w:szCs w:val="20"/>
                <w:color w:val="auto"/>
              </w:rPr>
            </w:pPr>
            <w:r>
              <w:rPr>
                <w:rFonts w:ascii="Arial" w:cs="Arial" w:eastAsia="Arial" w:hAnsi="Arial"/>
                <w:sz w:val="18"/>
                <w:szCs w:val="18"/>
                <w:color w:val="auto"/>
              </w:rPr>
              <w:t>US$(000)</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258,088</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139,676</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72,264</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Contingent credits</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38,927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31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(1,491)</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5,755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1,564</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2,147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0" w:right="120" w:hanging="492"/>
        <w:spacing w:after="0" w:line="276" w:lineRule="auto"/>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2011, direct loans to related companies are secured by collaterals, had maturities between January 2012 and October 2019 and accrued an annual average interest rate of 7.55 percent (as of December 31, 2010, had maturities between January 2011 and November 2018 and accrued an annual average interest rate of 5.91 percent). Likewise, as of December 31, 2011, the Group maintained an allowance for loan losses to related parties amounting to US$1.5 million (US$0.1 as of December 31, 2010).</w:t>
      </w:r>
    </w:p>
    <w:p>
      <w:pPr>
        <w:spacing w:after="0" w:line="172" w:lineRule="exact"/>
        <w:rPr>
          <w:rFonts w:ascii="Arial" w:cs="Arial" w:eastAsia="Arial" w:hAnsi="Arial"/>
          <w:sz w:val="17"/>
          <w:szCs w:val="17"/>
          <w:color w:val="auto"/>
        </w:rPr>
      </w:pPr>
    </w:p>
    <w:p>
      <w:pPr>
        <w:ind w:left="1000" w:hanging="492"/>
        <w:spacing w:after="0" w:line="25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December 31, 2011 and 2010,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2011 and 2010, direct loans to employees, directors and key Management amounted to US$176.5 and US$140.0 million, respectively; said loans are paid monthly and earn interest at market rates.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300" w:hanging="492"/>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2011, 2010 and 2009, comprised the following:</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5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4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5,893</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Directors’ compensations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2,181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8,853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Also, key executives compensation includes share based payments as explained in more detail in Note 18. SARs valuation for the years 2011, 2010 and 2009 resulted in a gain amounting to US$5.8 million, a loss amounting to US$24.5 million and a loss amounting to US$17.9 million, respectively. During said years approximately US$25.5 million, US$14.8 million and US$5.0 million, SARs were executed corresponding to SARs vested in previous years and up to April, 2011. Likewise, approximately US$4.9 million, US$3.8 million and US$1.7 million, stock awards vested in the years 2011, 2010 and 2009, respectively. The income tax is assumed by the Group.</w:t>
      </w:r>
    </w:p>
    <w:p>
      <w:pPr>
        <w:spacing w:after="0" w:line="173" w:lineRule="exact"/>
        <w:rPr>
          <w:sz w:val="20"/>
          <w:szCs w:val="20"/>
          <w:color w:val="auto"/>
        </w:rPr>
      </w:pPr>
    </w:p>
    <w:p>
      <w:pPr>
        <w:ind w:left="1000" w:right="140" w:hanging="492"/>
        <w:spacing w:after="0" w:line="264"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of December 31, 2011 and 2010, the Group has participations in different mutual funds and hedge funds managed by certain Group’s Subsidiaries; said participations are classified as trading securities or Investments available-for-sale and amounted to approximately US$75.2 and US$58.5 million,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171" w:lineRule="exact"/>
        <w:rPr>
          <w:sz w:val="20"/>
          <w:szCs w:val="20"/>
          <w:color w:val="auto"/>
        </w:rPr>
      </w:pPr>
    </w:p>
    <w:p>
      <w:pPr>
        <w:ind w:left="3420"/>
        <w:spacing w:after="0"/>
        <w:tabs>
          <w:tab w:leader="none" w:pos="8300" w:val="left"/>
        </w:tabs>
        <w:rPr>
          <w:sz w:val="20"/>
          <w:szCs w:val="20"/>
          <w:color w:val="auto"/>
        </w:rPr>
      </w:pPr>
      <w:r>
        <w:rPr>
          <w:rFonts w:ascii="Arial" w:cs="Arial" w:eastAsia="Arial" w:hAnsi="Arial"/>
          <w:sz w:val="11"/>
          <w:szCs w:val="11"/>
          <w:b w:val="1"/>
          <w:bCs w:val="1"/>
          <w:color w:val="auto"/>
        </w:rPr>
        <w:t>As of December 31, 2011</w:t>
      </w:r>
      <w:r>
        <w:rPr>
          <w:sz w:val="20"/>
          <w:szCs w:val="20"/>
          <w:color w:val="auto"/>
        </w:rPr>
        <w:tab/>
      </w:r>
      <w:r>
        <w:rPr>
          <w:rFonts w:ascii="Arial" w:cs="Arial" w:eastAsia="Arial" w:hAnsi="Arial"/>
          <w:sz w:val="9"/>
          <w:szCs w:val="9"/>
          <w:b w:val="1"/>
          <w:bCs w:val="1"/>
          <w:color w:val="auto"/>
        </w:rPr>
        <w:t>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5715</wp:posOffset>
            </wp:positionV>
            <wp:extent cx="6148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p>
      <w:pPr>
        <w:spacing w:after="0" w:line="14" w:lineRule="exact"/>
        <w:rPr>
          <w:sz w:val="20"/>
          <w:szCs w:val="20"/>
          <w:color w:val="auto"/>
        </w:rPr>
      </w:pPr>
    </w:p>
    <w:p>
      <w:pPr>
        <w:jc w:val="center"/>
        <w:ind w:right="640"/>
        <w:spacing w:after="0"/>
        <w:rPr>
          <w:sz w:val="20"/>
          <w:szCs w:val="20"/>
          <w:color w:val="auto"/>
        </w:rPr>
      </w:pPr>
      <w:r>
        <w:rPr>
          <w:rFonts w:ascii="Arial" w:cs="Arial" w:eastAsia="Arial" w:hAnsi="Arial"/>
          <w:sz w:val="9"/>
          <w:szCs w:val="9"/>
          <w:b w:val="1"/>
          <w:bCs w:val="1"/>
          <w:color w:val="auto"/>
        </w:rPr>
        <w:t>Financial assets liabilities designated at</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11"/>
          <w:szCs w:val="11"/>
          <w:b w:val="1"/>
          <w:bCs w:val="1"/>
          <w:color w:val="auto"/>
        </w:rPr>
        <w:t>fair value</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9"/>
          <w:szCs w:val="9"/>
          <w:b w:val="1"/>
          <w:bCs w:val="1"/>
          <w:color w:val="auto"/>
        </w:rPr>
        <w:t>Financial assets liabilities designated at</w:t>
      </w:r>
    </w:p>
    <w:p>
      <w:pPr>
        <w:spacing w:after="0" w:line="22" w:lineRule="exact"/>
        <w:rPr>
          <w:sz w:val="20"/>
          <w:szCs w:val="20"/>
          <w:color w:val="auto"/>
        </w:rPr>
      </w:pPr>
    </w:p>
    <w:p>
      <w:pPr>
        <w:jc w:val="center"/>
        <w:ind w:right="3060"/>
        <w:spacing w:after="0"/>
        <w:rPr>
          <w:sz w:val="20"/>
          <w:szCs w:val="20"/>
          <w:color w:val="auto"/>
        </w:rPr>
      </w:pPr>
      <w:r>
        <w:rPr>
          <w:rFonts w:ascii="Arial" w:cs="Arial" w:eastAsia="Arial" w:hAnsi="Arial"/>
          <w:sz w:val="11"/>
          <w:szCs w:val="11"/>
          <w:b w:val="1"/>
          <w:bCs w:val="1"/>
          <w:color w:val="auto"/>
        </w:rPr>
        <w:t>fair value</w:t>
      </w:r>
    </w:p>
    <w:p>
      <w:pPr>
        <w:spacing w:after="0" w:line="1" w:lineRule="exact"/>
        <w:rPr>
          <w:sz w:val="20"/>
          <w:szCs w:val="20"/>
          <w:color w:val="auto"/>
        </w:rPr>
      </w:pPr>
    </w:p>
    <w:p>
      <w:pPr>
        <w:sectPr>
          <w:pgSz w:w="11900" w:h="16838" w:orient="portrait"/>
          <w:cols w:equalWidth="0" w:num="2">
            <w:col w:w="5780" w:space="720"/>
            <w:col w:w="4880"/>
          </w:cols>
          <w:pgMar w:left="240" w:top="874" w:right="279" w:bottom="1440" w:gutter="0" w:footer="0" w:header="0"/>
          <w:type w:val="continuous"/>
        </w:sectPr>
      </w:pPr>
    </w:p>
    <w:tbl>
      <w:tblPr>
        <w:tblLayout w:type="fixed"/>
        <w:tblInd w:w="500" w:type="dxa"/>
        <w:tblCellMar>
          <w:top w:w="0" w:type="dxa"/>
          <w:left w:w="0" w:type="dxa"/>
          <w:bottom w:w="0" w:type="dxa"/>
          <w:right w:w="0" w:type="dxa"/>
        </w:tblCellMar>
      </w:tblPr>
      <w:tr>
        <w:trPr>
          <w:trHeight w:val="101"/>
        </w:trPr>
        <w:tc>
          <w:tcPr>
            <w:tcW w:w="1080" w:type="dxa"/>
            <w:vAlign w:val="bottom"/>
          </w:tcPr>
          <w:p>
            <w:pPr>
              <w:spacing w:after="0"/>
              <w:rPr>
                <w:sz w:val="8"/>
                <w:szCs w:val="8"/>
                <w:color w:val="auto"/>
              </w:rPr>
            </w:pPr>
          </w:p>
        </w:tc>
        <w:tc>
          <w:tcPr>
            <w:tcW w:w="1240" w:type="dxa"/>
            <w:vAlign w:val="bottom"/>
            <w:tcBorders>
              <w:top w:val="single" w:sz="8" w:color="auto"/>
            </w:tcBorders>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1"/>
              </w:rPr>
              <w:t>Held for trading or</w:t>
            </w: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7"/>
              </w:rPr>
              <w:t>Loans and</w:t>
            </w:r>
          </w:p>
        </w:tc>
        <w:tc>
          <w:tcPr>
            <w:tcW w:w="86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Investments</w:t>
            </w:r>
          </w:p>
        </w:tc>
        <w:tc>
          <w:tcPr>
            <w:tcW w:w="760" w:type="dxa"/>
            <w:vAlign w:val="bottom"/>
            <w:gridSpan w:val="2"/>
          </w:tcPr>
          <w:p>
            <w:pPr>
              <w:jc w:val="center"/>
              <w:ind w:right="60"/>
              <w:spacing w:after="0" w:line="102" w:lineRule="exact"/>
              <w:rPr>
                <w:sz w:val="20"/>
                <w:szCs w:val="20"/>
                <w:color w:val="auto"/>
              </w:rPr>
            </w:pPr>
            <w:r>
              <w:rPr>
                <w:rFonts w:ascii="Arial" w:cs="Arial" w:eastAsia="Arial" w:hAnsi="Arial"/>
                <w:sz w:val="11"/>
                <w:szCs w:val="11"/>
                <w:b w:val="1"/>
                <w:bCs w:val="1"/>
                <w:color w:val="auto"/>
                <w:w w:val="91"/>
              </w:rPr>
              <w:t>Liabilities at</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Loans and</w:t>
            </w:r>
          </w:p>
        </w:tc>
        <w:tc>
          <w:tcPr>
            <w:tcW w:w="8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7"/>
              </w:rPr>
              <w:t>Investments</w:t>
            </w: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Liabilities at</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6"/>
        </w:trPr>
        <w:tc>
          <w:tcPr>
            <w:tcW w:w="1080" w:type="dxa"/>
            <w:vAlign w:val="bottom"/>
          </w:tcPr>
          <w:p>
            <w:pPr>
              <w:spacing w:after="0"/>
              <w:rPr>
                <w:sz w:val="10"/>
                <w:szCs w:val="1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4"/>
              </w:rPr>
              <w:t>hedging</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At inception</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receivables</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available-for-sale</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4"/>
              </w:rPr>
              <w:t>amortized cost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Total</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0"/>
              </w:rPr>
              <w:t>Held for trading</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7"/>
              </w:rPr>
              <w:t>At inception</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receivables</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amortized cost</w:t>
            </w:r>
          </w:p>
        </w:tc>
        <w:tc>
          <w:tcPr>
            <w:tcW w:w="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r>
      <w:tr>
        <w:trPr>
          <w:trHeight w:val="131"/>
        </w:trPr>
        <w:tc>
          <w:tcPr>
            <w:tcW w:w="1080" w:type="dxa"/>
            <w:vAlign w:val="bottom"/>
          </w:tcPr>
          <w:p>
            <w:pPr>
              <w:spacing w:after="0"/>
              <w:rPr>
                <w:sz w:val="11"/>
                <w:szCs w:val="11"/>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c>
          <w:tcPr>
            <w:tcW w:w="1100" w:type="dxa"/>
            <w:vAlign w:val="bottom"/>
            <w:gridSpan w:val="2"/>
          </w:tcPr>
          <w:p>
            <w:pPr>
              <w:jc w:val="right"/>
              <w:ind w:right="520"/>
              <w:spacing w:after="0"/>
              <w:rPr>
                <w:sz w:val="20"/>
                <w:szCs w:val="20"/>
                <w:color w:val="auto"/>
              </w:rPr>
            </w:pPr>
            <w:r>
              <w:rPr>
                <w:rFonts w:ascii="Arial" w:cs="Arial" w:eastAsia="Arial" w:hAnsi="Arial"/>
                <w:sz w:val="11"/>
                <w:szCs w:val="11"/>
                <w:color w:val="auto"/>
              </w:rPr>
              <w:t>US$(000)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8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Cash and due from</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banks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5,502,862</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5,502,862</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8,544,415</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8,544,415</w:t>
            </w: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Trading securities</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75,611</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75,611</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115,568</w:t>
            </w:r>
          </w:p>
        </w:tc>
        <w:tc>
          <w:tcPr>
            <w:tcW w:w="8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115,568</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w w:val="96"/>
              </w:rPr>
              <w:t>Investments available-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for-sale</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5,915,601</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5,915,601</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3,768,248</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3,768,248</w:t>
            </w: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w w:val="90"/>
              </w:rPr>
              <w:t>16,922,233</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4"/>
              </w:rPr>
              <w:t>16,922,233</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4"/>
              </w:rPr>
              <w:t>13,959,655</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4"/>
              </w:rPr>
              <w:t>13,959,655</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w w:val="93"/>
              </w:rPr>
              <w:t>designated at fair value</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through profit or loss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90,103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90,103</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179,055</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179,055</w:t>
            </w: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Premiums and other</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policies receivable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174,367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174,367</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129,136</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129,136</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rPr>
              <w:t>from reinsurers and</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coinsurers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151,080</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151,080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160,249</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160,249</w:t>
            </w: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2"/>
              </w:rPr>
              <w:t>Due from customers on</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acceptances</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61,695</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61,695</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70,331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70,331</w:t>
            </w: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w w:val="99"/>
              </w:rPr>
              <w:t>Other assets, Note 11</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82,519</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550,109</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632,628</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84,945</w:t>
            </w: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387,679</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472,624</w:t>
            </w:r>
          </w:p>
        </w:tc>
      </w:tr>
      <w:tr>
        <w:trPr>
          <w:trHeight w:val="115"/>
        </w:trPr>
        <w:tc>
          <w:tcPr>
            <w:tcW w:w="108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r>
      <w:tr>
        <w:trPr>
          <w:trHeight w:val="122"/>
        </w:trPr>
        <w:tc>
          <w:tcPr>
            <w:tcW w:w="108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158,130</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90,103</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0"/>
              </w:rPr>
              <w:t>23,362,346</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5,915,601</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4"/>
              </w:rPr>
              <w:t>29,526,180</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200,513</w:t>
            </w: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179,055</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4"/>
              </w:rPr>
              <w:t>23,251,465</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3,768,248</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4"/>
              </w:rPr>
              <w:t>27,399,281</w:t>
            </w:r>
          </w:p>
        </w:tc>
      </w:tr>
      <w:tr>
        <w:trPr>
          <w:trHeight w:val="20"/>
        </w:trPr>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10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20" w:type="dxa"/>
            <w:vAlign w:val="bottom"/>
            <w:shd w:val="clear" w:color="auto" w:fill="CCFFCC"/>
          </w:tcPr>
          <w:p>
            <w:pPr>
              <w:spacing w:after="0"/>
              <w:rPr>
                <w:sz w:val="8"/>
                <w:szCs w:val="8"/>
                <w:color w:val="auto"/>
              </w:rPr>
            </w:pPr>
          </w:p>
        </w:tc>
        <w:tc>
          <w:tcPr>
            <w:tcW w:w="340" w:type="dxa"/>
            <w:vAlign w:val="bottom"/>
            <w:shd w:val="clear" w:color="auto" w:fill="CCFFCC"/>
          </w:tcPr>
          <w:p>
            <w:pPr>
              <w:spacing w:after="0"/>
              <w:rPr>
                <w:sz w:val="8"/>
                <w:szCs w:val="8"/>
                <w:color w:val="auto"/>
              </w:rPr>
            </w:pPr>
          </w:p>
        </w:tc>
        <w:tc>
          <w:tcPr>
            <w:tcW w:w="7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72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40" w:type="dxa"/>
            <w:vAlign w:val="bottom"/>
            <w:shd w:val="clear" w:color="auto" w:fill="CCFFCC"/>
          </w:tcPr>
          <w:p>
            <w:pPr>
              <w:spacing w:after="0"/>
              <w:rPr>
                <w:sz w:val="8"/>
                <w:szCs w:val="8"/>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2"/>
              </w:rPr>
              <w:t>Deposits and obligation</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18,703,847</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4"/>
              </w:rPr>
              <w:t>18,703,847</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17,818,118</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4"/>
              </w:rPr>
              <w:t>17,818,118</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Due to banks and</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correspondents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2,060,020</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2,060,020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2,240,320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2,240,320</w:t>
            </w: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Bankers’ acceptances</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outstanding</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61,695</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61,695</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70,331</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70,331</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Accounts payable to</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rPr>
              <w:t>reinsurers and</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coinsurers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75,366</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75,366</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60,775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60,775</w:t>
            </w: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0"/>
              </w:rPr>
              <w:t>Bonds and notes issued</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3,965,522</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3,965,522</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2,981,918</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2,981,918</w:t>
            </w: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Other liabilities, Note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11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145,261</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722,119</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867,380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136,670</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748,913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885,583</w:t>
            </w:r>
          </w:p>
        </w:tc>
      </w:tr>
      <w:tr>
        <w:trPr>
          <w:trHeight w:val="115"/>
        </w:trPr>
        <w:tc>
          <w:tcPr>
            <w:tcW w:w="108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r>
      <w:tr>
        <w:trPr>
          <w:trHeight w:val="122"/>
        </w:trPr>
        <w:tc>
          <w:tcPr>
            <w:tcW w:w="108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145,261</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25,588,569</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4"/>
              </w:rPr>
              <w:t>25,733,830</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136,670</w:t>
            </w:r>
          </w:p>
        </w:tc>
        <w:tc>
          <w:tcPr>
            <w:tcW w:w="8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23,920,375</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4"/>
              </w:rPr>
              <w:t>24,057,045</w:t>
            </w:r>
          </w:p>
        </w:tc>
      </w:tr>
      <w:tr>
        <w:trPr>
          <w:trHeight w:val="20"/>
        </w:trPr>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rFonts w:ascii="Arial" w:cs="Arial" w:eastAsia="Arial" w:hAnsi="Arial"/>
          <w:sz w:val="18"/>
          <w:szCs w:val="18"/>
          <w:b w:val="1"/>
          <w:bCs w:val="1"/>
          <w:color w:val="auto"/>
        </w:rPr>
      </w:pPr>
    </w:p>
    <w:p>
      <w:pPr>
        <w:ind w:left="52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86" w:lineRule="exact"/>
        <w:rPr>
          <w:rFonts w:ascii="Arial" w:cs="Arial" w:eastAsia="Arial" w:hAnsi="Arial"/>
          <w:sz w:val="18"/>
          <w:szCs w:val="18"/>
          <w:b w:val="1"/>
          <w:bCs w:val="1"/>
          <w:color w:val="auto"/>
        </w:rPr>
      </w:pPr>
    </w:p>
    <w:p>
      <w:pPr>
        <w:ind w:left="52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181" w:lineRule="exact"/>
        <w:rPr>
          <w:rFonts w:ascii="Arial" w:cs="Arial" w:eastAsia="Arial" w:hAnsi="Arial"/>
          <w:sz w:val="18"/>
          <w:szCs w:val="18"/>
          <w:b w:val="1"/>
          <w:bCs w:val="1"/>
          <w:color w:val="auto"/>
        </w:rPr>
      </w:pPr>
    </w:p>
    <w:p>
      <w:pPr>
        <w:ind w:left="52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currencies and interest rates.</w:t>
      </w:r>
    </w:p>
    <w:p>
      <w:pPr>
        <w:spacing w:after="0" w:line="170" w:lineRule="exact"/>
        <w:rPr>
          <w:rFonts w:ascii="Arial" w:cs="Arial" w:eastAsia="Arial" w:hAnsi="Arial"/>
          <w:sz w:val="18"/>
          <w:szCs w:val="18"/>
          <w:b w:val="1"/>
          <w:bCs w:val="1"/>
          <w:color w:val="auto"/>
        </w:rPr>
      </w:pPr>
    </w:p>
    <w:p>
      <w:pPr>
        <w:ind w:left="52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86" w:lineRule="exact"/>
        <w:rPr>
          <w:rFonts w:ascii="Arial" w:cs="Arial" w:eastAsia="Arial" w:hAnsi="Arial"/>
          <w:sz w:val="18"/>
          <w:szCs w:val="18"/>
          <w:b w:val="1"/>
          <w:bCs w:val="1"/>
          <w:color w:val="auto"/>
        </w:rPr>
      </w:pPr>
    </w:p>
    <w:p>
      <w:pPr>
        <w:ind w:left="5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70" w:lineRule="exact"/>
        <w:rPr>
          <w:sz w:val="20"/>
          <w:szCs w:val="20"/>
          <w:color w:val="auto"/>
        </w:rPr>
      </w:pPr>
    </w:p>
    <w:p>
      <w:pPr>
        <w:ind w:left="1000" w:hanging="492"/>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ASHC and Prima AFP) responsible for managing and monitoring risks, as further explained bellow:</w:t>
      </w:r>
    </w:p>
    <w:p>
      <w:pPr>
        <w:spacing w:after="0" w:line="181" w:lineRule="exact"/>
        <w:rPr>
          <w:sz w:val="20"/>
          <w:szCs w:val="20"/>
          <w:color w:val="auto"/>
        </w:rPr>
      </w:pPr>
    </w:p>
    <w:p>
      <w:pPr>
        <w:ind w:left="1520" w:hanging="499"/>
        <w:spacing w:after="0"/>
        <w:tabs>
          <w:tab w:leader="none" w:pos="1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25" w:lineRule="exact"/>
        <w:rPr>
          <w:rFonts w:ascii="Arial" w:cs="Arial" w:eastAsia="Arial" w:hAnsi="Arial"/>
          <w:sz w:val="18"/>
          <w:szCs w:val="18"/>
          <w:color w:val="auto"/>
        </w:rPr>
      </w:pPr>
    </w:p>
    <w:p>
      <w:pPr>
        <w:ind w:left="1540" w:right="160"/>
        <w:spacing w:after="0" w:line="259"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25"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25" w:lineRule="exact"/>
        <w:rPr>
          <w:rFonts w:ascii="Arial" w:cs="Arial" w:eastAsia="Arial" w:hAnsi="Arial"/>
          <w:sz w:val="18"/>
          <w:szCs w:val="18"/>
          <w:color w:val="auto"/>
        </w:rPr>
      </w:pPr>
    </w:p>
    <w:p>
      <w:pPr>
        <w:ind w:left="1540" w:right="640"/>
        <w:spacing w:after="0" w:line="264"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25" w:lineRule="exact"/>
        <w:rPr>
          <w:rFonts w:ascii="Arial" w:cs="Arial" w:eastAsia="Arial" w:hAnsi="Arial"/>
          <w:sz w:val="18"/>
          <w:szCs w:val="18"/>
          <w:color w:val="auto"/>
        </w:rPr>
      </w:pPr>
    </w:p>
    <w:p>
      <w:pPr>
        <w:ind w:left="1540" w:right="220"/>
        <w:spacing w:after="0" w:line="264"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Treasury and Foreign Exchange Department</w:t>
      </w:r>
    </w:p>
    <w:p>
      <w:pPr>
        <w:spacing w:after="0" w:line="225" w:lineRule="exact"/>
        <w:rPr>
          <w:sz w:val="20"/>
          <w:szCs w:val="20"/>
          <w:color w:val="auto"/>
        </w:rPr>
      </w:pPr>
    </w:p>
    <w:p>
      <w:pPr>
        <w:jc w:val="both"/>
        <w:ind w:left="1540" w:right="20"/>
        <w:spacing w:after="0" w:line="286" w:lineRule="auto"/>
        <w:rPr>
          <w:sz w:val="20"/>
          <w:szCs w:val="20"/>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166" w:lineRule="exact"/>
        <w:rPr>
          <w:sz w:val="20"/>
          <w:szCs w:val="20"/>
          <w:color w:val="auto"/>
        </w:rPr>
      </w:pPr>
    </w:p>
    <w:p>
      <w:pPr>
        <w:ind w:left="1000" w:hanging="492"/>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25"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187" w:lineRule="exact"/>
        <w:rPr>
          <w:sz w:val="20"/>
          <w:szCs w:val="20"/>
          <w:color w:val="auto"/>
        </w:rPr>
      </w:pPr>
    </w:p>
    <w:p>
      <w:pPr>
        <w:ind w:left="1020" w:right="240"/>
        <w:spacing w:after="0" w:line="286" w:lineRule="auto"/>
        <w:rPr>
          <w:sz w:val="20"/>
          <w:szCs w:val="20"/>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00"/>
        <w:spacing w:after="0" w:line="257" w:lineRule="auto"/>
        <w:rPr>
          <w:sz w:val="20"/>
          <w:szCs w:val="20"/>
          <w:color w:val="auto"/>
        </w:rPr>
      </w:pPr>
      <w:r>
        <w:rPr>
          <w:rFonts w:ascii="Arial" w:cs="Arial" w:eastAsia="Arial" w:hAnsi="Arial"/>
          <w:sz w:val="18"/>
          <w:szCs w:val="18"/>
          <w:color w:val="auto"/>
        </w:rPr>
        <w:t>Information compiled from all the Group’s Subsidiaries is examined and processed in order to analyze, control and identify early risks.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fair value of the investments and the appropriateness of the allowance for credit losses periodically.</w:t>
      </w:r>
    </w:p>
    <w:p>
      <w:pPr>
        <w:spacing w:after="0" w:line="188" w:lineRule="exact"/>
        <w:rPr>
          <w:sz w:val="20"/>
          <w:szCs w:val="20"/>
          <w:color w:val="auto"/>
        </w:rPr>
      </w:pPr>
    </w:p>
    <w:p>
      <w:pPr>
        <w:ind w:left="1000" w:hanging="492"/>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170" w:lineRule="exact"/>
        <w:rPr>
          <w:sz w:val="20"/>
          <w:szCs w:val="20"/>
          <w:color w:val="auto"/>
        </w:rPr>
      </w:pPr>
    </w:p>
    <w:p>
      <w:pPr>
        <w:ind w:left="1020" w:right="40"/>
        <w:spacing w:after="0" w:line="312" w:lineRule="auto"/>
        <w:rPr>
          <w:sz w:val="20"/>
          <w:szCs w:val="20"/>
          <w:color w:val="auto"/>
        </w:rPr>
      </w:pPr>
      <w:r>
        <w:rPr>
          <w:rFonts w:ascii="Arial" w:cs="Arial" w:eastAsia="Arial" w:hAnsi="Arial"/>
          <w:sz w:val="16"/>
          <w:szCs w:val="16"/>
          <w:color w:val="auto"/>
        </w:rPr>
        <w:t>The risk profile is assessed before entering into hedge transactions, which are authorized by the appropriate level of seniority within the Group. The effectiveness of hedges is assessed by the Risk Management Department. The effectiveness of all the hedge relationships is monitored monthly. In situations of ineffectiveness, the Group will enter into a new hedge relationship to mitigate risk on a continuous basis.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actively uses collateral to reduce its credit risks.</w:t>
      </w:r>
    </w:p>
    <w:p>
      <w:pPr>
        <w:spacing w:after="0" w:line="225" w:lineRule="exact"/>
        <w:rPr>
          <w:sz w:val="20"/>
          <w:szCs w:val="20"/>
          <w:color w:val="auto"/>
        </w:rPr>
      </w:pPr>
    </w:p>
    <w:p>
      <w:pPr>
        <w:ind w:left="1000" w:hanging="492"/>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25"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81"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29.1.  Credit risk -</w:t>
      </w:r>
    </w:p>
    <w:p>
      <w:pPr>
        <w:spacing w:after="0" w:line="229" w:lineRule="exact"/>
        <w:rPr>
          <w:sz w:val="20"/>
          <w:szCs w:val="20"/>
          <w:color w:val="auto"/>
        </w:rPr>
      </w:pPr>
    </w:p>
    <w:p>
      <w:pPr>
        <w:ind w:left="1520" w:right="200" w:hanging="499"/>
        <w:spacing w:after="0" w:line="272" w:lineRule="auto"/>
        <w:tabs>
          <w:tab w:leader="none" w:pos="15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Group takes on exposure to credit risk, which is the risk that a counterparty will cause a financial loss by failing to discharge an obligation. Credit risk is the most important risk for the Group’s business; therefore, Management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(indirect loans), which expose the Group to similar risks to loans (direct loans); they are both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60"/>
        <w:spacing w:after="0" w:line="312" w:lineRule="auto"/>
        <w:rPr>
          <w:sz w:val="20"/>
          <w:szCs w:val="20"/>
          <w:color w:val="auto"/>
        </w:rPr>
      </w:pPr>
      <w:r>
        <w:rPr>
          <w:rFonts w:ascii="Arial" w:cs="Arial" w:eastAsia="Arial" w:hAnsi="Arial"/>
          <w:sz w:val="16"/>
          <w:szCs w:val="16"/>
          <w:color w:val="auto"/>
        </w:rPr>
        <w:t>Impairment provisions are provided for losses that have been incurred at the date of the consolidated statements of financial 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47" w:lineRule="exact"/>
        <w:rPr>
          <w:sz w:val="20"/>
          <w:szCs w:val="20"/>
          <w:color w:val="auto"/>
        </w:rPr>
      </w:pPr>
    </w:p>
    <w:p>
      <w:pPr>
        <w:ind w:left="1540"/>
        <w:spacing w:after="0" w:line="312"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frequent reviews. Limits in the level of credit risk by product, industry sector and by geographic segment are approved by the Board of Directors.</w:t>
      </w:r>
    </w:p>
    <w:p>
      <w:pPr>
        <w:spacing w:after="0" w:line="147" w:lineRule="exact"/>
        <w:rPr>
          <w:sz w:val="20"/>
          <w:szCs w:val="20"/>
          <w:color w:val="auto"/>
        </w:rPr>
      </w:pPr>
    </w:p>
    <w:p>
      <w:pPr>
        <w:jc w:val="both"/>
        <w:ind w:left="1540" w:right="38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181" w:lineRule="exact"/>
        <w:rPr>
          <w:sz w:val="20"/>
          <w:szCs w:val="20"/>
          <w:color w:val="auto"/>
        </w:rPr>
      </w:pPr>
    </w:p>
    <w:p>
      <w:pPr>
        <w:ind w:left="2040" w:hanging="506"/>
        <w:spacing w:after="0"/>
        <w:tabs>
          <w:tab w:leader="none" w:pos="20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25" w:lineRule="exact"/>
        <w:rPr>
          <w:rFonts w:ascii="Arial" w:cs="Arial" w:eastAsia="Arial" w:hAnsi="Arial"/>
          <w:sz w:val="18"/>
          <w:szCs w:val="18"/>
          <w:color w:val="auto"/>
        </w:rPr>
      </w:pPr>
    </w:p>
    <w:p>
      <w:pPr>
        <w:ind w:left="2040" w:right="80"/>
        <w:spacing w:after="0" w:line="302" w:lineRule="auto"/>
        <w:rPr>
          <w:rFonts w:ascii="Arial" w:cs="Arial" w:eastAsia="Arial" w:hAnsi="Arial"/>
          <w:sz w:val="18"/>
          <w:szCs w:val="18"/>
          <w:color w:val="auto"/>
        </w:rPr>
      </w:pPr>
      <w:r>
        <w:rPr>
          <w:rFonts w:ascii="Arial" w:cs="Arial" w:eastAsia="Arial" w:hAnsi="Arial"/>
          <w:sz w:val="16"/>
          <w:szCs w:val="16"/>
          <w:color w:val="auto"/>
        </w:rPr>
        <w:t>The Group employs a range of policies and practices to mitigate credit risk. The most traditional of these is the taking of security for loans granted. The Group implements guidelines on the acceptability of specific classes of collateral or credit risk mitigation. Main collaterals accepted for loans and advances are mortgages over residential properties; liens over business assets such as premises, inventory and accounts receivable; and liens over financial instruments such as debt securities and equities.</w:t>
      </w:r>
    </w:p>
    <w:p>
      <w:pPr>
        <w:spacing w:after="0" w:line="154" w:lineRule="exact"/>
        <w:rPr>
          <w:rFonts w:ascii="Arial" w:cs="Arial" w:eastAsia="Arial" w:hAnsi="Arial"/>
          <w:sz w:val="18"/>
          <w:szCs w:val="18"/>
          <w:color w:val="auto"/>
        </w:rPr>
      </w:pPr>
    </w:p>
    <w:p>
      <w:pPr>
        <w:ind w:left="2040" w:right="2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and loans to micro entrepreneurs are generally unsecured. In addition, in order to minimize credit loss the Group will seek additional collateral from the counterparty as soon as impairment indicators arise.</w:t>
      </w:r>
    </w:p>
    <w:p>
      <w:pPr>
        <w:spacing w:after="0" w:line="181" w:lineRule="exact"/>
        <w:rPr>
          <w:rFonts w:ascii="Arial" w:cs="Arial" w:eastAsia="Arial" w:hAnsi="Arial"/>
          <w:sz w:val="18"/>
          <w:szCs w:val="18"/>
          <w:color w:val="auto"/>
        </w:rPr>
      </w:pPr>
    </w:p>
    <w:p>
      <w:pPr>
        <w:jc w:val="both"/>
        <w:ind w:left="2040" w:right="40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assets back securities and similar instruments, which are secured by portfolios of financial instruments.</w:t>
      </w:r>
    </w:p>
    <w:p>
      <w:pPr>
        <w:spacing w:after="0" w:line="181" w:lineRule="exact"/>
        <w:rPr>
          <w:rFonts w:ascii="Arial" w:cs="Arial" w:eastAsia="Arial" w:hAnsi="Arial"/>
          <w:sz w:val="18"/>
          <w:szCs w:val="18"/>
          <w:color w:val="auto"/>
        </w:rPr>
      </w:pPr>
    </w:p>
    <w:p>
      <w:pPr>
        <w:ind w:left="2040" w:right="100"/>
        <w:spacing w:after="0" w:line="302" w:lineRule="auto"/>
        <w:rPr>
          <w:rFonts w:ascii="Arial" w:cs="Arial" w:eastAsia="Arial" w:hAnsi="Arial"/>
          <w:sz w:val="18"/>
          <w:szCs w:val="18"/>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off repossessed properties in an orderly manner. The proceeds are used to reduce or repay the outstanding claim. In general, the Group does not use repossessed properties for its own business.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040" w:hanging="506"/>
        <w:spacing w:after="0"/>
        <w:tabs>
          <w:tab w:leader="none" w:pos="20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25" w:lineRule="exact"/>
        <w:rPr>
          <w:rFonts w:ascii="Arial" w:cs="Arial" w:eastAsia="Arial" w:hAnsi="Arial"/>
          <w:sz w:val="18"/>
          <w:szCs w:val="18"/>
          <w:color w:val="auto"/>
        </w:rPr>
      </w:pPr>
    </w:p>
    <w:p>
      <w:pPr>
        <w:ind w:left="2040"/>
        <w:spacing w:after="0" w:line="273"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(for example, the difference between purchase and sale contracts), by both amount and term. The amount subject to credit risk is limited to the current fair value of instruments that are favorable to the Group (for example, an asset when fair value is positive), which in relation to derivatives is only a small fraction of the contract, or notional amount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178" w:lineRule="exact"/>
        <w:rPr>
          <w:rFonts w:ascii="Arial" w:cs="Arial" w:eastAsia="Arial" w:hAnsi="Arial"/>
          <w:sz w:val="18"/>
          <w:szCs w:val="18"/>
          <w:color w:val="auto"/>
        </w:rPr>
      </w:pPr>
    </w:p>
    <w:p>
      <w:pPr>
        <w:jc w:val="both"/>
        <w:ind w:left="2040" w:right="2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on any single day.</w:t>
      </w:r>
    </w:p>
    <w:p>
      <w:pPr>
        <w:spacing w:after="0" w:line="181" w:lineRule="exact"/>
        <w:rPr>
          <w:rFonts w:ascii="Arial" w:cs="Arial" w:eastAsia="Arial" w:hAnsi="Arial"/>
          <w:sz w:val="18"/>
          <w:szCs w:val="18"/>
          <w:color w:val="auto"/>
        </w:rPr>
      </w:pPr>
    </w:p>
    <w:p>
      <w:pPr>
        <w:ind w:left="2040" w:hanging="506"/>
        <w:spacing w:after="0"/>
        <w:tabs>
          <w:tab w:leader="none" w:pos="20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25" w:lineRule="exact"/>
        <w:rPr>
          <w:rFonts w:ascii="Arial" w:cs="Arial" w:eastAsia="Arial" w:hAnsi="Arial"/>
          <w:sz w:val="18"/>
          <w:szCs w:val="18"/>
          <w:color w:val="auto"/>
        </w:rPr>
      </w:pPr>
    </w:p>
    <w:p>
      <w:pPr>
        <w:ind w:left="2040" w:right="40"/>
        <w:spacing w:after="0" w:line="276" w:lineRule="auto"/>
        <w:rPr>
          <w:rFonts w:ascii="Arial" w:cs="Arial" w:eastAsia="Arial" w:hAnsi="Arial"/>
          <w:sz w:val="18"/>
          <w:szCs w:val="18"/>
          <w:color w:val="auto"/>
        </w:rPr>
      </w:pPr>
      <w:r>
        <w:rPr>
          <w:rFonts w:ascii="Arial" w:cs="Arial" w:eastAsia="Arial" w:hAnsi="Arial"/>
          <w:sz w:val="17"/>
          <w:szCs w:val="17"/>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73"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In order to manage credit risk, as part of the Group’s risk management structure, see Note 29(a), there is a Risk Management Department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88" w:lineRule="exact"/>
        <w:rPr>
          <w:sz w:val="20"/>
          <w:szCs w:val="20"/>
          <w:color w:val="auto"/>
        </w:rPr>
      </w:pPr>
    </w:p>
    <w:p>
      <w:pPr>
        <w:ind w:left="1020" w:right="80"/>
        <w:spacing w:after="0" w:line="297" w:lineRule="auto"/>
        <w:rPr>
          <w:sz w:val="20"/>
          <w:szCs w:val="20"/>
          <w:color w:val="auto"/>
        </w:rPr>
      </w:pPr>
      <w:r>
        <w:rPr>
          <w:rFonts w:ascii="Arial" w:cs="Arial" w:eastAsia="Arial" w:hAnsi="Arial"/>
          <w:sz w:val="16"/>
          <w:szCs w:val="16"/>
          <w:color w:val="auto"/>
        </w:rPr>
        <w:t>Also, a Risk Assessment Committee has been established comprising three directors, the Chief Executive Officer, the Chief Financial Officer, the Deputy Chief Executive Officer, the Risk Division Manager, the Risk Management Department Manager, Central Manager Retail Banking, Central Manager Wholesale Banking, the Credit Division Manager and the Internal Audit Division Manager as an observer. Each of the financial indicators prepared by the Risk Management Department are analyzed by this committee on a monthly basis to subsequently evaluate the policies, procedures and limits currently effective at the Group to ensure that an efficient and effective risk management is always in place.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At the same time, the Group has a Credit Division, which establishes the overall credit policies for each and all the businesses in which the Group decides to take part. Said credit policies are set forth based on the guidelines established by the Board of Directors and keeping in mind the statutory financial laws and regulations. It’s main activities are: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189" w:lineRule="exact"/>
        <w:rPr>
          <w:sz w:val="20"/>
          <w:szCs w:val="20"/>
          <w:color w:val="auto"/>
        </w:rPr>
      </w:pPr>
    </w:p>
    <w:p>
      <w:pPr>
        <w:ind w:left="1000" w:right="400" w:hanging="492"/>
        <w:spacing w:after="0" w:line="308" w:lineRule="auto"/>
        <w:tabs>
          <w:tab w:leader="none" w:pos="10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2011 and 2010, before the effect of mitigation through any collateral, is the book value of each class of financial assets indicated in Note 29.7(a) and the contingent credits detailed in Note 19(a).</w:t>
      </w:r>
    </w:p>
    <w:p>
      <w:pPr>
        <w:spacing w:after="0" w:line="146" w:lineRule="exact"/>
        <w:rPr>
          <w:rFonts w:ascii="Arial" w:cs="Arial" w:eastAsia="Arial" w:hAnsi="Arial"/>
          <w:sz w:val="17"/>
          <w:szCs w:val="17"/>
          <w:color w:val="auto"/>
        </w:rPr>
      </w:pPr>
    </w:p>
    <w:p>
      <w:pPr>
        <w:ind w:left="1000" w:right="32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70" w:lineRule="exact"/>
        <w:rPr>
          <w:rFonts w:ascii="Arial" w:cs="Arial" w:eastAsia="Arial" w:hAnsi="Arial"/>
          <w:sz w:val="17"/>
          <w:szCs w:val="17"/>
          <w:color w:val="auto"/>
        </w:rPr>
      </w:pPr>
    </w:p>
    <w:p>
      <w:pPr>
        <w:ind w:left="1520" w:right="420" w:hanging="499"/>
        <w:spacing w:after="0" w:line="277"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98 percent of the gross loan portfolio is categorized in the top two grades of the internal rating system as of December 31, 2011 and 2010;</w:t>
      </w:r>
    </w:p>
    <w:p>
      <w:pPr>
        <w:spacing w:after="0" w:line="170" w:lineRule="exact"/>
        <w:rPr>
          <w:rFonts w:ascii="Arial" w:cs="Arial" w:eastAsia="Arial" w:hAnsi="Arial"/>
          <w:sz w:val="18"/>
          <w:szCs w:val="18"/>
          <w:color w:val="auto"/>
        </w:rPr>
      </w:pPr>
    </w:p>
    <w:p>
      <w:pPr>
        <w:ind w:left="1520" w:right="240" w:hanging="499"/>
        <w:spacing w:after="0" w:line="277"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97 percent of the loan portfolio is considered to be neither past due nor impaired as of December 31, 2011 (98 percent as of December 31, 2010);</w:t>
      </w:r>
    </w:p>
    <w:p>
      <w:pPr>
        <w:spacing w:after="0" w:line="170" w:lineRule="exact"/>
        <w:rPr>
          <w:rFonts w:ascii="Arial" w:cs="Arial" w:eastAsia="Arial" w:hAnsi="Arial"/>
          <w:sz w:val="18"/>
          <w:szCs w:val="18"/>
          <w:color w:val="auto"/>
        </w:rPr>
      </w:pPr>
    </w:p>
    <w:p>
      <w:pPr>
        <w:ind w:left="1520" w:hanging="499"/>
        <w:spacing w:after="0" w:line="277"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81.6 percent of the investments have at least investment credit rating (BBB- or higher) or are debt securities issued by BCRP (unrated) as of December 31, 2011 (65.7 percent as of December 31, 2010); and</w:t>
      </w:r>
    </w:p>
    <w:p>
      <w:pPr>
        <w:spacing w:after="0" w:line="170" w:lineRule="exact"/>
        <w:rPr>
          <w:rFonts w:ascii="Arial" w:cs="Arial" w:eastAsia="Arial" w:hAnsi="Arial"/>
          <w:sz w:val="18"/>
          <w:szCs w:val="18"/>
          <w:color w:val="auto"/>
        </w:rPr>
      </w:pPr>
    </w:p>
    <w:p>
      <w:pPr>
        <w:ind w:left="1520" w:right="340" w:hanging="499"/>
        <w:spacing w:after="0" w:line="264"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15.2 percent and 68.7 percent of the cash and due from banks represent amounts deposited in the Group’s vaults or in the BCRP (including overnight operations), respectively, as of December 31, 2011 (10 percent and 74 percent, respectively, as of December 31, 2010).</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Credicorp classifies its loan portfolio into one of five risk categories, depending upon the degree of risk of non-payment of each debtor. The categories used are: (i) normal - A, (ii) potential problems - B, (iii) substandard - C, (iv) doubtful - D and (v) loss - E, which have the following characteristics: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40"/>
        <w:spacing w:after="0" w:line="255" w:lineRule="auto"/>
        <w:rPr>
          <w:sz w:val="20"/>
          <w:szCs w:val="20"/>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are categorized as Class A if payments are current or up to eight days past-due. Residential mortgage loans warrant Class A classification if payments are current or up to thirty days past-due.</w:t>
      </w:r>
    </w:p>
    <w:p>
      <w:pPr>
        <w:spacing w:after="0" w:line="193" w:lineRule="exact"/>
        <w:rPr>
          <w:sz w:val="20"/>
          <w:szCs w:val="20"/>
          <w:color w:val="auto"/>
        </w:rPr>
      </w:pPr>
    </w:p>
    <w:p>
      <w:pPr>
        <w:ind w:left="1020" w:right="240"/>
        <w:spacing w:after="0" w:line="255" w:lineRule="auto"/>
        <w:rPr>
          <w:sz w:val="20"/>
          <w:szCs w:val="20"/>
          <w:color w:val="auto"/>
        </w:rPr>
      </w:pPr>
      <w:r>
        <w:rPr>
          <w:rFonts w:ascii="Arial" w:cs="Arial" w:eastAsia="Arial" w:hAnsi="Arial"/>
          <w:sz w:val="18"/>
          <w:szCs w:val="18"/>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loans are categorized as Class B if payments are between 9 and 30 days late. Residential mortgage loans become Class B when payments are between 31 and 60 days late.</w:t>
      </w:r>
    </w:p>
    <w:p>
      <w:pPr>
        <w:spacing w:after="0" w:line="189" w:lineRule="exact"/>
        <w:rPr>
          <w:sz w:val="20"/>
          <w:szCs w:val="20"/>
          <w:color w:val="auto"/>
        </w:rPr>
      </w:pPr>
    </w:p>
    <w:p>
      <w:pPr>
        <w:ind w:left="1020" w:right="20"/>
        <w:spacing w:after="0" w:line="272" w:lineRule="auto"/>
        <w:rPr>
          <w:sz w:val="20"/>
          <w:szCs w:val="20"/>
          <w:color w:val="auto"/>
        </w:rPr>
      </w:pPr>
      <w:r>
        <w:rPr>
          <w:rFonts w:ascii="Arial" w:cs="Arial" w:eastAsia="Arial" w:hAnsi="Arial"/>
          <w:sz w:val="17"/>
          <w:szCs w:val="17"/>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loan are categorized as Class C if payments are between 31 and 60 days late. Residential mortgage loans are classified as Class C when payments are between 61 and 120 days late.</w:t>
      </w:r>
    </w:p>
    <w:p>
      <w:pPr>
        <w:spacing w:after="0" w:line="178" w:lineRule="exact"/>
        <w:rPr>
          <w:sz w:val="20"/>
          <w:szCs w:val="20"/>
          <w:color w:val="auto"/>
        </w:rPr>
      </w:pPr>
    </w:p>
    <w:p>
      <w:pPr>
        <w:ind w:left="102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Loss (Class E): Commercial loans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classifications.</w:t>
      </w:r>
    </w:p>
    <w:p>
      <w:pPr>
        <w:spacing w:after="0" w:line="225"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All loans considered impaired (the ones classified as substandard, doubtful or loss) are analyzed by the Group’s Management, which addresses impairment in two areas: individually assessed allowance and collectively assessed allowance, as follows:</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25" w:lineRule="exact"/>
        <w:rPr>
          <w:sz w:val="20"/>
          <w:szCs w:val="20"/>
          <w:color w:val="auto"/>
        </w:rPr>
      </w:pPr>
    </w:p>
    <w:p>
      <w:pPr>
        <w:ind w:left="1540" w:right="120"/>
        <w:spacing w:after="0" w:line="297" w:lineRule="auto"/>
        <w:rPr>
          <w:sz w:val="20"/>
          <w:szCs w:val="20"/>
          <w:color w:val="auto"/>
        </w:rPr>
      </w:pPr>
      <w:r>
        <w:rPr>
          <w:rFonts w:ascii="Arial" w:cs="Arial" w:eastAsia="Arial" w:hAnsi="Arial"/>
          <w:sz w:val="16"/>
          <w:szCs w:val="16"/>
          <w:color w:val="auto"/>
        </w:rPr>
        <w:t>The Group determines the appropriate allowance for each individually significant loan or advance on an individual basis. Items considered when determining allowance amounts include the sustainability of the counterparty’s business plan, its ability to improve its performance once a financial difficulty has arisen, projected cash flows and the expected dividend payout should bankruptcy happens, the availability of other financial support, including the realizable value of collateral, and the timing of the expected cash flows. Impairment losses are evaluated at each reporting date, unless unforeseen circumstances require more careful attention.</w:t>
      </w:r>
    </w:p>
    <w:p>
      <w:pPr>
        <w:spacing w:after="0" w:line="158"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25"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187" w:lineRule="exact"/>
        <w:rPr>
          <w:sz w:val="20"/>
          <w:szCs w:val="20"/>
          <w:color w:val="auto"/>
        </w:rPr>
      </w:pPr>
    </w:p>
    <w:p>
      <w:pPr>
        <w:ind w:left="1540" w:right="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Management is responsible for deciding the length of this period which can extend for as long as one year. The impairment allowance is then reviewed by Management to ensure alignment with the Group’s overall policy.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Financial guarantees and letter of credit (indirect loans) are assessed and a provision estimated following a similar procedure as for loans.</w:t>
      </w:r>
    </w:p>
    <w:p>
      <w:pPr>
        <w:spacing w:after="0" w:line="248"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w:t>
      </w:r>
    </w:p>
    <w:p>
      <w:pPr>
        <w:spacing w:after="0" w:line="170"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legal procedures have been completed. Subsequent recoveries of amounts previously written off decrease the amount of the provision for loan impairment in the consolidated income statements.</w:t>
      </w:r>
    </w:p>
    <w:p>
      <w:pPr>
        <w:spacing w:after="0" w:line="181" w:lineRule="exact"/>
        <w:rPr>
          <w:sz w:val="20"/>
          <w:szCs w:val="20"/>
          <w:color w:val="auto"/>
        </w:rPr>
      </w:pPr>
    </w:p>
    <w:p>
      <w:pPr>
        <w:ind w:left="1020" w:right="2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classifications:</w:t>
      </w:r>
    </w:p>
    <w:p>
      <w:pPr>
        <w:spacing w:after="0" w:line="15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0"/>
              </w:rPr>
              <w:t>As of December 31, 2011</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00" w:type="dxa"/>
            <w:vAlign w:val="bottom"/>
          </w:tcPr>
          <w:p>
            <w:pPr>
              <w:spacing w:after="0"/>
              <w:rPr>
                <w:sz w:val="16"/>
                <w:szCs w:val="16"/>
                <w:color w:val="auto"/>
              </w:rPr>
            </w:pPr>
          </w:p>
        </w:tc>
        <w:tc>
          <w:tcPr>
            <w:tcW w:w="1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mortgage loans</w:t>
            </w:r>
          </w:p>
        </w:tc>
        <w:tc>
          <w:tcPr>
            <w:tcW w:w="16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Consumer loans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US$(000)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6"/>
              </w:rPr>
              <w:t>US$(000)</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Normal</w:t>
            </w:r>
          </w:p>
        </w:tc>
        <w:tc>
          <w:tcPr>
            <w:tcW w:w="980" w:type="dxa"/>
            <w:vAlign w:val="bottom"/>
          </w:tcPr>
          <w:p>
            <w:pPr>
              <w:jc w:val="right"/>
              <w:spacing w:after="0"/>
              <w:rPr>
                <w:sz w:val="20"/>
                <w:szCs w:val="20"/>
                <w:color w:val="auto"/>
              </w:rPr>
            </w:pPr>
            <w:r>
              <w:rPr>
                <w:rFonts w:ascii="Arial" w:cs="Arial" w:eastAsia="Arial" w:hAnsi="Arial"/>
                <w:sz w:val="18"/>
                <w:szCs w:val="18"/>
                <w:color w:val="auto"/>
              </w:rPr>
              <w:t>11,990,640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2,496,958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1,919,305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16,406,903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323,628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15,188</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355,489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Normal</w:t>
            </w:r>
          </w:p>
        </w:tc>
        <w:tc>
          <w:tcPr>
            <w:tcW w:w="980" w:type="dxa"/>
            <w:vAlign w:val="bottom"/>
          </w:tcPr>
          <w:p>
            <w:pPr>
              <w:jc w:val="right"/>
              <w:spacing w:after="0"/>
              <w:rPr>
                <w:sz w:val="20"/>
                <w:szCs w:val="20"/>
                <w:color w:val="auto"/>
              </w:rPr>
            </w:pPr>
            <w:r>
              <w:rPr>
                <w:rFonts w:ascii="Arial" w:cs="Arial" w:eastAsia="Arial" w:hAnsi="Arial"/>
                <w:sz w:val="18"/>
                <w:szCs w:val="18"/>
                <w:color w:val="auto"/>
              </w:rPr>
              <w:t>242,904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118,598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138,931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500,433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8,484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13,600</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35,546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Substandard</w:t>
            </w:r>
          </w:p>
        </w:tc>
        <w:tc>
          <w:tcPr>
            <w:tcW w:w="980" w:type="dxa"/>
            <w:vAlign w:val="bottom"/>
          </w:tcPr>
          <w:p>
            <w:pPr>
              <w:jc w:val="right"/>
              <w:spacing w:after="0"/>
              <w:rPr>
                <w:sz w:val="20"/>
                <w:szCs w:val="20"/>
                <w:color w:val="auto"/>
              </w:rPr>
            </w:pPr>
            <w:r>
              <w:rPr>
                <w:rFonts w:ascii="Arial" w:cs="Arial" w:eastAsia="Arial" w:hAnsi="Arial"/>
                <w:sz w:val="18"/>
                <w:szCs w:val="18"/>
                <w:color w:val="auto"/>
              </w:rPr>
              <w:t>72,507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26,545</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49,394</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156,527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Loss</w:t>
            </w:r>
          </w:p>
        </w:tc>
        <w:tc>
          <w:tcPr>
            <w:tcW w:w="980" w:type="dxa"/>
            <w:vAlign w:val="bottom"/>
          </w:tcPr>
          <w:p>
            <w:pPr>
              <w:jc w:val="right"/>
              <w:spacing w:after="0"/>
              <w:rPr>
                <w:sz w:val="20"/>
                <w:szCs w:val="20"/>
                <w:color w:val="auto"/>
              </w:rPr>
            </w:pPr>
            <w:r>
              <w:rPr>
                <w:rFonts w:ascii="Arial" w:cs="Arial" w:eastAsia="Arial" w:hAnsi="Arial"/>
                <w:sz w:val="18"/>
                <w:szCs w:val="18"/>
                <w:color w:val="auto"/>
              </w:rPr>
              <w:t>88,119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29,026</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54,012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Gross</w:t>
            </w:r>
          </w:p>
        </w:tc>
        <w:tc>
          <w:tcPr>
            <w:tcW w:w="980" w:type="dxa"/>
            <w:vAlign w:val="bottom"/>
          </w:tcPr>
          <w:p>
            <w:pPr>
              <w:jc w:val="right"/>
              <w:spacing w:after="0"/>
              <w:rPr>
                <w:sz w:val="20"/>
                <w:szCs w:val="20"/>
                <w:color w:val="auto"/>
              </w:rPr>
            </w:pPr>
            <w:r>
              <w:rPr>
                <w:rFonts w:ascii="Arial" w:cs="Arial" w:eastAsia="Arial" w:hAnsi="Arial"/>
                <w:sz w:val="18"/>
                <w:szCs w:val="18"/>
                <w:color w:val="auto"/>
              </w:rPr>
              <w:t>12,806,870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2,725,145</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2,234,871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17,766,886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980" w:type="dxa"/>
            <w:vAlign w:val="bottom"/>
          </w:tcPr>
          <w:p>
            <w:pPr>
              <w:jc w:val="right"/>
              <w:spacing w:after="0"/>
              <w:rPr>
                <w:sz w:val="20"/>
                <w:szCs w:val="20"/>
                <w:color w:val="auto"/>
              </w:rPr>
            </w:pPr>
            <w:r>
              <w:rPr>
                <w:rFonts w:ascii="Arial" w:cs="Arial" w:eastAsia="Arial" w:hAnsi="Arial"/>
                <w:sz w:val="18"/>
                <w:szCs w:val="18"/>
                <w:color w:val="auto"/>
              </w:rPr>
              <w:t>318,944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135,335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519,708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Total, net</w:t>
            </w:r>
          </w:p>
        </w:tc>
        <w:tc>
          <w:tcPr>
            <w:tcW w:w="980" w:type="dxa"/>
            <w:vAlign w:val="bottom"/>
          </w:tcPr>
          <w:p>
            <w:pPr>
              <w:jc w:val="right"/>
              <w:spacing w:after="0"/>
              <w:rPr>
                <w:sz w:val="20"/>
                <w:szCs w:val="20"/>
                <w:color w:val="auto"/>
              </w:rPr>
            </w:pPr>
            <w:r>
              <w:rPr>
                <w:rFonts w:ascii="Arial" w:cs="Arial" w:eastAsia="Arial" w:hAnsi="Arial"/>
                <w:sz w:val="18"/>
                <w:szCs w:val="18"/>
                <w:color w:val="auto"/>
              </w:rPr>
              <w:t>12,487,926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2,659,716</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2,099,536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17,247,178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0"/>
              </w:rPr>
              <w:t>As of December 31, 2010</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00" w:type="dxa"/>
            <w:vAlign w:val="bottom"/>
          </w:tcPr>
          <w:p>
            <w:pPr>
              <w:spacing w:after="0"/>
              <w:rPr>
                <w:sz w:val="16"/>
                <w:szCs w:val="16"/>
                <w:color w:val="auto"/>
              </w:rPr>
            </w:pPr>
          </w:p>
        </w:tc>
        <w:tc>
          <w:tcPr>
            <w:tcW w:w="1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mortgage loans</w:t>
            </w:r>
          </w:p>
        </w:tc>
        <w:tc>
          <w:tcPr>
            <w:tcW w:w="16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Consumer loans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US$(000)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6"/>
              </w:rPr>
              <w:t>US$(000)</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Normal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10,125,086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1,964,330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1,478,528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13,567,944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229,566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9,711</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13,204</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252,481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Normal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170,050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87,020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88,169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345,239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Potential problem</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26,974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13,803</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54,763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Substandard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67,117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22,544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38,943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128,604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Doubtful</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63,329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21,271</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36,745</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121,345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78,645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45,632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150,691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Gross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10,760,767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2,145,093</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1,715,207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14,621,067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tcBorders>
              <w:top w:val="single" w:sz="8" w:color="auto"/>
            </w:tcBorders>
            <w:shd w:val="clear" w:color="auto" w:fill="CCFFCC"/>
          </w:tcPr>
          <w:p>
            <w:pPr>
              <w:spacing w:after="0"/>
              <w:rPr>
                <w:sz w:val="19"/>
                <w:szCs w:val="19"/>
                <w:color w:val="auto"/>
              </w:rPr>
            </w:pPr>
          </w:p>
        </w:tc>
        <w:tc>
          <w:tcPr>
            <w:tcW w:w="90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256,670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106,709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415,703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tcBorders>
              <w:top w:val="single" w:sz="8" w:color="auto"/>
            </w:tcBorders>
            <w:shd w:val="clear" w:color="auto" w:fill="CCFFCC"/>
          </w:tcPr>
          <w:p>
            <w:pPr>
              <w:spacing w:after="0"/>
              <w:rPr>
                <w:sz w:val="19"/>
                <w:szCs w:val="19"/>
                <w:color w:val="auto"/>
              </w:rPr>
            </w:pPr>
          </w:p>
        </w:tc>
        <w:tc>
          <w:tcPr>
            <w:tcW w:w="90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net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10,504,097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2,092,769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1,608,498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14,205,364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580"/>
        <w:spacing w:after="0" w:line="264" w:lineRule="auto"/>
        <w:rPr>
          <w:sz w:val="20"/>
          <w:szCs w:val="20"/>
          <w:color w:val="auto"/>
        </w:rPr>
      </w:pPr>
      <w:r>
        <w:rPr>
          <w:rFonts w:ascii="Arial" w:cs="Arial" w:eastAsia="Arial" w:hAnsi="Arial"/>
          <w:sz w:val="18"/>
          <w:szCs w:val="18"/>
          <w:color w:val="auto"/>
        </w:rPr>
        <w:t>As of December 31, 2011 and 2010, renegotiated loans amounts to approximately US$96.0 and US$76.7 million, respectively, of which US$23.8 and US$12.5 million, respectively, are classified as neither past due nor impaired, US$0.5 and US$0.1 million past due but not impaired, and US$71.7 and US$64.1 million impaired but not past due, respectively.</w:t>
      </w:r>
    </w:p>
    <w:p>
      <w:pPr>
        <w:spacing w:after="0" w:line="181"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 December 31, 2011</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Residential</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mortgage loans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87"/>
              </w:rPr>
              <w:t>Consumer loans</w:t>
            </w:r>
          </w:p>
        </w:tc>
        <w:tc>
          <w:tcPr>
            <w:tcW w:w="18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2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241,214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79,454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147,847</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468,515</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128,611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73,815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11,824</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214,250</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132,944</w:t>
            </w:r>
          </w:p>
        </w:tc>
        <w:tc>
          <w:tcPr>
            <w:tcW w:w="22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38,187</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111,825</w:t>
            </w:r>
          </w:p>
        </w:tc>
        <w:tc>
          <w:tcPr>
            <w:tcW w:w="18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282,956</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As of December 31, 2010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Commercial</w:t>
            </w:r>
          </w:p>
        </w:tc>
        <w:tc>
          <w:tcPr>
            <w:tcW w:w="180" w:type="dxa"/>
            <w:vAlign w:val="bottom"/>
          </w:tcPr>
          <w:p>
            <w:pPr>
              <w:spacing w:after="0"/>
              <w:rPr>
                <w:sz w:val="16"/>
                <w:szCs w:val="16"/>
                <w:color w:val="auto"/>
              </w:rPr>
            </w:pPr>
          </w:p>
        </w:tc>
        <w:tc>
          <w:tcPr>
            <w:tcW w:w="126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mortgage loans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Consumer loans</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209,091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70,229</w:t>
            </w:r>
          </w:p>
        </w:tc>
        <w:tc>
          <w:tcPr>
            <w:tcW w:w="1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121,320</w:t>
            </w: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400,640</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122,067</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67,417</w:t>
            </w:r>
          </w:p>
        </w:tc>
        <w:tc>
          <w:tcPr>
            <w:tcW w:w="1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11,760</w:t>
            </w: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201,244</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111,853</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70,340</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211,137</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The Group evaluates the credit risk identified of each of the financial instruments in these categories, considering the risk rating granted to them by a risk rating agency. For investments traded in Peru, the risk ratings use are those provided by the three most prestigious Peruvian rating agencies (authorized by the Peruvian government regulator) and for investments traded abroad, the risk-ratings used are those provided by the three most prestigious international rating agencies. In the event any subsidiary use a risk-rating prepared by any other risk rating agency, such risk-ratings are standardized with those provided by the afore-mentioned institutions for consolidation purposes.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shows the analysis of the risk-rating of available-for-sale investments, provided by the institutions referred to above:</w:t>
      </w:r>
    </w:p>
    <w:p>
      <w:pPr>
        <w:spacing w:after="0" w:line="23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As of December 31, 2011</w:t>
            </w:r>
          </w:p>
        </w:tc>
        <w:tc>
          <w:tcPr>
            <w:tcW w:w="200" w:type="dxa"/>
            <w:vAlign w:val="bottom"/>
          </w:tcPr>
          <w:p>
            <w:pPr>
              <w:spacing w:after="0"/>
              <w:rPr>
                <w:sz w:val="20"/>
                <w:szCs w:val="20"/>
                <w:color w:val="auto"/>
              </w:rPr>
            </w:pPr>
          </w:p>
        </w:tc>
        <w:tc>
          <w:tcPr>
            <w:tcW w:w="226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As of December 31, 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US$(000)</w:t>
            </w: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US$(000)</w:t>
            </w:r>
          </w:p>
        </w:tc>
        <w:tc>
          <w:tcPr>
            <w:tcW w:w="11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AAA</w:t>
            </w:r>
          </w:p>
        </w:tc>
        <w:tc>
          <w:tcPr>
            <w:tcW w:w="1000" w:type="dxa"/>
            <w:vAlign w:val="bottom"/>
          </w:tcPr>
          <w:p>
            <w:pPr>
              <w:jc w:val="right"/>
              <w:spacing w:after="0"/>
              <w:rPr>
                <w:sz w:val="20"/>
                <w:szCs w:val="20"/>
                <w:color w:val="auto"/>
              </w:rPr>
            </w:pPr>
            <w:r>
              <w:rPr>
                <w:rFonts w:ascii="Arial" w:cs="Arial" w:eastAsia="Arial" w:hAnsi="Arial"/>
                <w:sz w:val="18"/>
                <w:szCs w:val="18"/>
                <w:color w:val="auto"/>
              </w:rPr>
              <w:t>481,736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250,626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88,669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73,750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 to A+</w:t>
            </w:r>
          </w:p>
        </w:tc>
        <w:tc>
          <w:tcPr>
            <w:tcW w:w="1000" w:type="dxa"/>
            <w:vAlign w:val="bottom"/>
          </w:tcPr>
          <w:p>
            <w:pPr>
              <w:jc w:val="right"/>
              <w:spacing w:after="0"/>
              <w:rPr>
                <w:sz w:val="20"/>
                <w:szCs w:val="20"/>
                <w:color w:val="auto"/>
              </w:rPr>
            </w:pPr>
            <w:r>
              <w:rPr>
                <w:rFonts w:ascii="Arial" w:cs="Arial" w:eastAsia="Arial" w:hAnsi="Arial"/>
                <w:sz w:val="18"/>
                <w:szCs w:val="18"/>
                <w:color w:val="auto"/>
              </w:rPr>
              <w:t>23,984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148,802</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BB- to BB+</w:t>
            </w: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Unrated</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BCRP certificates of deposit</w:t>
            </w:r>
          </w:p>
        </w:tc>
        <w:tc>
          <w:tcPr>
            <w:tcW w:w="1000" w:type="dxa"/>
            <w:vAlign w:val="bottom"/>
          </w:tcPr>
          <w:p>
            <w:pPr>
              <w:jc w:val="right"/>
              <w:spacing w:after="0"/>
              <w:rPr>
                <w:sz w:val="20"/>
                <w:szCs w:val="20"/>
                <w:color w:val="auto"/>
              </w:rPr>
            </w:pPr>
            <w:r>
              <w:rPr>
                <w:rFonts w:ascii="Arial" w:cs="Arial" w:eastAsia="Arial" w:hAnsi="Arial"/>
                <w:sz w:val="18"/>
                <w:szCs w:val="18"/>
                <w:color w:val="auto"/>
              </w:rPr>
              <w:t>2,059,780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363,850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Listed and non-listed securities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254,306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260,769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Restricted mutual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88,319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95,929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Mutual funds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38,639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58,095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Other instruments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33,729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23,108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0" w:type="dxa"/>
            <w:vAlign w:val="bottom"/>
          </w:tcPr>
          <w:p>
            <w:pPr>
              <w:jc w:val="right"/>
              <w:spacing w:after="0"/>
              <w:rPr>
                <w:sz w:val="20"/>
                <w:szCs w:val="20"/>
                <w:color w:val="auto"/>
              </w:rPr>
            </w:pPr>
            <w:r>
              <w:rPr>
                <w:rFonts w:ascii="Arial" w:cs="Arial" w:eastAsia="Arial" w:hAnsi="Arial"/>
                <w:sz w:val="18"/>
                <w:szCs w:val="18"/>
                <w:color w:val="auto"/>
              </w:rPr>
              <w:t>3,071,394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1,284,783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As of December 31, 2011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ind w:left="440"/>
              <w:spacing w:after="0"/>
              <w:rPr>
                <w:sz w:val="20"/>
                <w:szCs w:val="20"/>
                <w:color w:val="auto"/>
              </w:rPr>
            </w:pPr>
            <w:r>
              <w:rPr>
                <w:rFonts w:ascii="Arial" w:cs="Arial" w:eastAsia="Arial" w:hAnsi="Arial"/>
                <w:sz w:val="18"/>
                <w:szCs w:val="18"/>
                <w:b w:val="1"/>
                <w:bCs w:val="1"/>
                <w:color w:val="auto"/>
              </w:rPr>
              <w:t>As of December 31, 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US$(000)</w:t>
            </w: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US$(000)</w:t>
            </w:r>
          </w:p>
        </w:tc>
        <w:tc>
          <w:tcPr>
            <w:tcW w:w="14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abroad:</w:t>
            </w: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AAA</w:t>
            </w:r>
          </w:p>
        </w:tc>
        <w:tc>
          <w:tcPr>
            <w:tcW w:w="1320" w:type="dxa"/>
            <w:vAlign w:val="bottom"/>
          </w:tcPr>
          <w:p>
            <w:pPr>
              <w:jc w:val="right"/>
              <w:spacing w:after="0"/>
              <w:rPr>
                <w:sz w:val="20"/>
                <w:szCs w:val="20"/>
                <w:color w:val="auto"/>
              </w:rPr>
            </w:pPr>
            <w:r>
              <w:rPr>
                <w:rFonts w:ascii="Arial" w:cs="Arial" w:eastAsia="Arial" w:hAnsi="Arial"/>
                <w:sz w:val="18"/>
                <w:szCs w:val="18"/>
                <w:color w:val="auto"/>
              </w:rPr>
              <w:t>128,762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54,057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164,636</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137,681</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 to A+</w:t>
            </w:r>
          </w:p>
        </w:tc>
        <w:tc>
          <w:tcPr>
            <w:tcW w:w="1320" w:type="dxa"/>
            <w:vAlign w:val="bottom"/>
          </w:tcPr>
          <w:p>
            <w:pPr>
              <w:jc w:val="right"/>
              <w:spacing w:after="0"/>
              <w:rPr>
                <w:sz w:val="20"/>
                <w:szCs w:val="20"/>
                <w:color w:val="auto"/>
              </w:rPr>
            </w:pPr>
            <w:r>
              <w:rPr>
                <w:rFonts w:ascii="Arial" w:cs="Arial" w:eastAsia="Arial" w:hAnsi="Arial"/>
                <w:sz w:val="18"/>
                <w:szCs w:val="18"/>
                <w:color w:val="auto"/>
              </w:rPr>
              <w:t>501,229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488,991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1,377,466</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947,448</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BB- to BB+</w:t>
            </w:r>
          </w:p>
        </w:tc>
        <w:tc>
          <w:tcPr>
            <w:tcW w:w="1320" w:type="dxa"/>
            <w:vAlign w:val="bottom"/>
          </w:tcPr>
          <w:p>
            <w:pPr>
              <w:jc w:val="right"/>
              <w:spacing w:after="0"/>
              <w:rPr>
                <w:sz w:val="20"/>
                <w:szCs w:val="20"/>
                <w:color w:val="auto"/>
              </w:rPr>
            </w:pPr>
            <w:r>
              <w:rPr>
                <w:rFonts w:ascii="Arial" w:cs="Arial" w:eastAsia="Arial" w:hAnsi="Arial"/>
                <w:sz w:val="18"/>
                <w:szCs w:val="18"/>
                <w:color w:val="auto"/>
              </w:rPr>
              <w:t>162,137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270,632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47,781</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69,705</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Unrated</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Listed and non-listed securities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225,110</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279,746</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Central Bank of Bolivia certificates of deposit</w:t>
            </w:r>
          </w:p>
        </w:tc>
        <w:tc>
          <w:tcPr>
            <w:tcW w:w="1320" w:type="dxa"/>
            <w:vAlign w:val="bottom"/>
          </w:tcPr>
          <w:p>
            <w:pPr>
              <w:jc w:val="right"/>
              <w:spacing w:after="0"/>
              <w:rPr>
                <w:sz w:val="20"/>
                <w:szCs w:val="20"/>
                <w:color w:val="auto"/>
              </w:rPr>
            </w:pPr>
            <w:r>
              <w:rPr>
                <w:rFonts w:ascii="Arial" w:cs="Arial" w:eastAsia="Arial" w:hAnsi="Arial"/>
                <w:sz w:val="18"/>
                <w:szCs w:val="18"/>
                <w:color w:val="auto"/>
              </w:rPr>
              <w:t>110,945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86,527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Participation in RAL’s funds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49,263</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80,195</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30,069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19,044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Hedge funds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27,857</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9,928</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Other instruments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18,952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39,511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320" w:type="dxa"/>
            <w:vAlign w:val="bottom"/>
          </w:tcPr>
          <w:p>
            <w:pPr>
              <w:jc w:val="right"/>
              <w:spacing w:after="0"/>
              <w:rPr>
                <w:sz w:val="20"/>
                <w:szCs w:val="20"/>
                <w:color w:val="auto"/>
              </w:rPr>
            </w:pPr>
            <w:r>
              <w:rPr>
                <w:rFonts w:ascii="Arial" w:cs="Arial" w:eastAsia="Arial" w:hAnsi="Arial"/>
                <w:sz w:val="18"/>
                <w:szCs w:val="18"/>
                <w:color w:val="auto"/>
              </w:rPr>
              <w:t>2,844,207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2,483,465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3,768,248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1117" w:right="59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As of December 31, 2011 and 2010, financial instruments with exposure to credit risk were distributed considering the following economic sectors: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2011</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1"/>
                <w:szCs w:val="11"/>
                <w:b w:val="1"/>
                <w:bCs w:val="1"/>
                <w:color w:val="auto"/>
              </w:rPr>
              <w:t>2010</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gridSpan w:val="4"/>
          </w:tcPr>
          <w:p>
            <w:pPr>
              <w:jc w:val="right"/>
              <w:ind w:right="80"/>
              <w:spacing w:after="0" w:line="115" w:lineRule="exact"/>
              <w:rPr>
                <w:sz w:val="20"/>
                <w:szCs w:val="20"/>
                <w:color w:val="auto"/>
              </w:rPr>
            </w:pPr>
            <w:r>
              <w:rPr>
                <w:rFonts w:ascii="Arial" w:cs="Arial" w:eastAsia="Arial" w:hAnsi="Arial"/>
                <w:sz w:val="11"/>
                <w:szCs w:val="11"/>
                <w:b w:val="1"/>
                <w:bCs w:val="1"/>
                <w:color w:val="auto"/>
                <w:w w:val="87"/>
              </w:rPr>
              <w:t>Designated at fair value through profit for loss</w:t>
            </w: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Loans and</w:t>
            </w:r>
          </w:p>
        </w:tc>
        <w:tc>
          <w:tcPr>
            <w:tcW w:w="8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Investments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w w:val="87"/>
              </w:rPr>
              <w:t>Designated at fair value through profit for loss</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Loans and</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Investments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hedging</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At inception</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receivables</w:t>
            </w: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available-for-sale</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hedging</w:t>
            </w:r>
          </w:p>
        </w:tc>
        <w:tc>
          <w:tcPr>
            <w:tcW w:w="920" w:type="dxa"/>
            <w:vAlign w:val="bottom"/>
          </w:tcPr>
          <w:p>
            <w:pPr>
              <w:jc w:val="right"/>
              <w:ind w:right="126"/>
              <w:spacing w:after="0"/>
              <w:rPr>
                <w:sz w:val="20"/>
                <w:szCs w:val="20"/>
                <w:color w:val="auto"/>
              </w:rPr>
            </w:pPr>
            <w:r>
              <w:rPr>
                <w:rFonts w:ascii="Arial" w:cs="Arial" w:eastAsia="Arial" w:hAnsi="Arial"/>
                <w:sz w:val="11"/>
                <w:szCs w:val="11"/>
                <w:b w:val="1"/>
                <w:bCs w:val="1"/>
                <w:color w:val="auto"/>
              </w:rPr>
              <w:t>At inception</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receivables</w:t>
            </w: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available-for-sale</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color w:val="auto"/>
                <w:w w:val="89"/>
              </w:rPr>
              <w:t>US$(000)</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US$(000)</w:t>
            </w:r>
          </w:p>
        </w:tc>
        <w:tc>
          <w:tcPr>
            <w:tcW w:w="10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color w:val="auto"/>
                <w:w w:val="93"/>
              </w:rPr>
              <w:t>US$(000)</w:t>
            </w:r>
          </w:p>
        </w:tc>
        <w:tc>
          <w:tcPr>
            <w:tcW w:w="920" w:type="dxa"/>
            <w:vAlign w:val="bottom"/>
          </w:tcPr>
          <w:p>
            <w:pPr>
              <w:jc w:val="right"/>
              <w:ind w:right="18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2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Central Reserve Bank of</w:t>
            </w:r>
          </w:p>
        </w:tc>
        <w:tc>
          <w:tcPr>
            <w:tcW w:w="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rPr>
              <w:t>Perú</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3,784,514</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2,059,780</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5,844,294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6,307,977</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363,850</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6,671,827</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68,940</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67,370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2,118,920</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1,326,991</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3,582,221</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66,560</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158,849</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2,554,284</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1,203,625</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3,983,318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Manufacturing</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27,389</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5,308</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3,184,170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551,599</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3,768,466</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10,190</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5,096</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2,936,271</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437,141</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3,388,698</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2,595,479</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2,595,479</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2,052,428</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2,052,428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1,825</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1,754</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2,176,460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78,039</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2,258,078</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1,278</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758</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1,875,832</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78,706</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1,956,574</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Consumer loans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2,168,437</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2,168,437</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1,668,402</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1,668,402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8"/>
              </w:rPr>
              <w:t>Electricity, gas and water</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3,581</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4,741</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1,063,025</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328,115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1,399,462</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23,412</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3,913</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931,537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417,503</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1,376,365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w w:val="90"/>
              </w:rPr>
              <w:t>Leaseholds and real estate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activities</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4,201</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924,031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64,785</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993,017</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909,174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69,627</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978,841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Mining</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138</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7,640</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834,210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150,387</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992,375</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21,856</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8,266</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860,521</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83,292</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973,935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rPr>
              <w:t>Government and public</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administration</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50,739</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310,817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993,166</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1,354,722</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73,515</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677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23,801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848,856</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946,849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Micro-business loans</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1,505,476</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1,505,476</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909,422</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909,422</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w w:val="96"/>
              </w:rPr>
              <w:t>Communications, storage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and transportation</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2,152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665,460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271,922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939,573</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239</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837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710,116</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165,589</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876,781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Community services</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585,654</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94</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585,758</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416,630</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416,635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Agriculture</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383</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292,648</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674</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293,705</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88</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284,419</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7,007</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291,514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89"/>
              </w:rPr>
              <w:t>Education, health and other</w:t>
            </w:r>
          </w:p>
        </w:tc>
        <w:tc>
          <w:tcPr>
            <w:tcW w:w="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rPr>
              <w:t>services</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323</w:t>
            </w:r>
          </w:p>
        </w:tc>
        <w:tc>
          <w:tcPr>
            <w:tcW w:w="3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339,201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21,591</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361,115</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573</w:t>
            </w:r>
          </w:p>
        </w:tc>
        <w:tc>
          <w:tcPr>
            <w:tcW w:w="2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173,028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36,878</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210,479</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178,795</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178,795</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1,435</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186,881</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12,223</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200,539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Construction</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523</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1,138</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245,083</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30,006</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276,750</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606</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659</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134,297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5,949</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141,511</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162,196</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2,747</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164,943</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131,830</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160</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132,064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39</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227,770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35,705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263,514</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642</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184,615</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37,842</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223,099</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2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00" w:type="dxa"/>
            <w:vAlign w:val="bottom"/>
            <w:tcBorders>
              <w:top w:val="single" w:sz="8" w:color="CCFFC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2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FFCC"/>
            </w:tcBorders>
            <w:shd w:val="clear" w:color="auto" w:fill="CCFFCC"/>
          </w:tcPr>
          <w:p>
            <w:pPr>
              <w:spacing w:after="0"/>
              <w:rPr>
                <w:sz w:val="14"/>
                <w:szCs w:val="14"/>
                <w:color w:val="auto"/>
              </w:rPr>
            </w:pPr>
          </w:p>
        </w:tc>
        <w:tc>
          <w:tcPr>
            <w:tcW w:w="9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158,130</w:t>
            </w:r>
          </w:p>
        </w:tc>
        <w:tc>
          <w:tcPr>
            <w:tcW w:w="300" w:type="dxa"/>
            <w:vAlign w:val="bottom"/>
            <w:tcBorders>
              <w:bottom w:val="single" w:sz="8" w:color="CCFFCC"/>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90,103</w:t>
            </w:r>
          </w:p>
        </w:tc>
        <w:tc>
          <w:tcPr>
            <w:tcW w:w="8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23,362,346</w:t>
            </w: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5,915,601</w:t>
            </w:r>
          </w:p>
        </w:tc>
        <w:tc>
          <w:tcPr>
            <w:tcW w:w="8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29,526,180</w:t>
            </w:r>
          </w:p>
        </w:tc>
        <w:tc>
          <w:tcPr>
            <w:tcW w:w="100" w:type="dxa"/>
            <w:vAlign w:val="bottom"/>
            <w:tcBorders>
              <w:bottom w:val="single" w:sz="8" w:color="CCFFCC"/>
            </w:tcBorders>
            <w:shd w:val="clear" w:color="auto" w:fill="CCFFCC"/>
          </w:tcPr>
          <w:p>
            <w:pPr>
              <w:spacing w:after="0"/>
              <w:rPr>
                <w:sz w:val="14"/>
                <w:szCs w:val="14"/>
                <w:color w:val="auto"/>
              </w:rPr>
            </w:pPr>
          </w:p>
        </w:tc>
        <w:tc>
          <w:tcPr>
            <w:tcW w:w="9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200,513</w:t>
            </w:r>
          </w:p>
        </w:tc>
        <w:tc>
          <w:tcPr>
            <w:tcW w:w="2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179,055</w:t>
            </w:r>
          </w:p>
        </w:tc>
        <w:tc>
          <w:tcPr>
            <w:tcW w:w="10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23,251,465</w:t>
            </w:r>
          </w:p>
        </w:tc>
        <w:tc>
          <w:tcPr>
            <w:tcW w:w="100" w:type="dxa"/>
            <w:vAlign w:val="bottom"/>
            <w:tcBorders>
              <w:bottom w:val="single" w:sz="8" w:color="CCFFCC"/>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3,768,248</w:t>
            </w:r>
          </w:p>
        </w:tc>
        <w:tc>
          <w:tcPr>
            <w:tcW w:w="10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27,399,281</w:t>
            </w: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4" w:right="59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December 31, 2011 and 2010, the financial instruments with exposure to credit risk were distributed by the following geographical areas:</w:t>
      </w:r>
    </w:p>
    <w:p>
      <w:pPr>
        <w:spacing w:after="0" w:line="240"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Designated at fair value through profit or</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1108"/>
              <w:spacing w:after="0"/>
              <w:rPr>
                <w:sz w:val="20"/>
                <w:szCs w:val="20"/>
                <w:color w:val="auto"/>
              </w:rPr>
            </w:pPr>
            <w:r>
              <w:rPr>
                <w:rFonts w:ascii="Arial" w:cs="Arial" w:eastAsia="Arial" w:hAnsi="Arial"/>
                <w:sz w:val="14"/>
                <w:szCs w:val="14"/>
                <w:b w:val="1"/>
                <w:bCs w:val="1"/>
                <w:color w:val="auto"/>
                <w:w w:val="78"/>
              </w:rPr>
              <w:t>loss</w:t>
            </w:r>
          </w:p>
        </w:tc>
        <w:tc>
          <w:tcPr>
            <w:tcW w:w="1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Loans and</w:t>
            </w:r>
          </w:p>
        </w:tc>
        <w:tc>
          <w:tcPr>
            <w:tcW w:w="2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Held for trading</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At inception</w:t>
            </w: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and hedging</w:t>
            </w: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receivables</w:t>
            </w:r>
          </w:p>
        </w:tc>
        <w:tc>
          <w:tcPr>
            <w:tcW w:w="20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US$(000)</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119,391</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28,390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21,410,476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3,843,207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25,401,464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United States of America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18,468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26,981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425,327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939,126</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1,409,902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Bolivia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182</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942,281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179,353</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1,121,816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210,324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172,117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Chile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43,610</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284,047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327,792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United Kingdom</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14,941</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56,874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62,283</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134,098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Switzerland</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51,871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6,485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France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31,157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1,696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11,735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44,588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Luxembourg</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2,201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26,466</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Spain</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8,844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16,815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25,659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Netherlands</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20,782</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Europe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12,273</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5,610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18,019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Brazil</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7,460</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113,710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Supranational</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74,910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74,910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59,865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849</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181,232</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99,090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282,248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Borders>
              <w:top w:val="single" w:sz="8" w:color="CCFFCC"/>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158,130</w:t>
            </w:r>
          </w:p>
        </w:tc>
        <w:tc>
          <w:tcPr>
            <w:tcW w:w="2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90,103</w:t>
            </w:r>
          </w:p>
        </w:tc>
        <w:tc>
          <w:tcPr>
            <w:tcW w:w="200" w:type="dxa"/>
            <w:vAlign w:val="bottom"/>
            <w:tcBorders>
              <w:bottom w:val="single" w:sz="8" w:color="CCFFCC"/>
            </w:tcBorders>
            <w:shd w:val="clear" w:color="auto" w:fill="CCFFCC"/>
          </w:tcPr>
          <w:p>
            <w:pPr>
              <w:spacing w:after="0"/>
              <w:rPr>
                <w:sz w:val="16"/>
                <w:szCs w:val="16"/>
                <w:color w:val="auto"/>
              </w:rPr>
            </w:pPr>
          </w:p>
        </w:tc>
        <w:tc>
          <w:tcPr>
            <w:tcW w:w="12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23,362,346</w:t>
            </w:r>
          </w:p>
        </w:tc>
        <w:tc>
          <w:tcPr>
            <w:tcW w:w="20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5,915,601</w:t>
            </w:r>
          </w:p>
        </w:tc>
        <w:tc>
          <w:tcPr>
            <w:tcW w:w="18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29,526,180</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Designated at fair value through profit or</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1108"/>
              <w:spacing w:after="0"/>
              <w:rPr>
                <w:sz w:val="20"/>
                <w:szCs w:val="20"/>
                <w:color w:val="auto"/>
              </w:rPr>
            </w:pPr>
            <w:r>
              <w:rPr>
                <w:rFonts w:ascii="Arial" w:cs="Arial" w:eastAsia="Arial" w:hAnsi="Arial"/>
                <w:sz w:val="14"/>
                <w:szCs w:val="14"/>
                <w:b w:val="1"/>
                <w:bCs w:val="1"/>
                <w:color w:val="auto"/>
                <w:w w:val="78"/>
              </w:rPr>
              <w:t>loss</w:t>
            </w:r>
          </w:p>
        </w:tc>
        <w:tc>
          <w:tcPr>
            <w:tcW w:w="1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Loans and</w:t>
            </w:r>
          </w:p>
        </w:tc>
        <w:tc>
          <w:tcPr>
            <w:tcW w:w="2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Held for trading</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At inception</w:t>
            </w: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and hedging</w:t>
            </w: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receivables</w:t>
            </w:r>
          </w:p>
        </w:tc>
        <w:tc>
          <w:tcPr>
            <w:tcW w:w="20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US$(000)</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146,345</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23,139</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20,946,686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1,794,744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22,910,914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United States of America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44,413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75,492</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968,809</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991,313</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2,080,027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Bolivia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861,967</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188,274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1,050,504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Chile</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34,772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324,140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Colombia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6,664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120,944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127,608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United Kingdom</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8,178</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53,799</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53,825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115,802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France</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79,510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13,241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Switzerland</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44,946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5,816</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50,762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Netherlands</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27,585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Spain</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16,531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2,937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19,468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Luxembourg</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8,633</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Europe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23,486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2,988</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26,474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Brazil</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90,318</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Supranational</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63,152</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63,152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28,247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652</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273,561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52,091</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327,218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Borders>
              <w:top w:val="single" w:sz="8" w:color="CCFFCC"/>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200,513</w:t>
            </w:r>
          </w:p>
        </w:tc>
        <w:tc>
          <w:tcPr>
            <w:tcW w:w="2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179,055</w:t>
            </w:r>
          </w:p>
        </w:tc>
        <w:tc>
          <w:tcPr>
            <w:tcW w:w="200" w:type="dxa"/>
            <w:vAlign w:val="bottom"/>
            <w:tcBorders>
              <w:bottom w:val="single" w:sz="8" w:color="CCFFCC"/>
            </w:tcBorders>
            <w:shd w:val="clear" w:color="auto" w:fill="CCFFCC"/>
          </w:tcPr>
          <w:p>
            <w:pPr>
              <w:spacing w:after="0"/>
              <w:rPr>
                <w:sz w:val="16"/>
                <w:szCs w:val="16"/>
                <w:color w:val="auto"/>
              </w:rPr>
            </w:pPr>
          </w:p>
        </w:tc>
        <w:tc>
          <w:tcPr>
            <w:tcW w:w="12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23,251,465</w:t>
            </w:r>
          </w:p>
        </w:tc>
        <w:tc>
          <w:tcPr>
            <w:tcW w:w="20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3,768,248</w:t>
            </w:r>
          </w:p>
        </w:tc>
        <w:tc>
          <w:tcPr>
            <w:tcW w:w="18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27,399,281</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  Market risk -</w:t>
      </w:r>
    </w:p>
    <w:p>
      <w:pPr>
        <w:spacing w:after="0" w:line="229"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71"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The risks that trading portfolios face are managed through Value at Risk (VaR) historical simulation techniques; while non-trading portfolios are managed using Asset and Liability Management (ALM).</w:t>
      </w:r>
    </w:p>
    <w:p>
      <w:pPr>
        <w:spacing w:after="0" w:line="170" w:lineRule="exact"/>
        <w:rPr>
          <w:sz w:val="20"/>
          <w:szCs w:val="20"/>
          <w:color w:val="auto"/>
        </w:rPr>
      </w:pPr>
    </w:p>
    <w:p>
      <w:pPr>
        <w:ind w:left="1000" w:hanging="492"/>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25"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all derivatives both of them classified by Management as held for trading.</w:t>
      </w:r>
    </w:p>
    <w:p>
      <w:pPr>
        <w:spacing w:after="0" w:line="181" w:lineRule="exact"/>
        <w:rPr>
          <w:sz w:val="20"/>
          <w:szCs w:val="20"/>
          <w:color w:val="auto"/>
        </w:rPr>
      </w:pPr>
    </w:p>
    <w:p>
      <w:pPr>
        <w:ind w:left="1520" w:hanging="499"/>
        <w:spacing w:after="0"/>
        <w:tabs>
          <w:tab w:leader="none" w:pos="15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Value at Risk (VaR) -</w:t>
      </w:r>
    </w:p>
    <w:p>
      <w:pPr>
        <w:spacing w:after="0" w:line="225" w:lineRule="exact"/>
        <w:rPr>
          <w:rFonts w:ascii="Arial" w:cs="Arial" w:eastAsia="Arial" w:hAnsi="Arial"/>
          <w:sz w:val="18"/>
          <w:szCs w:val="18"/>
          <w:color w:val="auto"/>
        </w:rPr>
      </w:pPr>
    </w:p>
    <w:p>
      <w:pPr>
        <w:ind w:left="1540" w:right="200"/>
        <w:spacing w:after="0" w:line="277" w:lineRule="auto"/>
        <w:rPr>
          <w:rFonts w:ascii="Arial" w:cs="Arial" w:eastAsia="Arial" w:hAnsi="Arial"/>
          <w:sz w:val="18"/>
          <w:szCs w:val="18"/>
          <w:color w:val="auto"/>
        </w:rPr>
      </w:pPr>
      <w:r>
        <w:rPr>
          <w:rFonts w:ascii="Arial" w:cs="Arial" w:eastAsia="Arial" w:hAnsi="Arial"/>
          <w:sz w:val="18"/>
          <w:szCs w:val="18"/>
          <w:color w:val="auto"/>
        </w:rPr>
        <w:t>The Group applies the VaR approach to its trading portfolio to estimate the market risk of positions held and the maximum losses that are expected, based upon a number of assumptions for various changes in market conditions.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Daily calculation of VaR is a statistically-based estimate of the potential loss on the current portfolio from adverse market movements.</w:t>
      </w:r>
    </w:p>
    <w:p>
      <w:pPr>
        <w:spacing w:after="0" w:line="248"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81" w:lineRule="exact"/>
        <w:rPr>
          <w:rFonts w:ascii="Arial" w:cs="Arial" w:eastAsia="Arial" w:hAnsi="Arial"/>
          <w:sz w:val="18"/>
          <w:szCs w:val="18"/>
          <w:color w:val="auto"/>
        </w:rPr>
      </w:pPr>
    </w:p>
    <w:p>
      <w:pPr>
        <w:ind w:left="1540" w:right="500"/>
        <w:spacing w:after="0" w:line="312" w:lineRule="auto"/>
        <w:rPr>
          <w:rFonts w:ascii="Arial" w:cs="Arial" w:eastAsia="Arial" w:hAnsi="Arial"/>
          <w:sz w:val="18"/>
          <w:szCs w:val="18"/>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times the square root of 10. This adjustment will be exact only if the changes in the portfolio in the following days have a normal distribution identical and independent; otherwise, the VAR to 10 days will be an approximation.</w:t>
      </w:r>
    </w:p>
    <w:p>
      <w:pPr>
        <w:spacing w:after="0" w:line="146" w:lineRule="exact"/>
        <w:rPr>
          <w:rFonts w:ascii="Arial" w:cs="Arial" w:eastAsia="Arial" w:hAnsi="Arial"/>
          <w:sz w:val="18"/>
          <w:szCs w:val="18"/>
          <w:color w:val="auto"/>
        </w:rPr>
      </w:pPr>
    </w:p>
    <w:p>
      <w:pPr>
        <w:ind w:left="1540" w:right="420"/>
        <w:spacing w:after="0" w:line="342" w:lineRule="auto"/>
        <w:rPr>
          <w:rFonts w:ascii="Arial" w:cs="Arial" w:eastAsia="Arial" w:hAnsi="Arial"/>
          <w:sz w:val="18"/>
          <w:szCs w:val="18"/>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23" w:lineRule="exact"/>
        <w:rPr>
          <w:rFonts w:ascii="Arial" w:cs="Arial" w:eastAsia="Arial" w:hAnsi="Arial"/>
          <w:sz w:val="18"/>
          <w:szCs w:val="18"/>
          <w:color w:val="auto"/>
        </w:rPr>
      </w:pPr>
    </w:p>
    <w:p>
      <w:pPr>
        <w:ind w:left="1540" w:right="160"/>
        <w:spacing w:after="0" w:line="264" w:lineRule="auto"/>
        <w:rPr>
          <w:rFonts w:ascii="Arial" w:cs="Arial" w:eastAsia="Arial" w:hAnsi="Arial"/>
          <w:sz w:val="18"/>
          <w:szCs w:val="18"/>
          <w:color w:val="auto"/>
        </w:rPr>
      </w:pPr>
      <w:r>
        <w:rPr>
          <w:rFonts w:ascii="Arial" w:cs="Arial" w:eastAsia="Arial" w:hAnsi="Arial"/>
          <w:sz w:val="18"/>
          <w:szCs w:val="18"/>
          <w:color w:val="auto"/>
        </w:rPr>
        <w:t>VaR limits have been established to control and keep track of all the risks taken. These risks arise from the size of the positions and/or the volatility of the risk factors embedded in each financial instrument. Regular reports are prepared for the Risk Committee of the Treasury and ALM, the Risk Management Committees and Senior Management.</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In VaR calculation, the foreign exchange effect is not included because it is measured in the net monetary position, see note 29.2 (b)(ii).</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ind w:left="40"/>
              <w:spacing w:after="0"/>
              <w:rPr>
                <w:sz w:val="20"/>
                <w:szCs w:val="20"/>
                <w:color w:val="auto"/>
              </w:rPr>
            </w:pPr>
            <w:r>
              <w:rPr>
                <w:rFonts w:ascii="Arial" w:cs="Arial" w:eastAsia="Arial" w:hAnsi="Arial"/>
                <w:sz w:val="18"/>
                <w:szCs w:val="18"/>
                <w:color w:val="auto"/>
                <w:w w:val="95"/>
              </w:rPr>
              <w:t>As of December 31, 2011 and 2010, the Group’s VaR by type of asset is as follows:</w:t>
            </w: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0"/>
              </w:rPr>
              <w:t>US$(000)</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US$(000)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investments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234</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Debt Investments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4,763</w:t>
            </w: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Swaps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3,957</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Forwards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6,325</w:t>
            </w:r>
          </w:p>
        </w:tc>
        <w:tc>
          <w:tcPr>
            <w:tcW w:w="120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Options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Diversification effect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(7,707)</w:t>
            </w:r>
          </w:p>
        </w:tc>
        <w:tc>
          <w:tcPr>
            <w:tcW w:w="120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VaR by asset type</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7,581</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r>
      <w:tr>
        <w:trPr>
          <w:trHeight w:val="432"/>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ind w:left="40"/>
              <w:spacing w:after="0"/>
              <w:rPr>
                <w:sz w:val="20"/>
                <w:szCs w:val="20"/>
                <w:color w:val="auto"/>
              </w:rPr>
            </w:pPr>
            <w:r>
              <w:rPr>
                <w:rFonts w:ascii="Arial" w:cs="Arial" w:eastAsia="Arial" w:hAnsi="Arial"/>
                <w:sz w:val="18"/>
                <w:szCs w:val="18"/>
                <w:color w:val="auto"/>
              </w:rPr>
              <w:t>As of December 31, 2011 and 2010, the Group’s VaR by risk type is as follows:</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0"/>
              </w:rPr>
              <w:t>US$(000)</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US$(000)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rate risk</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7,596</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Price risk</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Volatility risk</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Diversification effect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VaR by risk type</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7,581</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ALM Book –</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2" w:lineRule="exact"/>
        <w:rPr>
          <w:sz w:val="20"/>
          <w:szCs w:val="20"/>
          <w:color w:val="auto"/>
        </w:rPr>
      </w:pPr>
    </w:p>
    <w:p>
      <w:pPr>
        <w:ind w:left="1020" w:right="120"/>
        <w:spacing w:after="0" w:line="277" w:lineRule="auto"/>
        <w:rPr>
          <w:sz w:val="20"/>
          <w:szCs w:val="20"/>
          <w:color w:val="auto"/>
        </w:rPr>
      </w:pPr>
      <w:r>
        <w:rPr>
          <w:rFonts w:ascii="Arial" w:cs="Arial" w:eastAsia="Arial" w:hAnsi="Arial"/>
          <w:sz w:val="18"/>
          <w:szCs w:val="18"/>
          <w:color w:val="auto"/>
        </w:rPr>
        <w:t>Non-trading portfolios which comprise the ALM Book are exposed to different sensitivities that can bring about a deterioration in the value of the assets compared to its liabilities and hence to a reduction of its net worth.</w:t>
      </w:r>
    </w:p>
    <w:p>
      <w:pPr>
        <w:spacing w:after="0" w:line="170" w:lineRule="exact"/>
        <w:rPr>
          <w:sz w:val="20"/>
          <w:szCs w:val="20"/>
          <w:color w:val="auto"/>
        </w:rPr>
      </w:pPr>
    </w:p>
    <w:p>
      <w:pPr>
        <w:ind w:left="1520" w:hanging="499"/>
        <w:spacing w:after="0"/>
        <w:tabs>
          <w:tab w:leader="none" w:pos="1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Interest rate risk -</w:t>
      </w:r>
    </w:p>
    <w:p>
      <w:pPr>
        <w:spacing w:after="0" w:line="225"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flows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flows risks.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18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Re-pricing gap -</w:t>
      </w:r>
    </w:p>
    <w:p>
      <w:pPr>
        <w:spacing w:after="0" w:line="225" w:lineRule="exact"/>
        <w:rPr>
          <w:rFonts w:ascii="Arial" w:cs="Arial" w:eastAsia="Arial" w:hAnsi="Arial"/>
          <w:sz w:val="18"/>
          <w:szCs w:val="18"/>
          <w:color w:val="auto"/>
        </w:rPr>
      </w:pPr>
    </w:p>
    <w:p>
      <w:pPr>
        <w:ind w:left="1540" w:right="300"/>
        <w:spacing w:after="0" w:line="342"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1"/>
                <w:szCs w:val="11"/>
                <w:b w:val="1"/>
                <w:bCs w:val="1"/>
                <w:color w:val="auto"/>
              </w:rPr>
              <w:t>As of December 31, 2011</w:t>
            </w: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9"/>
              </w:rPr>
              <w:t>Non-interest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auto"/>
              </w:rPr>
              <w:t>Up to 1 month</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1 to 3 months</w:t>
            </w:r>
          </w:p>
        </w:tc>
        <w:tc>
          <w:tcPr>
            <w:tcW w:w="10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3 to 12 months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1 to 5 years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6"/>
              </w:rPr>
              <w:t>More than 5 years</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bearing</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US$(000)</w:t>
            </w:r>
          </w:p>
        </w:tc>
        <w:tc>
          <w:tcPr>
            <w:tcW w:w="60" w:type="dxa"/>
            <w:vAlign w:val="bottom"/>
          </w:tcPr>
          <w:p>
            <w:pPr>
              <w:spacing w:after="0"/>
              <w:rPr>
                <w:sz w:val="11"/>
                <w:szCs w:val="1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4,246,213</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78,627</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54,071</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29,383</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1,094,568</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5,502,862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375,861</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923,166</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1,666,189</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836,462</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1,437,811</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751,723</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5,991,212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2,162,685</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4,925,920</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3,257,678</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4,363,071</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2,212,879</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16,922,233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239</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1,012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7,043</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4,937</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76,872</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90,103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174,367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174,367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151,080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151,080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6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1,900,936</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1,900,936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12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6,784,998</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5,927,713</w:t>
            </w:r>
          </w:p>
        </w:tc>
        <w:tc>
          <w:tcPr>
            <w:tcW w:w="8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4,978,950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5,235,959</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3,655,627</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4,149,546</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30,732,793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4,373,417</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873,441</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6,663,716</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1,314,787</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87,798</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5,390,688</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18,703,847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463,660</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170,703</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683,052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562,815</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121,513</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58,277</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2,060,020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75,366</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75,366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Technical, insurance claims reserves and reserves for unearned premiums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23,622</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19,418</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59,191</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303,226</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596,492</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376,349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1,378,298</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Bonds and notes issued</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711,515</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2,737</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33,934</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1,289,361</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1,856,528</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71,447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3,965,522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837,100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1,087,100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3,462,640</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3,462,640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12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5,572,214</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1,066,299</w:t>
            </w:r>
          </w:p>
        </w:tc>
        <w:tc>
          <w:tcPr>
            <w:tcW w:w="8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7,689,893</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3,470,189</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2,662,331</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10,271,867</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30,732,793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495,709</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255,321</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485,646</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202,705</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1,439,381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620" w:type="dxa"/>
            <w:vAlign w:val="bottom"/>
            <w:tcBorders>
              <w:bottom w:val="single" w:sz="8" w:color="CCFFCC"/>
            </w:tcBorders>
            <w:shd w:val="clear" w:color="auto" w:fill="CCFFCC"/>
          </w:tcPr>
          <w:p>
            <w:pPr>
              <w:spacing w:after="0"/>
              <w:rPr>
                <w:sz w:val="10"/>
                <w:szCs w:val="10"/>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14,595</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66,720</w:t>
            </w:r>
          </w:p>
        </w:tc>
        <w:tc>
          <w:tcPr>
            <w:tcW w:w="16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317,161</w:t>
            </w:r>
          </w:p>
        </w:tc>
        <w:tc>
          <w:tcPr>
            <w:tcW w:w="160" w:type="dxa"/>
            <w:vAlign w:val="bottom"/>
            <w:tcBorders>
              <w:bottom w:val="single" w:sz="8" w:color="CCFFCC"/>
            </w:tcBorders>
            <w:shd w:val="clear" w:color="auto" w:fill="CCFFCC"/>
          </w:tcPr>
          <w:p>
            <w:pPr>
              <w:spacing w:after="0"/>
              <w:rPr>
                <w:sz w:val="10"/>
                <w:szCs w:val="10"/>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972,288</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68,617</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1,439,381</w:t>
            </w: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481,114</w:t>
            </w:r>
          </w:p>
        </w:tc>
        <w:tc>
          <w:tcPr>
            <w:tcW w:w="16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188,601</w:t>
            </w:r>
          </w:p>
        </w:tc>
        <w:tc>
          <w:tcPr>
            <w:tcW w:w="16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168,485</w:t>
            </w:r>
          </w:p>
        </w:tc>
        <w:tc>
          <w:tcPr>
            <w:tcW w:w="160" w:type="dxa"/>
            <w:vAlign w:val="bottom"/>
          </w:tcPr>
          <w:p>
            <w:pPr>
              <w:spacing w:after="0"/>
              <w:rPr>
                <w:sz w:val="10"/>
                <w:szCs w:val="10"/>
                <w:color w:val="auto"/>
              </w:rPr>
            </w:pPr>
          </w:p>
        </w:tc>
        <w:tc>
          <w:tcPr>
            <w:tcW w:w="66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(769,583)</w:t>
            </w:r>
          </w:p>
        </w:tc>
        <w:tc>
          <w:tcPr>
            <w:tcW w:w="108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(68,617)</w:t>
            </w: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1,693,898</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5,050,015</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(2,542,458)</w:t>
            </w: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996,187</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924,679</w:t>
            </w:r>
          </w:p>
        </w:tc>
        <w:tc>
          <w:tcPr>
            <w:tcW w:w="16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(6,122,321)</w:t>
            </w: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gap</w:t>
            </w:r>
          </w:p>
        </w:tc>
        <w:tc>
          <w:tcPr>
            <w:tcW w:w="620" w:type="dxa"/>
            <w:vAlign w:val="bottom"/>
            <w:tcBorders>
              <w:bottom w:val="single" w:sz="8" w:color="CCFFCC"/>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1,693,898</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6,743,913</w:t>
            </w:r>
          </w:p>
        </w:tc>
        <w:tc>
          <w:tcPr>
            <w:tcW w:w="160" w:type="dxa"/>
            <w:vAlign w:val="bottom"/>
            <w:tcBorders>
              <w:bottom w:val="single" w:sz="8" w:color="CCFFCC"/>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4,201,455</w:t>
            </w:r>
          </w:p>
        </w:tc>
        <w:tc>
          <w:tcPr>
            <w:tcW w:w="160" w:type="dxa"/>
            <w:vAlign w:val="bottom"/>
            <w:tcBorders>
              <w:bottom w:val="single" w:sz="8" w:color="CCFFCC"/>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5,197,642</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6,122,321</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4" w:right="59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4"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1"/>
                <w:szCs w:val="11"/>
                <w:b w:val="1"/>
                <w:bCs w:val="1"/>
                <w:color w:val="auto"/>
              </w:rPr>
              <w:t>As of December 31, 2010</w:t>
            </w: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Non-interest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300" w:type="dxa"/>
            <w:vAlign w:val="bottom"/>
            <w:gridSpan w:val="2"/>
          </w:tcPr>
          <w:p>
            <w:pPr>
              <w:jc w:val="right"/>
              <w:spacing w:after="0"/>
              <w:rPr>
                <w:sz w:val="20"/>
                <w:szCs w:val="20"/>
                <w:color w:val="auto"/>
              </w:rPr>
            </w:pPr>
            <w:r>
              <w:rPr>
                <w:rFonts w:ascii="Arial" w:cs="Arial" w:eastAsia="Arial" w:hAnsi="Arial"/>
                <w:sz w:val="11"/>
                <w:szCs w:val="11"/>
                <w:b w:val="1"/>
                <w:bCs w:val="1"/>
                <w:color w:val="auto"/>
              </w:rPr>
              <w:t>Up to 1 month</w:t>
            </w:r>
          </w:p>
        </w:tc>
        <w:tc>
          <w:tcPr>
            <w:tcW w:w="8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1 to 3 months</w:t>
            </w:r>
          </w:p>
        </w:tc>
        <w:tc>
          <w:tcPr>
            <w:tcW w:w="9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3 to 12 months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1 to 5 years</w:t>
            </w:r>
          </w:p>
        </w:tc>
        <w:tc>
          <w:tcPr>
            <w:tcW w:w="10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More than 5 years</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bearing</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c>
          <w:tcPr>
            <w:tcW w:w="60" w:type="dxa"/>
            <w:vAlign w:val="bottom"/>
          </w:tcPr>
          <w:p>
            <w:pPr>
              <w:spacing w:after="0"/>
              <w:rPr>
                <w:sz w:val="11"/>
                <w:szCs w:val="11"/>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5,567,838</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1,325,201</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26,999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1,624,377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8,544,415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535,658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274,790</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256,872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860,605</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1,088,441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867,450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3,883,816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1,903,439</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3,931,178</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2,594,608</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3,753,193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1,777,237</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13,959,655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40</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1,443</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2,999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6,047</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168,526</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179,055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129,136</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129,136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160,249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160,249</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6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1,534,831</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1,534,831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13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8,006,935</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5,531,209</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2,879,922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4,616,797</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2,871,725</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4,484,569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28,391,157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6,366,203</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4,150,629</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2,379,260</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518,882</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42,574</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4,360,570</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17,818,118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511,317</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509,355</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958,955</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118,143</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110,017</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32,533</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2,240,320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60,775</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60,775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Technical, insurance claims reserves and reserves for unearned premiums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51,258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31,035</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139,700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188,801</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432,951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352,578</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1,196,323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Bonds and notes issued</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840,256</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38,807</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137,381</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419,553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1,518,419</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27,502</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2,981,918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913,452</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1,163,452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2,930,251</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2,930,251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13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7,769,034</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4,729,826</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3,865,296</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1,245,379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2,103,961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8,677,661</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28,391,157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507,560</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348,181</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245,977</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179,503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25,922</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1,307,143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640" w:type="dxa"/>
            <w:vAlign w:val="bottom"/>
            <w:tcBorders>
              <w:bottom w:val="single" w:sz="8" w:color="CCFFCC"/>
            </w:tcBorders>
            <w:shd w:val="clear" w:color="auto" w:fill="CCFFCC"/>
          </w:tcPr>
          <w:p>
            <w:pPr>
              <w:spacing w:after="0"/>
              <w:rPr>
                <w:sz w:val="10"/>
                <w:szCs w:val="10"/>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280,099</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351,836</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331,670</w:t>
            </w:r>
          </w:p>
        </w:tc>
        <w:tc>
          <w:tcPr>
            <w:tcW w:w="160" w:type="dxa"/>
            <w:vAlign w:val="bottom"/>
            <w:tcBorders>
              <w:bottom w:val="single" w:sz="8" w:color="CCFFCC"/>
            </w:tcBorders>
            <w:shd w:val="clear" w:color="auto" w:fill="CCFFCC"/>
          </w:tcPr>
          <w:p>
            <w:pPr>
              <w:spacing w:after="0"/>
              <w:rPr>
                <w:sz w:val="10"/>
                <w:szCs w:val="10"/>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291,862</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8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51,676</w:t>
            </w:r>
          </w:p>
        </w:tc>
        <w:tc>
          <w:tcPr>
            <w:tcW w:w="160" w:type="dxa"/>
            <w:vAlign w:val="bottom"/>
            <w:tcBorders>
              <w:bottom w:val="single" w:sz="8" w:color="CCFFCC"/>
            </w:tcBorders>
            <w:shd w:val="clear" w:color="auto" w:fill="CCFFCC"/>
          </w:tcPr>
          <w:p>
            <w:pPr>
              <w:spacing w:after="0"/>
              <w:rPr>
                <w:sz w:val="10"/>
                <w:szCs w:val="10"/>
                <w:color w:val="auto"/>
              </w:rPr>
            </w:pPr>
          </w:p>
        </w:tc>
        <w:tc>
          <w:tcPr>
            <w:tcW w:w="6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1,307,143</w:t>
            </w: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227,461</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(3,655)</w:t>
            </w:r>
          </w:p>
        </w:tc>
        <w:tc>
          <w:tcPr>
            <w:tcW w:w="90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(85,693)</w:t>
            </w:r>
          </w:p>
        </w:tc>
        <w:tc>
          <w:tcPr>
            <w:tcW w:w="66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(112,359)</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(25,754)</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465,362</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797,728</w:t>
            </w: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(1,071,067)</w:t>
            </w: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3,259,059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742,010</w:t>
            </w: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(4,193,092)</w:t>
            </w: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gap</w:t>
            </w:r>
          </w:p>
        </w:tc>
        <w:tc>
          <w:tcPr>
            <w:tcW w:w="640" w:type="dxa"/>
            <w:vAlign w:val="bottom"/>
            <w:tcBorders>
              <w:bottom w:val="single" w:sz="8" w:color="CCFFCC"/>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465,362</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1,263,090</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192,023</w:t>
            </w:r>
          </w:p>
        </w:tc>
        <w:tc>
          <w:tcPr>
            <w:tcW w:w="160" w:type="dxa"/>
            <w:vAlign w:val="bottom"/>
            <w:tcBorders>
              <w:bottom w:val="single" w:sz="8" w:color="CCFFCC"/>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3,451,082</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4,193,092</w:t>
            </w:r>
          </w:p>
        </w:tc>
        <w:tc>
          <w:tcPr>
            <w:tcW w:w="160" w:type="dxa"/>
            <w:vAlign w:val="bottom"/>
            <w:tcBorders>
              <w:bottom w:val="single" w:sz="8" w:color="CCFFCC"/>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4" w:right="59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Sensitivity to changes in interest rates –</w:t>
      </w:r>
    </w:p>
    <w:p>
      <w:pPr>
        <w:spacing w:after="0" w:line="225" w:lineRule="exact"/>
        <w:rPr>
          <w:sz w:val="20"/>
          <w:szCs w:val="20"/>
          <w:color w:val="auto"/>
        </w:rPr>
      </w:pPr>
    </w:p>
    <w:p>
      <w:pPr>
        <w:ind w:left="1540" w:right="20"/>
        <w:spacing w:after="0" w:line="264"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income statement and consolidated statements of comprehensive income; before income tax and non-controlling interest.</w:t>
      </w:r>
    </w:p>
    <w:p>
      <w:pPr>
        <w:spacing w:after="0" w:line="181" w:lineRule="exact"/>
        <w:rPr>
          <w:sz w:val="20"/>
          <w:szCs w:val="20"/>
          <w:color w:val="auto"/>
        </w:rPr>
      </w:pPr>
    </w:p>
    <w:p>
      <w:pPr>
        <w:ind w:left="1540" w:right="20"/>
        <w:spacing w:after="0" w:line="273"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and non-controlling interest, based on the floating rate of non-trading financial assets and financial liabilities held at December 31, 2011 and 2010, including the effect of derivatives instruments. The sensitivity of consolidated comprehensive income is calculated by revaluing fixed rate available-for-sale financial assets, before income tax and non-controlling interest, including the effect of any associated hedges, and derivatives instruments designated as cash flow hedges, as of December 31, 2011 and 2010 for the effects of the assumed changes in interest rates:</w:t>
      </w:r>
    </w:p>
    <w:p>
      <w:pPr>
        <w:spacing w:after="0" w:line="174"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 2011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40" w:type="dxa"/>
            <w:vAlign w:val="bottom"/>
          </w:tcPr>
          <w:p>
            <w:pPr>
              <w:spacing w:after="0"/>
              <w:rPr>
                <w:sz w:val="16"/>
                <w:szCs w:val="16"/>
                <w:color w:val="auto"/>
              </w:rPr>
            </w:pPr>
          </w:p>
        </w:tc>
        <w:tc>
          <w:tcPr>
            <w:tcW w:w="15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100" w:type="dxa"/>
            <w:vAlign w:val="bottom"/>
          </w:tcPr>
          <w:p>
            <w:pPr>
              <w:spacing w:after="0"/>
              <w:rPr>
                <w:sz w:val="16"/>
                <w:szCs w:val="16"/>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Changes in basis points</w:t>
            </w:r>
          </w:p>
        </w:tc>
        <w:tc>
          <w:tcPr>
            <w:tcW w:w="500" w:type="dxa"/>
            <w:vAlign w:val="bottom"/>
          </w:tcPr>
          <w:p>
            <w:pPr>
              <w:spacing w:after="0"/>
              <w:rPr>
                <w:sz w:val="19"/>
                <w:szCs w:val="19"/>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income</w:t>
            </w:r>
          </w:p>
        </w:tc>
        <w:tc>
          <w:tcPr>
            <w:tcW w:w="1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color w:val="auto"/>
                <w:w w:val="93"/>
              </w:rPr>
              <w:t>US$(000)</w:t>
            </w:r>
          </w:p>
        </w:tc>
        <w:tc>
          <w:tcPr>
            <w:tcW w:w="3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US$(000)</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15,400</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23,100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62,861</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30,800</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83,815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46,199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125,722</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41,839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62,759</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83,678</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2,377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125,518</w:t>
            </w:r>
          </w:p>
        </w:tc>
      </w:tr>
      <w:tr>
        <w:trPr>
          <w:trHeight w:val="418"/>
        </w:trPr>
        <w:tc>
          <w:tcPr>
            <w:tcW w:w="3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 2010</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40" w:type="dxa"/>
            <w:vAlign w:val="bottom"/>
          </w:tcPr>
          <w:p>
            <w:pPr>
              <w:spacing w:after="0"/>
              <w:rPr>
                <w:sz w:val="16"/>
                <w:szCs w:val="16"/>
                <w:color w:val="auto"/>
              </w:rPr>
            </w:pPr>
          </w:p>
        </w:tc>
        <w:tc>
          <w:tcPr>
            <w:tcW w:w="15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100" w:type="dxa"/>
            <w:vAlign w:val="bottom"/>
          </w:tcPr>
          <w:p>
            <w:pPr>
              <w:spacing w:after="0"/>
              <w:rPr>
                <w:sz w:val="16"/>
                <w:szCs w:val="16"/>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Changes in basis points</w:t>
            </w:r>
          </w:p>
        </w:tc>
        <w:tc>
          <w:tcPr>
            <w:tcW w:w="500" w:type="dxa"/>
            <w:vAlign w:val="bottom"/>
          </w:tcPr>
          <w:p>
            <w:pPr>
              <w:spacing w:after="0"/>
              <w:rPr>
                <w:sz w:val="19"/>
                <w:szCs w:val="19"/>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Income</w:t>
            </w:r>
          </w:p>
        </w:tc>
        <w:tc>
          <w:tcPr>
            <w:tcW w:w="1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color w:val="auto"/>
                <w:w w:val="93"/>
              </w:rPr>
              <w:t>US$(000)</w:t>
            </w:r>
          </w:p>
        </w:tc>
        <w:tc>
          <w:tcPr>
            <w:tcW w:w="3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US$(000)</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8,607</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57,293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12,911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85,940</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17,215</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114,587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25,822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171,880</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1,658</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32,541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2,487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48,812</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3,317</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65,083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4,917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97,624</w:t>
            </w:r>
          </w:p>
        </w:tc>
      </w:tr>
    </w:tbl>
    <w:p>
      <w:pPr>
        <w:spacing w:after="0" w:line="187" w:lineRule="exact"/>
        <w:rPr>
          <w:sz w:val="20"/>
          <w:szCs w:val="20"/>
          <w:color w:val="auto"/>
        </w:rPr>
      </w:pPr>
    </w:p>
    <w:p>
      <w:pPr>
        <w:ind w:left="154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380"/>
        <w:spacing w:after="0" w:line="286" w:lineRule="auto"/>
        <w:rPr>
          <w:sz w:val="20"/>
          <w:szCs w:val="20"/>
          <w:color w:val="auto"/>
        </w:rPr>
      </w:pPr>
      <w:r>
        <w:rPr>
          <w:rFonts w:ascii="Arial" w:cs="Arial" w:eastAsia="Arial" w:hAnsi="Arial"/>
          <w:sz w:val="17"/>
          <w:szCs w:val="17"/>
          <w:color w:val="auto"/>
        </w:rPr>
        <w:t>Securities, mutual funds and hedge funds are not considered as part of the investment securities for sensitivity calculation purposes; however, a 10, 25 and 30 percent of changes in market prices is conducted to these price-sensitivity securities and the expected unrealized gain or loss, before income tax, as of December 31, 2011 and 2010 is presented below:</w:t>
      </w:r>
    </w:p>
    <w:p>
      <w:pPr>
        <w:spacing w:after="0" w:line="162"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300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Changes in market</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3080" w:type="dxa"/>
            <w:vAlign w:val="bottom"/>
          </w:tcPr>
          <w:p>
            <w:pPr>
              <w:spacing w:after="0"/>
              <w:rPr>
                <w:sz w:val="20"/>
                <w:szCs w:val="20"/>
                <w:color w:val="auto"/>
              </w:rPr>
            </w:pPr>
            <w:r>
              <w:rPr>
                <w:rFonts w:ascii="Arial" w:cs="Arial" w:eastAsia="Arial" w:hAnsi="Arial"/>
                <w:sz w:val="18"/>
                <w:szCs w:val="18"/>
                <w:b w:val="1"/>
                <w:bCs w:val="1"/>
                <w:color w:val="auto"/>
              </w:rPr>
              <w:t>Market price sensitivity</w:t>
            </w:r>
          </w:p>
        </w:tc>
        <w:tc>
          <w:tcPr>
            <w:tcW w:w="3000" w:type="dxa"/>
            <w:vAlign w:val="bottom"/>
          </w:tcPr>
          <w:p>
            <w:pPr>
              <w:jc w:val="center"/>
              <w:ind w:left="850"/>
              <w:spacing w:after="0"/>
              <w:rPr>
                <w:sz w:val="20"/>
                <w:szCs w:val="20"/>
                <w:color w:val="auto"/>
              </w:rPr>
            </w:pPr>
            <w:r>
              <w:rPr>
                <w:rFonts w:ascii="Arial" w:cs="Arial" w:eastAsia="Arial" w:hAnsi="Arial"/>
                <w:sz w:val="18"/>
                <w:szCs w:val="18"/>
                <w:b w:val="1"/>
                <w:bCs w:val="1"/>
                <w:color w:val="auto"/>
                <w:w w:val="86"/>
              </w:rPr>
              <w:t>prices</w:t>
            </w:r>
          </w:p>
        </w:tc>
        <w:tc>
          <w:tcPr>
            <w:tcW w:w="16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30"/>
        </w:trPr>
        <w:tc>
          <w:tcPr>
            <w:tcW w:w="3080" w:type="dxa"/>
            <w:vAlign w:val="bottom"/>
          </w:tcPr>
          <w:p>
            <w:pPr>
              <w:spacing w:after="0"/>
              <w:rPr>
                <w:sz w:val="20"/>
                <w:szCs w:val="20"/>
                <w:color w:val="auto"/>
              </w:rPr>
            </w:pPr>
          </w:p>
        </w:tc>
        <w:tc>
          <w:tcPr>
            <w:tcW w:w="300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US$(000)</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US$(000)</w:t>
            </w:r>
          </w:p>
        </w:tc>
      </w:tr>
      <w:tr>
        <w:trPr>
          <w:trHeight w:val="216"/>
        </w:trPr>
        <w:tc>
          <w:tcPr>
            <w:tcW w:w="3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47,942</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54,052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Equity securities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119,854</w:t>
            </w:r>
          </w:p>
        </w:tc>
        <w:tc>
          <w:tcPr>
            <w:tcW w:w="1420" w:type="dxa"/>
            <w:vAlign w:val="bottom"/>
          </w:tcPr>
          <w:p>
            <w:pPr>
              <w:jc w:val="right"/>
              <w:spacing w:after="0"/>
              <w:rPr>
                <w:sz w:val="20"/>
                <w:szCs w:val="20"/>
                <w:color w:val="auto"/>
              </w:rPr>
            </w:pPr>
            <w:r>
              <w:rPr>
                <w:rFonts w:ascii="Arial" w:cs="Arial" w:eastAsia="Arial" w:hAnsi="Arial"/>
                <w:sz w:val="18"/>
                <w:szCs w:val="18"/>
                <w:color w:val="auto"/>
              </w:rPr>
              <w:t>135,129</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143,825</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162,155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Mutual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6,871</w:t>
            </w:r>
          </w:p>
        </w:tc>
        <w:tc>
          <w:tcPr>
            <w:tcW w:w="142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17,177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19,285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Mutual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20,612</w:t>
            </w:r>
          </w:p>
        </w:tc>
        <w:tc>
          <w:tcPr>
            <w:tcW w:w="1420" w:type="dxa"/>
            <w:vAlign w:val="bottom"/>
          </w:tcPr>
          <w:p>
            <w:pPr>
              <w:jc w:val="right"/>
              <w:spacing w:after="0"/>
              <w:rPr>
                <w:sz w:val="20"/>
                <w:szCs w:val="20"/>
                <w:color w:val="auto"/>
              </w:rPr>
            </w:pPr>
            <w:r>
              <w:rPr>
                <w:rFonts w:ascii="Arial" w:cs="Arial" w:eastAsia="Arial" w:hAnsi="Arial"/>
                <w:sz w:val="18"/>
                <w:szCs w:val="18"/>
                <w:color w:val="auto"/>
              </w:rPr>
              <w:t>23,142</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2,786</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Hedge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6,964</w:t>
            </w:r>
          </w:p>
        </w:tc>
        <w:tc>
          <w:tcPr>
            <w:tcW w:w="142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8,357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2,978</w:t>
            </w:r>
          </w:p>
        </w:tc>
      </w:tr>
    </w:tbl>
    <w:p>
      <w:pPr>
        <w:spacing w:after="0" w:line="202" w:lineRule="exact"/>
        <w:rPr>
          <w:sz w:val="20"/>
          <w:szCs w:val="20"/>
          <w:color w:val="auto"/>
        </w:rPr>
      </w:pPr>
    </w:p>
    <w:p>
      <w:pPr>
        <w:ind w:left="1520" w:hanging="499"/>
        <w:spacing w:after="0"/>
        <w:tabs>
          <w:tab w:leader="none" w:pos="1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December 31, 2011 and 2010, the Group’s assets and liabilities by currencies were as follows:</w:t>
      </w:r>
    </w:p>
    <w:p>
      <w:pPr>
        <w:spacing w:after="0" w:line="211"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3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2011</w:t>
            </w: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2010</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3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right"/>
              <w:ind w:right="220"/>
              <w:spacing w:after="0" w:line="102" w:lineRule="exact"/>
              <w:rPr>
                <w:sz w:val="20"/>
                <w:szCs w:val="20"/>
                <w:color w:val="auto"/>
              </w:rPr>
            </w:pPr>
            <w:r>
              <w:rPr>
                <w:rFonts w:ascii="Arial" w:cs="Arial" w:eastAsia="Arial" w:hAnsi="Arial"/>
                <w:sz w:val="11"/>
                <w:szCs w:val="11"/>
                <w:b w:val="1"/>
                <w:bCs w:val="1"/>
                <w:color w:val="auto"/>
              </w:rPr>
              <w:t>Peruvian</w:t>
            </w: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5"/>
              </w:rPr>
              <w:t>Other</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w w:val="98"/>
              </w:rPr>
              <w:t>Peruvian</w:t>
            </w:r>
          </w:p>
        </w:tc>
        <w:tc>
          <w:tcPr>
            <w:tcW w:w="64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5"/>
              </w:rPr>
              <w:t>Other</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6"/>
        </w:trPr>
        <w:tc>
          <w:tcPr>
            <w:tcW w:w="340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7"/>
              </w:rPr>
              <w:t>U.S. Dollars</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currencies</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7"/>
              </w:rPr>
              <w:t>U.S. Dollars</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currency</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currencies</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Total</w:t>
            </w:r>
          </w:p>
        </w:tc>
      </w:tr>
      <w:tr>
        <w:trPr>
          <w:trHeight w:val="136"/>
        </w:trPr>
        <w:tc>
          <w:tcPr>
            <w:tcW w:w="340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US$(000)</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r>
      <w:tr>
        <w:trPr>
          <w:trHeight w:val="117"/>
        </w:trPr>
        <w:tc>
          <w:tcPr>
            <w:tcW w:w="3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b w:val="1"/>
                <w:bCs w:val="1"/>
                <w:color w:val="auto"/>
              </w:rPr>
              <w:t>Monetary assets -</w:t>
            </w: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Cash and due from banks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3,848,401</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1,528,576</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125,885</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5,502,862</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3,555,965</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4,747,802</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240,648</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8,544,415</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Trading securities</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18,416</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57,195</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75,611</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59,020</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56,548</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115,568</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Available-for-sale investments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2,402,643</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3,156,017</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356,941</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5,915,601</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2,162,738</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1,223,339</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382,171</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3,768,248</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Loans, net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9,734,175</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6,773,628</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414,430</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16,922,233</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8,356,316</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5,260,816</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342,523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13,959,655</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90,103</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90,103</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179,055</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179,055</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Other assets</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684,549</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496,948</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122,773</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1,304,270</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435,766</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534,057</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14,382</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984,205</w:t>
            </w:r>
          </w:p>
        </w:tc>
      </w:tr>
      <w:tr>
        <w:trPr>
          <w:trHeight w:val="20"/>
        </w:trPr>
        <w:tc>
          <w:tcPr>
            <w:tcW w:w="34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15"/>
        </w:trPr>
        <w:tc>
          <w:tcPr>
            <w:tcW w:w="340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16,778,287</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12,012,364</w:t>
            </w:r>
          </w:p>
        </w:tc>
        <w:tc>
          <w:tcPr>
            <w:tcW w:w="70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1,020,029</w:t>
            </w:r>
          </w:p>
        </w:tc>
        <w:tc>
          <w:tcPr>
            <w:tcW w:w="72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29,810,680</w:t>
            </w:r>
          </w:p>
        </w:tc>
        <w:tc>
          <w:tcPr>
            <w:tcW w:w="80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14,748,860</w:t>
            </w:r>
          </w:p>
        </w:tc>
        <w:tc>
          <w:tcPr>
            <w:tcW w:w="6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w w:val="98"/>
              </w:rPr>
              <w:t>11,822,562</w:t>
            </w:r>
          </w:p>
        </w:tc>
        <w:tc>
          <w:tcPr>
            <w:tcW w:w="6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979,724</w:t>
            </w:r>
          </w:p>
        </w:tc>
        <w:tc>
          <w:tcPr>
            <w:tcW w:w="6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27,551,146</w:t>
            </w:r>
          </w:p>
        </w:tc>
      </w:tr>
      <w:tr>
        <w:trPr>
          <w:trHeight w:val="115"/>
        </w:trPr>
        <w:tc>
          <w:tcPr>
            <w:tcW w:w="34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Monetary liabilities -</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Deposits and obligations</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(9,282,891)</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(8,718,597)</w:t>
            </w:r>
          </w:p>
        </w:tc>
        <w:tc>
          <w:tcPr>
            <w:tcW w:w="7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(702,359)</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w w:val="96"/>
              </w:rPr>
              <w:t>(18,703,847)</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(9,135,298)</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(8,051,953)</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(630,867)</w:t>
            </w:r>
          </w:p>
        </w:tc>
        <w:tc>
          <w:tcPr>
            <w:tcW w:w="6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9"/>
              </w:rPr>
              <w:t>(17,818,118)</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Due to bank and correspondents</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(1,755,816)</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(304,204)</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(2,060,020)</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(1,966,845)</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(273,366)</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(109)</w:t>
            </w:r>
          </w:p>
        </w:tc>
        <w:tc>
          <w:tcPr>
            <w:tcW w:w="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(2,240,320)</w:t>
            </w:r>
          </w:p>
        </w:tc>
      </w:tr>
      <w:tr>
        <w:trPr>
          <w:trHeight w:val="112"/>
        </w:trPr>
        <w:tc>
          <w:tcPr>
            <w:tcW w:w="3400" w:type="dxa"/>
            <w:vAlign w:val="bottom"/>
            <w:shd w:val="clear" w:color="auto" w:fill="CCFFCC"/>
          </w:tcPr>
          <w:p>
            <w:pPr>
              <w:ind w:left="20"/>
              <w:spacing w:after="0" w:line="112" w:lineRule="exact"/>
              <w:rPr>
                <w:sz w:val="20"/>
                <w:szCs w:val="20"/>
                <w:color w:val="auto"/>
              </w:rPr>
            </w:pPr>
            <w:r>
              <w:rPr>
                <w:rFonts w:ascii="Arial" w:cs="Arial" w:eastAsia="Arial" w:hAnsi="Arial"/>
                <w:sz w:val="11"/>
                <w:szCs w:val="11"/>
                <w:color w:val="auto"/>
                <w:w w:val="93"/>
              </w:rPr>
              <w:t>Technical reserves, insurance claims reserves and reserves for unearned</w:t>
            </w: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r>
      <w:tr>
        <w:trPr>
          <w:trHeight w:val="131"/>
        </w:trPr>
        <w:tc>
          <w:tcPr>
            <w:tcW w:w="3400" w:type="dxa"/>
            <w:vAlign w:val="bottom"/>
            <w:shd w:val="clear" w:color="auto" w:fill="CCFFCC"/>
          </w:tcPr>
          <w:p>
            <w:pPr>
              <w:ind w:left="160"/>
              <w:spacing w:after="0"/>
              <w:rPr>
                <w:sz w:val="20"/>
                <w:szCs w:val="20"/>
                <w:color w:val="auto"/>
              </w:rPr>
            </w:pPr>
            <w:r>
              <w:rPr>
                <w:rFonts w:ascii="Arial" w:cs="Arial" w:eastAsia="Arial" w:hAnsi="Arial"/>
                <w:sz w:val="11"/>
                <w:szCs w:val="11"/>
                <w:color w:val="auto"/>
              </w:rPr>
              <w:t>premiums</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(994,522)</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(383,776)</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(1,378,298)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(892,998)</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(303,325)</w:t>
            </w: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(1,196,323)</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Bonds and notes issued</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(3,491,135)</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(474,387)</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(3,965,522)</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(2,307,392)</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(550,014)</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(124,512)</w:t>
            </w:r>
          </w:p>
        </w:tc>
        <w:tc>
          <w:tcPr>
            <w:tcW w:w="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(2,981,918)</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Other liabilities</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(728,792)</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(381,619)</w:t>
            </w:r>
          </w:p>
        </w:tc>
        <w:tc>
          <w:tcPr>
            <w:tcW w:w="7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(52,055)</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(1,162,466)</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(778,953)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(378,935)</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(66,339)</w:t>
            </w:r>
          </w:p>
        </w:tc>
        <w:tc>
          <w:tcPr>
            <w:tcW w:w="6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(1,224,227)</w:t>
            </w:r>
          </w:p>
        </w:tc>
      </w:tr>
      <w:tr>
        <w:trPr>
          <w:trHeight w:val="20"/>
        </w:trPr>
        <w:tc>
          <w:tcPr>
            <w:tcW w:w="34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15"/>
        </w:trPr>
        <w:tc>
          <w:tcPr>
            <w:tcW w:w="3400" w:type="dxa"/>
            <w:vAlign w:val="bottom"/>
          </w:tcPr>
          <w:p>
            <w:pPr>
              <w:spacing w:after="0"/>
              <w:rPr>
                <w:sz w:val="10"/>
                <w:szCs w:val="10"/>
                <w:color w:val="auto"/>
              </w:rPr>
            </w:pPr>
          </w:p>
        </w:tc>
        <w:tc>
          <w:tcPr>
            <w:tcW w:w="8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(16,253,156)</w:t>
            </w:r>
          </w:p>
        </w:tc>
        <w:tc>
          <w:tcPr>
            <w:tcW w:w="72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w w:val="96"/>
              </w:rPr>
              <w:t>(10,262,583)</w:t>
            </w:r>
          </w:p>
        </w:tc>
        <w:tc>
          <w:tcPr>
            <w:tcW w:w="7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(754,414)</w:t>
            </w:r>
          </w:p>
        </w:tc>
        <w:tc>
          <w:tcPr>
            <w:tcW w:w="72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w w:val="96"/>
              </w:rPr>
              <w:t>(27,270,153)</w:t>
            </w:r>
          </w:p>
        </w:tc>
        <w:tc>
          <w:tcPr>
            <w:tcW w:w="8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(15,081,486)</w:t>
            </w:r>
          </w:p>
        </w:tc>
        <w:tc>
          <w:tcPr>
            <w:tcW w:w="6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(9,557,593)</w:t>
            </w:r>
          </w:p>
        </w:tc>
        <w:tc>
          <w:tcPr>
            <w:tcW w:w="64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(821,827)</w:t>
            </w:r>
          </w:p>
        </w:tc>
        <w:tc>
          <w:tcPr>
            <w:tcW w:w="68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w w:val="99"/>
              </w:rPr>
              <w:t>(25,460,906)</w:t>
            </w:r>
          </w:p>
        </w:tc>
      </w:tr>
      <w:tr>
        <w:trPr>
          <w:trHeight w:val="20"/>
        </w:trPr>
        <w:tc>
          <w:tcPr>
            <w:tcW w:w="3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40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525,131</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1,749,781</w:t>
            </w:r>
          </w:p>
        </w:tc>
        <w:tc>
          <w:tcPr>
            <w:tcW w:w="7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color w:val="auto"/>
              </w:rPr>
              <w:t>265,615</w:t>
            </w:r>
          </w:p>
        </w:tc>
        <w:tc>
          <w:tcPr>
            <w:tcW w:w="72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2,540,527</w:t>
            </w:r>
          </w:p>
        </w:tc>
        <w:tc>
          <w:tcPr>
            <w:tcW w:w="80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color w:val="auto"/>
              </w:rPr>
              <w:t>(332,626)</w:t>
            </w:r>
          </w:p>
        </w:tc>
        <w:tc>
          <w:tcPr>
            <w:tcW w:w="68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2,264,969</w:t>
            </w:r>
          </w:p>
        </w:tc>
        <w:tc>
          <w:tcPr>
            <w:tcW w:w="6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157,897</w:t>
            </w:r>
          </w:p>
        </w:tc>
        <w:tc>
          <w:tcPr>
            <w:tcW w:w="68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2,090,240</w:t>
            </w:r>
          </w:p>
        </w:tc>
      </w:tr>
      <w:tr>
        <w:trPr>
          <w:trHeight w:val="115"/>
        </w:trPr>
        <w:tc>
          <w:tcPr>
            <w:tcW w:w="34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Forwards position, net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339,606</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(346,262)</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6,656</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956,279</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(951,426)</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(4,853)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Currency swaps position, net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(167,263)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167,263</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(222,854)</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222,854</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Cross currency swaps position, net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(197,659)</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82,226</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115,433</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(252,912)</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129,050</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123,862</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Options, net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3,269</w:t>
            </w: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(3,269)</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25,561</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(25,561)</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15"/>
        </w:trPr>
        <w:tc>
          <w:tcPr>
            <w:tcW w:w="34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Net monetary position</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503,084</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1,649,739</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387,704</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2,540,527</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173,448</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1,639,886</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276,906</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2,090,240</w:t>
            </w:r>
          </w:p>
        </w:tc>
      </w:tr>
      <w:tr>
        <w:trPr>
          <w:trHeight w:val="20"/>
        </w:trPr>
        <w:tc>
          <w:tcPr>
            <w:tcW w:w="3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89"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Dollars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ind w:left="1540" w:right="6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2011 and 2010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Change in</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Sensitivity Analysis</w:t>
            </w:r>
          </w:p>
        </w:tc>
        <w:tc>
          <w:tcPr>
            <w:tcW w:w="260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currency rates</w:t>
            </w:r>
          </w:p>
        </w:tc>
        <w:tc>
          <w:tcPr>
            <w:tcW w:w="460" w:type="dxa"/>
            <w:vAlign w:val="bottom"/>
          </w:tcPr>
          <w:p>
            <w:pPr>
              <w:spacing w:after="0"/>
              <w:rPr>
                <w:sz w:val="19"/>
                <w:szCs w:val="19"/>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2011</w:t>
            </w: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30"/>
        </w:trPr>
        <w:tc>
          <w:tcPr>
            <w:tcW w:w="3000" w:type="dxa"/>
            <w:vAlign w:val="bottom"/>
          </w:tcPr>
          <w:p>
            <w:pPr>
              <w:spacing w:after="0"/>
              <w:rPr>
                <w:sz w:val="20"/>
                <w:szCs w:val="20"/>
                <w:color w:val="auto"/>
              </w:rPr>
            </w:pPr>
          </w:p>
        </w:tc>
        <w:tc>
          <w:tcPr>
            <w:tcW w:w="2600" w:type="dxa"/>
            <w:vAlign w:val="bottom"/>
          </w:tcPr>
          <w:p>
            <w:pPr>
              <w:jc w:val="center"/>
              <w:ind w:left="139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US$(000)</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US$(000)</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Devaluation -</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(86,828)</w:t>
            </w:r>
          </w:p>
        </w:tc>
        <w:tc>
          <w:tcPr>
            <w:tcW w:w="1400" w:type="dxa"/>
            <w:vAlign w:val="bottom"/>
          </w:tcPr>
          <w:p>
            <w:pPr>
              <w:jc w:val="right"/>
              <w:spacing w:after="0"/>
              <w:rPr>
                <w:sz w:val="20"/>
                <w:szCs w:val="20"/>
                <w:color w:val="auto"/>
              </w:rPr>
            </w:pPr>
            <w:r>
              <w:rPr>
                <w:rFonts w:ascii="Arial" w:cs="Arial" w:eastAsia="Arial" w:hAnsi="Arial"/>
                <w:sz w:val="18"/>
                <w:szCs w:val="18"/>
                <w:color w:val="auto"/>
              </w:rPr>
              <w:t>(86,310)</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10</w:t>
            </w:r>
          </w:p>
        </w:tc>
        <w:tc>
          <w:tcPr>
            <w:tcW w:w="16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(183,304)</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(182,210)</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Revaluation -</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78,559</w:t>
            </w:r>
          </w:p>
        </w:tc>
        <w:tc>
          <w:tcPr>
            <w:tcW w:w="1400" w:type="dxa"/>
            <w:vAlign w:val="bottom"/>
          </w:tcPr>
          <w:p>
            <w:pPr>
              <w:jc w:val="right"/>
              <w:spacing w:after="0"/>
              <w:rPr>
                <w:sz w:val="20"/>
                <w:szCs w:val="20"/>
                <w:color w:val="auto"/>
              </w:rPr>
            </w:pPr>
            <w:r>
              <w:rPr>
                <w:rFonts w:ascii="Arial" w:cs="Arial" w:eastAsia="Arial" w:hAnsi="Arial"/>
                <w:sz w:val="18"/>
                <w:szCs w:val="18"/>
                <w:color w:val="auto"/>
              </w:rPr>
              <w:t>78,090</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10</w:t>
            </w:r>
          </w:p>
        </w:tc>
        <w:tc>
          <w:tcPr>
            <w:tcW w:w="16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149,976</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149,081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29.3.  Liquidity risk -</w:t>
      </w:r>
    </w:p>
    <w:p>
      <w:pPr>
        <w:spacing w:after="0" w:line="229"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178"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81"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70"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(indirect loans)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7" w:lineRule="exact"/>
        <w:rPr>
          <w:sz w:val="20"/>
          <w:szCs w:val="20"/>
          <w:color w:val="auto"/>
        </w:rPr>
      </w:pPr>
    </w:p>
    <w:p>
      <w:pPr>
        <w:ind w:left="500" w:right="22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the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right="14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As of December 31, 2011</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w w:val="98"/>
              </w:rPr>
              <w:t>As of December 31, 2010</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1"/>
        </w:trPr>
        <w:tc>
          <w:tcPr>
            <w:tcW w:w="1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6"/>
        </w:trPr>
        <w:tc>
          <w:tcPr>
            <w:tcW w:w="166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From 1 to 5 years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Over 5 years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9"/>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months</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From 1 to 5 years</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Over 5 years</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w:t>
            </w:r>
          </w:p>
        </w:tc>
      </w:tr>
      <w:tr>
        <w:trPr>
          <w:trHeight w:val="136"/>
        </w:trPr>
        <w:tc>
          <w:tcPr>
            <w:tcW w:w="166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w w:val="97"/>
              </w:rPr>
              <w:t>US$(000)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US$(000)</w:t>
            </w:r>
          </w:p>
        </w:tc>
      </w:tr>
      <w:tr>
        <w:trPr>
          <w:trHeight w:val="117"/>
        </w:trPr>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5,411,905</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1,052,528</w:t>
            </w:r>
          </w:p>
        </w:tc>
        <w:tc>
          <w:tcPr>
            <w:tcW w:w="7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10,728,911</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1,533,582</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133,685</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18,860,611</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6,621,322</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1,632,975</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7,261,138</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2,216,721</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101,295</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8"/>
              </w:rPr>
              <w:t>17,833,451</w:t>
            </w: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w w:val="99"/>
              </w:rPr>
              <w:t>Due to banks and correspondents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470,666</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96,349</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571,842</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997,278</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197,562</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2,333,697</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461,395</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435,312</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448,035</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1,021,677</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125,798</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2,492,217</w:t>
            </w:r>
          </w:p>
        </w:tc>
      </w:tr>
      <w:tr>
        <w:trPr>
          <w:trHeight w:val="112"/>
        </w:trPr>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Accounts payable to reinsurer and</w:t>
            </w: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r>
      <w:tr>
        <w:trPr>
          <w:trHeight w:val="131"/>
        </w:trPr>
        <w:tc>
          <w:tcPr>
            <w:tcW w:w="1660" w:type="dxa"/>
            <w:vAlign w:val="bottom"/>
            <w:shd w:val="clear" w:color="auto" w:fill="CCFFCC"/>
          </w:tcPr>
          <w:p>
            <w:pPr>
              <w:spacing w:after="0"/>
              <w:rPr>
                <w:sz w:val="20"/>
                <w:szCs w:val="20"/>
                <w:color w:val="auto"/>
              </w:rPr>
            </w:pPr>
            <w:r>
              <w:rPr>
                <w:rFonts w:ascii="Arial" w:cs="Arial" w:eastAsia="Arial" w:hAnsi="Arial"/>
                <w:sz w:val="11"/>
                <w:szCs w:val="11"/>
                <w:color w:val="auto"/>
              </w:rPr>
              <w:t>coinsurers</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18,899</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33,650</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22,817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75,366</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13,164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22,616</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17,858</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7,137</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60,775</w:t>
            </w: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Technical, insurance claims reserves</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660" w:type="dxa"/>
            <w:vAlign w:val="bottom"/>
          </w:tcPr>
          <w:p>
            <w:pPr>
              <w:ind w:left="160"/>
              <w:spacing w:after="0" w:line="122" w:lineRule="exact"/>
              <w:rPr>
                <w:sz w:val="20"/>
                <w:szCs w:val="20"/>
                <w:color w:val="auto"/>
              </w:rPr>
            </w:pPr>
            <w:r>
              <w:rPr>
                <w:rFonts w:ascii="Arial" w:cs="Arial" w:eastAsia="Arial" w:hAnsi="Arial"/>
                <w:sz w:val="11"/>
                <w:szCs w:val="11"/>
                <w:color w:val="auto"/>
              </w:rPr>
              <w:t>and reserves for unearned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660" w:type="dxa"/>
            <w:vAlign w:val="bottom"/>
          </w:tcPr>
          <w:p>
            <w:pPr>
              <w:ind w:left="160"/>
              <w:spacing w:after="0"/>
              <w:rPr>
                <w:sz w:val="20"/>
                <w:szCs w:val="20"/>
                <w:color w:val="auto"/>
              </w:rPr>
            </w:pPr>
            <w:r>
              <w:rPr>
                <w:rFonts w:ascii="Arial" w:cs="Arial" w:eastAsia="Arial" w:hAnsi="Arial"/>
                <w:sz w:val="11"/>
                <w:szCs w:val="11"/>
                <w:color w:val="auto"/>
              </w:rPr>
              <w:t>premiums</w:t>
            </w:r>
          </w:p>
        </w:tc>
        <w:tc>
          <w:tcPr>
            <w:tcW w:w="680" w:type="dxa"/>
            <w:vAlign w:val="bottom"/>
          </w:tcPr>
          <w:p>
            <w:pPr>
              <w:jc w:val="right"/>
              <w:spacing w:after="0"/>
              <w:rPr>
                <w:sz w:val="20"/>
                <w:szCs w:val="20"/>
                <w:color w:val="auto"/>
              </w:rPr>
            </w:pPr>
            <w:r>
              <w:rPr>
                <w:rFonts w:ascii="Arial" w:cs="Arial" w:eastAsia="Arial" w:hAnsi="Arial"/>
                <w:sz w:val="11"/>
                <w:szCs w:val="11"/>
                <w:color w:val="auto"/>
              </w:rPr>
              <w:t>36,818</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83,432</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139,250</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342,179</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1,076,579</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1,678,258</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95,367</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99,823</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328,704</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249,394</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780,915</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1,554,203</w:t>
            </w:r>
          </w:p>
        </w:tc>
      </w:tr>
      <w:tr>
        <w:trPr>
          <w:trHeight w:val="122"/>
        </w:trPr>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242,985</w:t>
            </w:r>
          </w:p>
        </w:tc>
        <w:tc>
          <w:tcPr>
            <w:tcW w:w="7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690,932</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2,191,469</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2,437,042</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5,588,782</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185,574</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108,294</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408,510</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1,371,600</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2,222,598</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4,296,576</w:t>
            </w: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626,736</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32,322</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268,452</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471</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9,713</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937,694</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466,002</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120,533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41,496</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332,394</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1,665</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962,090</w:t>
            </w:r>
          </w:p>
        </w:tc>
      </w:tr>
      <w:tr>
        <w:trPr>
          <w:trHeight w:val="115"/>
        </w:trPr>
        <w:tc>
          <w:tcPr>
            <w:tcW w:w="16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6,591,378</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1,541,266</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12,422,204</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5,064,979</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3,854,581</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8"/>
              </w:rPr>
              <w:t>29,474,408</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7,842,824</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2,419,553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8,505,741</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5,198,923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3,232,271</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27,199,312</w:t>
            </w:r>
          </w:p>
        </w:tc>
      </w:tr>
      <w:tr>
        <w:trPr>
          <w:trHeight w:val="20"/>
        </w:trPr>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table below shows the contractual maturity of the Group’s contingent credits at the date of the consolidated statements of financial position:</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1"/>
                <w:szCs w:val="11"/>
                <w:b w:val="1"/>
                <w:bCs w:val="1"/>
                <w:color w:val="auto"/>
                <w:w w:val="95"/>
              </w:rPr>
              <w:t>As of December 31, 2011</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w w:val="95"/>
              </w:rPr>
              <w:t>As of December 31, 2010</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r>
        <w:trPr>
          <w:trHeight w:val="101"/>
        </w:trPr>
        <w:tc>
          <w:tcPr>
            <w:tcW w:w="1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1 to 12</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6"/>
        </w:trPr>
        <w:tc>
          <w:tcPr>
            <w:tcW w:w="174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1"/>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months</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From 1 to 5 years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4"/>
              </w:rPr>
              <w:t>Over 5 years</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1"/>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From 1 to 5 years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Over 5 years</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174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96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US$(000)</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r>
      <w:tr>
        <w:trPr>
          <w:trHeight w:val="117"/>
        </w:trPr>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2"/>
        </w:trPr>
        <w:tc>
          <w:tcPr>
            <w:tcW w:w="17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Contingent credits</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375,937</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1,332,821</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1,490,899</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451,492</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76,851</w:t>
            </w:r>
          </w:p>
        </w:tc>
        <w:tc>
          <w:tcPr>
            <w:tcW w:w="6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w w:val="97"/>
              </w:rPr>
              <w:t>3,728,000</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247,146</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1,069,485</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1,328,131</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370,721</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119,728</w:t>
            </w:r>
          </w:p>
        </w:tc>
        <w:tc>
          <w:tcPr>
            <w:tcW w:w="5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7"/>
              </w:rPr>
              <w:t>3,135,211</w:t>
            </w: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29.4.  Operational risk -</w:t>
      </w:r>
    </w:p>
    <w:p>
      <w:pPr>
        <w:spacing w:after="0" w:line="229" w:lineRule="exact"/>
        <w:rPr>
          <w:sz w:val="20"/>
          <w:szCs w:val="20"/>
          <w:color w:val="auto"/>
        </w:rPr>
      </w:pPr>
    </w:p>
    <w:p>
      <w:pPr>
        <w:ind w:left="520" w:right="120"/>
        <w:spacing w:after="0" w:line="257"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29" w:lineRule="exact"/>
        <w:rPr>
          <w:sz w:val="20"/>
          <w:szCs w:val="20"/>
          <w:color w:val="auto"/>
        </w:rPr>
      </w:pPr>
    </w:p>
    <w:p>
      <w:pPr>
        <w:ind w:left="500" w:right="180"/>
        <w:spacing w:after="0" w:line="264"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81"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Life insurance contracts</w:t>
      </w:r>
    </w:p>
    <w:p>
      <w:pPr>
        <w:spacing w:after="0" w:line="229"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81" w:lineRule="exact"/>
        <w:rPr>
          <w:sz w:val="20"/>
          <w:szCs w:val="20"/>
          <w:color w:val="auto"/>
        </w:rPr>
      </w:pPr>
    </w:p>
    <w:p>
      <w:pPr>
        <w:ind w:left="500" w:right="100"/>
        <w:spacing w:after="0" w:line="27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73"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For retirement, survival and disability pension contracts, the most significant factor is continuing improvement in medical science and social conditions that would increase longevity.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29" w:lineRule="exact"/>
        <w:rPr>
          <w:sz w:val="20"/>
          <w:szCs w:val="20"/>
          <w:color w:val="auto"/>
        </w:rPr>
      </w:pPr>
    </w:p>
    <w:p>
      <w:pPr>
        <w:ind w:left="500" w:right="240"/>
        <w:spacing w:after="0" w:line="308" w:lineRule="auto"/>
        <w:rPr>
          <w:sz w:val="20"/>
          <w:szCs w:val="20"/>
          <w:color w:val="auto"/>
        </w:rPr>
      </w:pPr>
      <w:r>
        <w:rPr>
          <w:rFonts w:ascii="Arial" w:cs="Arial" w:eastAsia="Arial" w:hAnsi="Arial"/>
          <w:sz w:val="17"/>
          <w:szCs w:val="17"/>
          <w:color w:val="auto"/>
        </w:rPr>
        <w:t>The Group principally issues the following types of general insurance contracts: motor, household and commercial and health. Healthcare contracts provide medical expense cover to policyholders. Risks under non-life insurance policies usually cover 12 months.</w:t>
      </w:r>
    </w:p>
    <w:p>
      <w:pPr>
        <w:spacing w:after="0" w:line="147"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25"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78"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170" w:lineRule="exact"/>
        <w:rPr>
          <w:sz w:val="20"/>
          <w:szCs w:val="20"/>
          <w:color w:val="auto"/>
        </w:rPr>
      </w:pPr>
    </w:p>
    <w:p>
      <w:pPr>
        <w:ind w:left="500" w:right="120" w:firstLine="24"/>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25" w:lineRule="exact"/>
        <w:rPr>
          <w:sz w:val="20"/>
          <w:szCs w:val="20"/>
          <w:color w:val="auto"/>
        </w:rPr>
      </w:pPr>
    </w:p>
    <w:p>
      <w:pPr>
        <w:ind w:left="1020" w:right="300"/>
        <w:spacing w:after="0" w:line="342" w:lineRule="auto"/>
        <w:rPr>
          <w:sz w:val="20"/>
          <w:szCs w:val="20"/>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income statement and consolidated statements of comprehensive income of the insurance activity, before income tax:</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 2011</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20" w:type="dxa"/>
            <w:vAlign w:val="bottom"/>
          </w:tcPr>
          <w:p>
            <w:pPr>
              <w:spacing w:after="0"/>
              <w:rPr>
                <w:sz w:val="16"/>
                <w:szCs w:val="16"/>
                <w:color w:val="auto"/>
              </w:rPr>
            </w:pPr>
          </w:p>
        </w:tc>
        <w:tc>
          <w:tcPr>
            <w:tcW w:w="1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100" w:type="dxa"/>
            <w:vAlign w:val="bottom"/>
          </w:tcPr>
          <w:p>
            <w:pPr>
              <w:spacing w:after="0"/>
              <w:rPr>
                <w:sz w:val="16"/>
                <w:szCs w:val="16"/>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820" w:type="dxa"/>
            <w:vAlign w:val="bottom"/>
          </w:tcPr>
          <w:p>
            <w:pPr>
              <w:spacing w:after="0"/>
              <w:rPr>
                <w:sz w:val="19"/>
                <w:szCs w:val="19"/>
                <w:color w:val="auto"/>
              </w:rPr>
            </w:pPr>
          </w:p>
        </w:tc>
        <w:tc>
          <w:tcPr>
            <w:tcW w:w="23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5"/>
              </w:rPr>
              <w:t>Changes in basis points</w:t>
            </w:r>
          </w:p>
        </w:tc>
        <w:tc>
          <w:tcPr>
            <w:tcW w:w="420" w:type="dxa"/>
            <w:vAlign w:val="bottom"/>
          </w:tcPr>
          <w:p>
            <w:pPr>
              <w:spacing w:after="0"/>
              <w:rPr>
                <w:sz w:val="19"/>
                <w:szCs w:val="19"/>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income</w:t>
            </w:r>
          </w:p>
        </w:tc>
        <w:tc>
          <w:tcPr>
            <w:tcW w:w="32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0"/>
              </w:rPr>
              <w:t>US$(000)</w:t>
            </w:r>
          </w:p>
        </w:tc>
        <w:tc>
          <w:tcPr>
            <w:tcW w:w="3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US$(000)</w:t>
            </w: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25,343</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FFCC"/>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2010</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20" w:type="dxa"/>
            <w:vAlign w:val="bottom"/>
          </w:tcPr>
          <w:p>
            <w:pPr>
              <w:spacing w:after="0"/>
              <w:rPr>
                <w:sz w:val="16"/>
                <w:szCs w:val="16"/>
                <w:color w:val="auto"/>
              </w:rPr>
            </w:pPr>
          </w:p>
        </w:tc>
        <w:tc>
          <w:tcPr>
            <w:tcW w:w="1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820" w:type="dxa"/>
            <w:vAlign w:val="bottom"/>
          </w:tcPr>
          <w:p>
            <w:pPr>
              <w:spacing w:after="0"/>
              <w:rPr>
                <w:sz w:val="19"/>
                <w:szCs w:val="19"/>
                <w:color w:val="auto"/>
              </w:rPr>
            </w:pPr>
          </w:p>
        </w:tc>
        <w:tc>
          <w:tcPr>
            <w:tcW w:w="23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5"/>
              </w:rPr>
              <w:t>Changes in basis points</w:t>
            </w:r>
          </w:p>
        </w:tc>
        <w:tc>
          <w:tcPr>
            <w:tcW w:w="420" w:type="dxa"/>
            <w:vAlign w:val="bottom"/>
          </w:tcPr>
          <w:p>
            <w:pPr>
              <w:spacing w:after="0"/>
              <w:rPr>
                <w:sz w:val="19"/>
                <w:szCs w:val="19"/>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income</w:t>
            </w:r>
          </w:p>
        </w:tc>
        <w:tc>
          <w:tcPr>
            <w:tcW w:w="32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comprehensive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0"/>
              </w:rPr>
              <w:t>US$(000)</w:t>
            </w:r>
          </w:p>
        </w:tc>
        <w:tc>
          <w:tcPr>
            <w:tcW w:w="3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46,525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69,788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66" w:lineRule="exact"/>
        <w:rPr>
          <w:sz w:val="20"/>
          <w:szCs w:val="20"/>
          <w:color w:val="auto"/>
        </w:rPr>
      </w:pPr>
    </w:p>
    <w:p>
      <w:pPr>
        <w:ind w:left="1000" w:hanging="492"/>
        <w:spacing w:after="0"/>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25" w:lineRule="exact"/>
        <w:rPr>
          <w:sz w:val="20"/>
          <w:szCs w:val="20"/>
          <w:color w:val="auto"/>
        </w:rPr>
      </w:pPr>
    </w:p>
    <w:p>
      <w:pPr>
        <w:ind w:left="1020" w:right="100"/>
        <w:spacing w:after="0" w:line="308" w:lineRule="auto"/>
        <w:rPr>
          <w:sz w:val="20"/>
          <w:szCs w:val="20"/>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74" w:right="41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181"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The undiscounted cash flows payable by the Group for technical reserves, insurance claims reserves and reserves for unearned premiums by their remaining contractual maturities, including future interest payments, is presented in Note 29.3.</w:t>
      </w:r>
    </w:p>
    <w:p>
      <w:pPr>
        <w:spacing w:after="0" w:line="170" w:lineRule="exact"/>
        <w:rPr>
          <w:sz w:val="20"/>
          <w:szCs w:val="20"/>
          <w:color w:val="auto"/>
        </w:rPr>
      </w:pPr>
    </w:p>
    <w:p>
      <w:pPr>
        <w:ind w:left="1020" w:right="200"/>
        <w:spacing w:after="0" w:line="342" w:lineRule="auto"/>
        <w:rPr>
          <w:sz w:val="20"/>
          <w:szCs w:val="20"/>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29.3.</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liabilities are payable on demand and are included in the up to a year column.</w:t>
      </w:r>
    </w:p>
    <w:p>
      <w:pPr>
        <w:spacing w:after="0" w:line="225" w:lineRule="exact"/>
        <w:rPr>
          <w:sz w:val="20"/>
          <w:szCs w:val="20"/>
          <w:color w:val="auto"/>
        </w:rPr>
      </w:pPr>
    </w:p>
    <w:p>
      <w:pPr>
        <w:ind w:left="1000" w:hanging="492"/>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Credit risk is the risk that one party to a financial instrument will cause a financial loss to the other party by failing to discharge an obligation.</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policies and procedures are in place to mitigate the Group’s exposure to credit risk:</w:t>
      </w:r>
    </w:p>
    <w:p>
      <w:pPr>
        <w:spacing w:after="0" w:line="225" w:lineRule="exact"/>
        <w:rPr>
          <w:sz w:val="20"/>
          <w:szCs w:val="20"/>
          <w:color w:val="auto"/>
        </w:rPr>
      </w:pPr>
    </w:p>
    <w:p>
      <w:pPr>
        <w:ind w:left="1520" w:hanging="499"/>
        <w:spacing w:after="0" w:line="277"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70" w:lineRule="exact"/>
        <w:rPr>
          <w:rFonts w:ascii="Arial" w:cs="Arial" w:eastAsia="Arial" w:hAnsi="Arial"/>
          <w:sz w:val="18"/>
          <w:szCs w:val="18"/>
          <w:color w:val="auto"/>
        </w:rPr>
      </w:pPr>
    </w:p>
    <w:p>
      <w:pPr>
        <w:jc w:val="both"/>
        <w:ind w:left="1520" w:right="420" w:hanging="499"/>
        <w:spacing w:after="0" w:line="264"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81" w:lineRule="exact"/>
        <w:rPr>
          <w:rFonts w:ascii="Arial" w:cs="Arial" w:eastAsia="Arial" w:hAnsi="Arial"/>
          <w:sz w:val="18"/>
          <w:szCs w:val="18"/>
          <w:color w:val="auto"/>
        </w:rPr>
      </w:pPr>
    </w:p>
    <w:p>
      <w:pPr>
        <w:jc w:val="both"/>
        <w:ind w:left="1520" w:right="140" w:hanging="499"/>
        <w:spacing w:after="0" w:line="259"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186" w:lineRule="exact"/>
        <w:rPr>
          <w:rFonts w:ascii="Arial" w:cs="Arial" w:eastAsia="Arial" w:hAnsi="Arial"/>
          <w:sz w:val="18"/>
          <w:szCs w:val="18"/>
          <w:color w:val="auto"/>
        </w:rPr>
      </w:pPr>
    </w:p>
    <w:p>
      <w:pPr>
        <w:ind w:left="1520" w:right="80" w:hanging="499"/>
        <w:spacing w:after="0" w:line="264"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81" w:lineRule="exact"/>
        <w:rPr>
          <w:rFonts w:ascii="Arial" w:cs="Arial" w:eastAsia="Arial" w:hAnsi="Arial"/>
          <w:sz w:val="18"/>
          <w:szCs w:val="18"/>
          <w:color w:val="auto"/>
        </w:rPr>
      </w:pPr>
    </w:p>
    <w:p>
      <w:pPr>
        <w:ind w:left="1520" w:right="100" w:hanging="499"/>
        <w:spacing w:after="0" w:line="264" w:lineRule="auto"/>
        <w:tabs>
          <w:tab w:leader="none" w:pos="1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Group issues unit linked contracts whereby the policyholder bears the investment risk on the financial assets held in the Company’s investment portfolio as the policy benefits are directly linked to the value of the assets in the portfolio. Therefore, the Group has no material credit risk on unit linked financial assets.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80" w:hanging="499"/>
        <w:spacing w:after="0" w:line="264" w:lineRule="auto"/>
        <w:tabs>
          <w:tab w:leader="none" w:pos="15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 linked business. This is due to the fact that, in unit linked business, the liability to policyholders is linked to the performance and value of the assets that back those liabilities and the shareholders have no direct exposure to any credit risk in those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29.6.  Capital management -</w:t>
      </w:r>
    </w:p>
    <w:p>
      <w:pPr>
        <w:spacing w:after="0" w:line="229" w:lineRule="exact"/>
        <w:rPr>
          <w:sz w:val="20"/>
          <w:szCs w:val="20"/>
          <w:color w:val="auto"/>
        </w:rPr>
      </w:pPr>
    </w:p>
    <w:p>
      <w:pPr>
        <w:jc w:val="both"/>
        <w:ind w:left="520" w:right="100"/>
        <w:spacing w:after="0" w:line="342"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24" w:lineRule="exact"/>
        <w:rPr>
          <w:sz w:val="20"/>
          <w:szCs w:val="20"/>
          <w:color w:val="auto"/>
        </w:rPr>
      </w:pPr>
    </w:p>
    <w:p>
      <w:pPr>
        <w:ind w:left="520" w:right="24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71"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On June 2008, by means of Legislative Decree N° 1028, the Banking Law was amended. The amendments provided that the regulatory capital must be equal to or more than 10 percent of total risk weighted assets and contingent operations, represented by the sum of: the regulatory capital requirement for market risk multiplied by 10, the regulatory capital requirement for operational risk multiplied by 10 and the weighted assets and contingent credits by credit risk. This calculation must include all balance sheet exposures or assets in local or foreign currency. This ratio was gradually implemented until July 2011. As of December 31, 2011 and 2010, the minimum requirement is 10.0 and 9.8 percent, respectively.</w:t>
      </w:r>
    </w:p>
    <w:p>
      <w:pPr>
        <w:spacing w:after="0" w:line="158"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166"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are computable to determinate the Group’s regulatory capital, see Note 15(a)(iii).</w:t>
      </w:r>
    </w:p>
    <w:p>
      <w:pPr>
        <w:spacing w:after="0" w:line="170" w:lineRule="exact"/>
        <w:rPr>
          <w:sz w:val="20"/>
          <w:szCs w:val="20"/>
          <w:color w:val="auto"/>
        </w:rPr>
      </w:pPr>
    </w:p>
    <w:p>
      <w:pPr>
        <w:ind w:left="520" w:right="20"/>
        <w:spacing w:after="0" w:line="279" w:lineRule="auto"/>
        <w:rPr>
          <w:sz w:val="20"/>
          <w:szCs w:val="20"/>
          <w:color w:val="auto"/>
        </w:rPr>
      </w:pPr>
      <w:r>
        <w:rPr>
          <w:rFonts w:ascii="Arial" w:cs="Arial" w:eastAsia="Arial" w:hAnsi="Arial"/>
          <w:sz w:val="17"/>
          <w:szCs w:val="17"/>
          <w:color w:val="auto"/>
        </w:rPr>
        <w:t>As of December 31, 2011 and 2010, the regulatory capital for the subsidiaries engaged in financial and insurance activities amounted to approximately US$3,022.7 and US$2,391.3 million, respectively. This regulatory capital has been determined in accordance with SBS regulations in force as of such dates. According to the SBS regulations, the Group’s regulatory capital exceeds in approximately US$549.8 million the minimum regulatory capital required as of December 31, 2011 (approximately US$514.8 million as of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160"/>
        <w:spacing w:after="0" w:line="297" w:lineRule="auto"/>
        <w:rPr>
          <w:sz w:val="20"/>
          <w:szCs w:val="20"/>
          <w:color w:val="auto"/>
        </w:rPr>
      </w:pPr>
      <w:r>
        <w:rPr>
          <w:rFonts w:ascii="Arial" w:cs="Arial" w:eastAsia="Arial" w:hAnsi="Arial"/>
          <w:sz w:val="16"/>
          <w:szCs w:val="16"/>
          <w:color w:val="auto"/>
        </w:rPr>
        <w:t>On July 20, 2011, SBS issued Resolution N° 8425 - 2011which states that an entity must determine an additional regulatory capital. In this sense, Peruvian financial institutions must develop a process to assess the adequacy of its regulatory capital in relation with their risk profile, which must follow the methodology described in said resolution. The additional regulatory capital will be equal to the amount of regulatory capital requirements calculated for each of the following components: economic cycle, concentration risk, market concentration risk, interest rates risk, among others. Peruvian financial institutions have a term of five years from July 2012 to adequate their regulatory capital to the new requirements.</w:t>
      </w:r>
    </w:p>
    <w:p>
      <w:pPr>
        <w:spacing w:after="0" w:line="15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Considering the excess of regulatory capital held by the Group as of December 31. 2011 in the Management’s opinion, the Bank has complied with the requirements set forth in such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29.7.  Fair value -</w:t>
      </w:r>
    </w:p>
    <w:p>
      <w:pPr>
        <w:spacing w:after="0" w:line="229" w:lineRule="exact"/>
        <w:rPr>
          <w:sz w:val="20"/>
          <w:szCs w:val="20"/>
          <w:color w:val="auto"/>
        </w:rPr>
      </w:pPr>
    </w:p>
    <w:p>
      <w:pPr>
        <w:ind w:left="1000" w:right="240" w:hanging="492"/>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170"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93"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70" w:lineRule="exact"/>
        <w:rPr>
          <w:sz w:val="20"/>
          <w:szCs w:val="20"/>
          <w:color w:val="auto"/>
        </w:rPr>
      </w:pPr>
    </w:p>
    <w:p>
      <w:pPr>
        <w:jc w:val="both"/>
        <w:ind w:left="1520" w:right="240" w:hanging="499"/>
        <w:spacing w:after="0" w:line="312" w:lineRule="auto"/>
        <w:tabs>
          <w:tab w:leader="none" w:pos="15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46" w:lineRule="exact"/>
        <w:rPr>
          <w:rFonts w:ascii="Arial" w:cs="Arial" w:eastAsia="Arial" w:hAnsi="Arial"/>
          <w:sz w:val="16"/>
          <w:szCs w:val="16"/>
          <w:color w:val="auto"/>
        </w:rPr>
      </w:pPr>
    </w:p>
    <w:p>
      <w:pPr>
        <w:ind w:left="1520" w:right="20" w:hanging="499"/>
        <w:spacing w:after="0" w:line="273" w:lineRule="auto"/>
        <w:tabs>
          <w:tab w:leader="none" w:pos="15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178" w:lineRule="exact"/>
        <w:rPr>
          <w:rFonts w:ascii="Arial" w:cs="Arial" w:eastAsia="Arial" w:hAnsi="Arial"/>
          <w:sz w:val="17"/>
          <w:szCs w:val="17"/>
          <w:color w:val="auto"/>
        </w:rPr>
      </w:pPr>
    </w:p>
    <w:p>
      <w:pPr>
        <w:ind w:left="1520" w:hanging="499"/>
        <w:spacing w:after="0" w:line="276" w:lineRule="auto"/>
        <w:tabs>
          <w:tab w:leader="none" w:pos="15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420"/>
        <w:spacing w:after="0" w:line="264" w:lineRule="auto"/>
        <w:rPr>
          <w:sz w:val="20"/>
          <w:szCs w:val="20"/>
          <w:color w:val="auto"/>
        </w:rPr>
      </w:pPr>
      <w:r>
        <w:rPr>
          <w:rFonts w:ascii="Arial" w:cs="Arial" w:eastAsia="Arial" w:hAnsi="Arial"/>
          <w:sz w:val="18"/>
          <w:szCs w:val="18"/>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60" w:type="dxa"/>
            <w:vAlign w:val="bottom"/>
          </w:tcPr>
          <w:p>
            <w:pPr>
              <w:spacing w:after="0"/>
              <w:rPr>
                <w:sz w:val="16"/>
                <w:szCs w:val="16"/>
                <w:color w:val="auto"/>
              </w:rPr>
            </w:pPr>
          </w:p>
        </w:tc>
        <w:tc>
          <w:tcPr>
            <w:tcW w:w="18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Book</w:t>
            </w:r>
          </w:p>
        </w:tc>
        <w:tc>
          <w:tcPr>
            <w:tcW w:w="12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6"/>
                <w:szCs w:val="16"/>
                <w:color w:val="auto"/>
              </w:rPr>
            </w:pPr>
          </w:p>
        </w:tc>
        <w:tc>
          <w:tcPr>
            <w:tcW w:w="18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Book</w:t>
            </w:r>
          </w:p>
        </w:tc>
        <w:tc>
          <w:tcPr>
            <w:tcW w:w="12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20"/>
        </w:trPr>
        <w:tc>
          <w:tcPr>
            <w:tcW w:w="4460" w:type="dxa"/>
            <w:vAlign w:val="bottom"/>
          </w:tcPr>
          <w:p>
            <w:pPr>
              <w:spacing w:after="0"/>
              <w:rPr>
                <w:sz w:val="19"/>
                <w:szCs w:val="19"/>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value</w:t>
            </w:r>
          </w:p>
        </w:tc>
      </w:tr>
      <w:tr>
        <w:trPr>
          <w:trHeight w:val="230"/>
        </w:trPr>
        <w:tc>
          <w:tcPr>
            <w:tcW w:w="4460" w:type="dxa"/>
            <w:vAlign w:val="bottom"/>
          </w:tcPr>
          <w:p>
            <w:pPr>
              <w:spacing w:after="0"/>
              <w:rPr>
                <w:sz w:val="20"/>
                <w:szCs w:val="20"/>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US$(000)</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0" w:type="dxa"/>
            <w:vAlign w:val="bottom"/>
          </w:tcPr>
          <w:p>
            <w:pPr>
              <w:jc w:val="right"/>
              <w:spacing w:after="0"/>
              <w:rPr>
                <w:sz w:val="20"/>
                <w:szCs w:val="20"/>
                <w:color w:val="auto"/>
              </w:rPr>
            </w:pPr>
            <w:r>
              <w:rPr>
                <w:rFonts w:ascii="Arial" w:cs="Arial" w:eastAsia="Arial" w:hAnsi="Arial"/>
                <w:sz w:val="18"/>
                <w:szCs w:val="18"/>
                <w:color w:val="auto"/>
              </w:rPr>
              <w:t>5,502,862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5,502,862</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8,544,415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8,544,415</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75,611</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115,568</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400" w:type="dxa"/>
            <w:vAlign w:val="bottom"/>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5,915,601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3,768,248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3,768,248</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16,922,233</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16,933,934</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13,959,655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13,969,223</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 profit or</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loss</w:t>
            </w:r>
          </w:p>
        </w:tc>
        <w:tc>
          <w:tcPr>
            <w:tcW w:w="1400" w:type="dxa"/>
            <w:vAlign w:val="bottom"/>
          </w:tcPr>
          <w:p>
            <w:pPr>
              <w:jc w:val="right"/>
              <w:spacing w:after="0"/>
              <w:rPr>
                <w:sz w:val="20"/>
                <w:szCs w:val="20"/>
                <w:color w:val="auto"/>
              </w:rPr>
            </w:pPr>
            <w:r>
              <w:rPr>
                <w:rFonts w:ascii="Arial" w:cs="Arial" w:eastAsia="Arial" w:hAnsi="Arial"/>
                <w:sz w:val="18"/>
                <w:szCs w:val="18"/>
                <w:color w:val="auto"/>
              </w:rPr>
              <w:t>90,103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90,103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179,055</w:t>
            </w:r>
          </w:p>
        </w:tc>
        <w:tc>
          <w:tcPr>
            <w:tcW w:w="2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174,367</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174,367</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129,136</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129,136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400" w:type="dxa"/>
            <w:vAlign w:val="bottom"/>
          </w:tcPr>
          <w:p>
            <w:pPr>
              <w:jc w:val="right"/>
              <w:spacing w:after="0"/>
              <w:rPr>
                <w:sz w:val="20"/>
                <w:szCs w:val="20"/>
                <w:color w:val="auto"/>
              </w:rPr>
            </w:pPr>
            <w:r>
              <w:rPr>
                <w:rFonts w:ascii="Arial" w:cs="Arial" w:eastAsia="Arial" w:hAnsi="Arial"/>
                <w:sz w:val="18"/>
                <w:szCs w:val="18"/>
                <w:color w:val="auto"/>
              </w:rPr>
              <w:t>151,080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151,080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160,249</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160,249</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61,695</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70,331</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70,331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assets</w:t>
            </w:r>
          </w:p>
        </w:tc>
        <w:tc>
          <w:tcPr>
            <w:tcW w:w="1400" w:type="dxa"/>
            <w:vAlign w:val="bottom"/>
          </w:tcPr>
          <w:p>
            <w:pPr>
              <w:jc w:val="right"/>
              <w:spacing w:after="0"/>
              <w:rPr>
                <w:sz w:val="20"/>
                <w:szCs w:val="20"/>
                <w:color w:val="auto"/>
              </w:rPr>
            </w:pPr>
            <w:r>
              <w:rPr>
                <w:rFonts w:ascii="Arial" w:cs="Arial" w:eastAsia="Arial" w:hAnsi="Arial"/>
                <w:sz w:val="18"/>
                <w:szCs w:val="18"/>
                <w:color w:val="auto"/>
              </w:rPr>
              <w:t>632,628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632,628</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472,624</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472,624</w:t>
            </w:r>
          </w:p>
        </w:tc>
      </w:tr>
      <w:tr>
        <w:trPr>
          <w:trHeight w:val="20"/>
        </w:trPr>
        <w:tc>
          <w:tcPr>
            <w:tcW w:w="4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29,526,180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29,537,881</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27,399,281</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27,408,849</w:t>
            </w:r>
          </w:p>
        </w:tc>
      </w:tr>
      <w:tr>
        <w:trPr>
          <w:trHeight w:val="210"/>
        </w:trPr>
        <w:tc>
          <w:tcPr>
            <w:tcW w:w="446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18,703,847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18,703,847</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17,818,118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17,818,118</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2,060,020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2,054,358</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2,240,320</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2,233,406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400" w:type="dxa"/>
            <w:vAlign w:val="bottom"/>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61,695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70,331</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70,331</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75,366</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75,366</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60,775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60,775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400" w:type="dxa"/>
            <w:vAlign w:val="bottom"/>
          </w:tcPr>
          <w:p>
            <w:pPr>
              <w:jc w:val="right"/>
              <w:spacing w:after="0"/>
              <w:rPr>
                <w:sz w:val="20"/>
                <w:szCs w:val="20"/>
                <w:color w:val="auto"/>
              </w:rPr>
            </w:pPr>
            <w:r>
              <w:rPr>
                <w:rFonts w:ascii="Arial" w:cs="Arial" w:eastAsia="Arial" w:hAnsi="Arial"/>
                <w:sz w:val="18"/>
                <w:szCs w:val="18"/>
                <w:color w:val="auto"/>
              </w:rPr>
              <w:t>3,965,522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3,711,199</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2,981,918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3,075,377</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867,380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867,380</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885,583</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885,583</w:t>
            </w:r>
          </w:p>
        </w:tc>
      </w:tr>
      <w:tr>
        <w:trPr>
          <w:trHeight w:val="20"/>
        </w:trPr>
        <w:tc>
          <w:tcPr>
            <w:tcW w:w="446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25,733,830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25,473,845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24,057,045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24,143,590</w:t>
            </w:r>
          </w:p>
        </w:tc>
      </w:tr>
      <w:tr>
        <w:trPr>
          <w:trHeight w:val="20"/>
        </w:trPr>
        <w:tc>
          <w:tcPr>
            <w:tcW w:w="44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2011</w:t>
            </w:r>
          </w:p>
        </w:tc>
        <w:tc>
          <w:tcPr>
            <w:tcW w:w="15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1</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2</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3</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Note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Derivative financial instruments:</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Held for trading</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70,654</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70,654</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Held as hedges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11,865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FFCC"/>
          </w:tcPr>
          <w:p>
            <w:pPr>
              <w:spacing w:after="0"/>
              <w:rPr>
                <w:sz w:val="18"/>
                <w:szCs w:val="18"/>
                <w:color w:val="auto"/>
              </w:rPr>
            </w:pPr>
          </w:p>
        </w:tc>
        <w:tc>
          <w:tcPr>
            <w:tcW w:w="15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0"/>
              </w:rPr>
              <w:t>11(b)</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82,519</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82,519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Trading securities</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75,611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75,611</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Financial assets designated at fair value through profit or loss</w:t>
            </w: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87"/>
              </w:rPr>
              <w:t>7(a)</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76,931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13,172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90,103</w:t>
            </w: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Investments available-for-sale</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1,416,430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3,971,524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8,562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5,396,516</w:t>
            </w: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471,759</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6,781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876</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479,416</w:t>
            </w:r>
          </w:p>
        </w:tc>
        <w:tc>
          <w:tcPr>
            <w:tcW w:w="0" w:type="dxa"/>
            <w:vAlign w:val="bottom"/>
          </w:tcPr>
          <w:p>
            <w:pPr>
              <w:spacing w:after="0"/>
              <w:rPr>
                <w:sz w:val="1"/>
                <w:szCs w:val="1"/>
                <w:color w:val="auto"/>
              </w:rPr>
            </w:pPr>
          </w:p>
        </w:tc>
      </w:tr>
      <w:tr>
        <w:trPr>
          <w:trHeight w:val="20"/>
        </w:trPr>
        <w:tc>
          <w:tcPr>
            <w:tcW w:w="5120" w:type="dxa"/>
            <w:vAlign w:val="bottom"/>
            <w:shd w:val="clear" w:color="auto" w:fill="CCFFCC"/>
          </w:tcPr>
          <w:p>
            <w:pPr>
              <w:spacing w:after="0" w:line="20" w:lineRule="exact"/>
              <w:rPr>
                <w:sz w:val="1"/>
                <w:szCs w:val="1"/>
                <w:color w:val="auto"/>
              </w:rPr>
            </w:pPr>
          </w:p>
        </w:tc>
        <w:tc>
          <w:tcPr>
            <w:tcW w:w="150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87"/>
              </w:rPr>
              <w:t>5(a)</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1,888,189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3,978,305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9,438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5,875,932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financial assets</w:t>
            </w:r>
          </w:p>
        </w:tc>
        <w:tc>
          <w:tcPr>
            <w:tcW w:w="15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2,040,731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4,073,996</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9,438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6,124,165</w:t>
            </w:r>
          </w:p>
        </w:tc>
        <w:tc>
          <w:tcPr>
            <w:tcW w:w="0" w:type="dxa"/>
            <w:vAlign w:val="bottom"/>
          </w:tcPr>
          <w:p>
            <w:pPr>
              <w:spacing w:after="0"/>
              <w:rPr>
                <w:sz w:val="1"/>
                <w:szCs w:val="1"/>
                <w:color w:val="auto"/>
              </w:rPr>
            </w:pPr>
          </w:p>
        </w:tc>
      </w:tr>
      <w:tr>
        <w:trPr>
          <w:trHeight w:val="197"/>
        </w:trPr>
        <w:tc>
          <w:tcPr>
            <w:tcW w:w="5120" w:type="dxa"/>
            <w:vAlign w:val="bottom"/>
            <w:tcBorders>
              <w:top w:val="single" w:sz="8" w:color="CCFFCC"/>
            </w:tcBorders>
          </w:tcPr>
          <w:p>
            <w:pPr>
              <w:spacing w:after="0"/>
              <w:rPr>
                <w:sz w:val="17"/>
                <w:szCs w:val="17"/>
                <w:color w:val="auto"/>
              </w:rPr>
            </w:pPr>
          </w:p>
        </w:tc>
        <w:tc>
          <w:tcPr>
            <w:tcW w:w="1500" w:type="dxa"/>
            <w:vAlign w:val="bottom"/>
            <w:tcBorders>
              <w:top w:val="single" w:sz="8" w:color="CCFFC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Derivative financial instruments:</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Held for trading</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70,263</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70,263</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Held as hedges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74,998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74,998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15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0"/>
              </w:rPr>
              <w:t>11(b)</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145,261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145,261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12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2</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Note</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65,090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Held as hedges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19,855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spacing w:after="0"/>
              <w:rPr>
                <w:sz w:val="18"/>
                <w:szCs w:val="18"/>
                <w:color w:val="auto"/>
              </w:rPr>
            </w:pPr>
          </w:p>
        </w:tc>
        <w:tc>
          <w:tcPr>
            <w:tcW w:w="12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0"/>
              </w:rPr>
              <w:t>11(b)</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84,945</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84,945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115,568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 profit or</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loss</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3"/>
              </w:rPr>
              <w:t>7(a)</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179,055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available-for-sale</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Debt securities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790,196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2,380,811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3,189,434</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529,267</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3,793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7,455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540,515</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12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3"/>
              </w:rPr>
              <w:t>5(a)</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1,319,463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2,384,604</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25,882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3,729,949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assets</w:t>
            </w:r>
          </w:p>
        </w:tc>
        <w:tc>
          <w:tcPr>
            <w:tcW w:w="12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1,614,086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2,469,549</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25,882</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4,109,517</w:t>
            </w:r>
          </w:p>
        </w:tc>
        <w:tc>
          <w:tcPr>
            <w:tcW w:w="0" w:type="dxa"/>
            <w:vAlign w:val="bottom"/>
          </w:tcPr>
          <w:p>
            <w:pPr>
              <w:spacing w:after="0"/>
              <w:rPr>
                <w:sz w:val="1"/>
                <w:szCs w:val="1"/>
                <w:color w:val="auto"/>
              </w:rPr>
            </w:pPr>
          </w:p>
        </w:tc>
      </w:tr>
      <w:tr>
        <w:trPr>
          <w:trHeight w:val="197"/>
        </w:trPr>
        <w:tc>
          <w:tcPr>
            <w:tcW w:w="4460" w:type="dxa"/>
            <w:vAlign w:val="bottom"/>
            <w:tcBorders>
              <w:top w:val="single" w:sz="8" w:color="CCFFCC"/>
            </w:tcBorders>
          </w:tcPr>
          <w:p>
            <w:pPr>
              <w:spacing w:after="0"/>
              <w:rPr>
                <w:sz w:val="17"/>
                <w:szCs w:val="17"/>
                <w:color w:val="auto"/>
              </w:rPr>
            </w:pPr>
          </w:p>
        </w:tc>
        <w:tc>
          <w:tcPr>
            <w:tcW w:w="128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liabilities</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55,788</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55,788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Held as hedges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80,882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80,882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12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0"/>
              </w:rPr>
              <w:t>11(b)</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136,670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136,670</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Included in the Level 1 category are financial assets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87" w:lineRule="exact"/>
        <w:rPr>
          <w:sz w:val="20"/>
          <w:szCs w:val="20"/>
          <w:color w:val="auto"/>
        </w:rPr>
      </w:pPr>
    </w:p>
    <w:p>
      <w:pPr>
        <w:ind w:left="520" w:right="140"/>
        <w:spacing w:after="0" w:line="302" w:lineRule="auto"/>
        <w:rPr>
          <w:sz w:val="20"/>
          <w:szCs w:val="20"/>
          <w:color w:val="auto"/>
        </w:rPr>
      </w:pPr>
      <w:r>
        <w:rPr>
          <w:rFonts w:ascii="Arial" w:cs="Arial" w:eastAsia="Arial" w:hAnsi="Arial"/>
          <w:sz w:val="16"/>
          <w:szCs w:val="16"/>
          <w:color w:val="auto"/>
        </w:rPr>
        <w:t>The Level 2 category are financial assets and liabilities measured using a valuation technique based on assumptions that are supported by prices from observable current market transactions, are assets and liabilities for which pricing is obtained via pricing services, but where prices have not been determined in an active market, financial assets with fair values based on broker quotes, investments in private equity funds with fair values obtained via fund managers and assets that are valued using the Group’s own models whereby the majority of assumptions are market observable.</w:t>
      </w:r>
    </w:p>
    <w:p>
      <w:pPr>
        <w:spacing w:after="0" w:line="154"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Level 3 category are financial assets measured using a valuation technique (model) based on assumptions that are neither supported by prices from observable current market transactions in the same instrument nor are they based on available market data.</w:t>
      </w:r>
    </w:p>
    <w:p>
      <w:pPr>
        <w:spacing w:after="0" w:line="170"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As of December 31, 2011 and 2010, the net unrealized gain of Level 3 financial instruments amounts to US$1.4 million and US$2.8 million, respectively and the gross impairment recorded amounted to US$7.8 million and US$11.2 million, respectively. During 2011 and 2010, there were no transfer from Level 3 to Level 1 and Level 2 of financial instruments measured at fair value.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29.8.  Fiduciary activities, management of funds and pension funds -</w:t>
      </w:r>
    </w:p>
    <w:p>
      <w:pPr>
        <w:spacing w:after="0" w:line="229" w:lineRule="exact"/>
        <w:rPr>
          <w:sz w:val="20"/>
          <w:szCs w:val="20"/>
          <w:color w:val="auto"/>
        </w:rPr>
      </w:pPr>
    </w:p>
    <w:p>
      <w:pPr>
        <w:ind w:left="500" w:right="30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thfat the Group will be accused of poor administration or under-performance.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2011 and 2010, the assigned value of the financial assets under administration (in millions of U.S. Dollars) is as follows: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120" w:type="dxa"/>
            <w:vAlign w:val="bottom"/>
            <w:gridSpan w:val="2"/>
          </w:tcPr>
          <w:p>
            <w:pPr>
              <w:ind w:left="7740"/>
              <w:spacing w:after="0"/>
              <w:rPr>
                <w:sz w:val="20"/>
                <w:szCs w:val="20"/>
                <w:color w:val="auto"/>
              </w:rPr>
            </w:pPr>
            <w:r>
              <w:rPr>
                <w:rFonts w:ascii="Arial" w:cs="Arial" w:eastAsia="Arial" w:hAnsi="Arial"/>
                <w:sz w:val="18"/>
                <w:szCs w:val="18"/>
                <w:b w:val="1"/>
                <w:bCs w:val="1"/>
                <w:color w:val="auto"/>
                <w:w w:val="89"/>
              </w:rPr>
              <w:t>2011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7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2,818.8</w:t>
            </w: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2,842.7</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9,395.8</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9,674.9</w:t>
            </w:r>
          </w:p>
        </w:tc>
      </w:tr>
      <w:tr>
        <w:trPr>
          <w:trHeight w:val="216"/>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3,850.5</w:t>
            </w: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3,694.0</w:t>
            </w:r>
          </w:p>
        </w:tc>
      </w:tr>
      <w:tr>
        <w:trPr>
          <w:trHeight w:val="210"/>
        </w:trPr>
        <w:tc>
          <w:tcPr>
            <w:tcW w:w="704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16,065.1</w:t>
            </w:r>
          </w:p>
        </w:tc>
        <w:tc>
          <w:tcPr>
            <w:tcW w:w="200" w:type="dxa"/>
            <w:vAlign w:val="bottom"/>
            <w:shd w:val="clear" w:color="auto" w:fill="CCFFCC"/>
          </w:tcPr>
          <w:p>
            <w:pPr>
              <w:spacing w:after="0"/>
              <w:rPr>
                <w:sz w:val="20"/>
                <w:szCs w:val="20"/>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16,211.6</w:t>
            </w:r>
          </w:p>
        </w:tc>
      </w:tr>
      <w:tr>
        <w:trPr>
          <w:trHeight w:val="20"/>
        </w:trPr>
        <w:tc>
          <w:tcPr>
            <w:tcW w:w="70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ind w:left="500" w:right="8420" w:hanging="492"/>
        <w:spacing w:after="0" w:line="604" w:lineRule="auto"/>
        <w:tabs>
          <w:tab w:leader="none" w:pos="500"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Legal claim contingency –</w:t>
      </w:r>
    </w:p>
    <w:p>
      <w:pPr>
        <w:ind w:left="50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September 22, 2011, the Trustee for the liquidations of Bermard L. Madoff Investment Securities LLC (BLMIS), and the substantively consolidated state of Bermard L. Madoff (“the Madoff Trustee”) filed a complaint against Credicorp’s subsidiary Atlantic Security Bank (ASB) in U.S. Bankruptcy Court Southern District of New York, for an amount of approximately US$120 million (“the Complaint”), which corresponds to the funds that ASB managed in Atlantic US Blue Chip Fund and that were redeemed between the end of 2004 and the beginning of 2005 from Fairfield Sentry Limited (hereafter “Fairfield”), a feeder fund that invested in BLMIS.</w:t>
      </w:r>
    </w:p>
    <w:p>
      <w:pPr>
        <w:spacing w:after="0" w:line="188" w:lineRule="exact"/>
        <w:rPr>
          <w:rFonts w:ascii="Arial" w:cs="Arial" w:eastAsia="Arial" w:hAnsi="Arial"/>
          <w:sz w:val="15"/>
          <w:szCs w:val="15"/>
          <w:b w:val="1"/>
          <w:bCs w:val="1"/>
          <w:color w:val="auto"/>
        </w:rPr>
      </w:pPr>
    </w:p>
    <w:p>
      <w:pPr>
        <w:ind w:left="500" w:right="40"/>
        <w:spacing w:after="0" w:line="276" w:lineRule="auto"/>
        <w:rPr>
          <w:rFonts w:ascii="Arial" w:cs="Arial" w:eastAsia="Arial" w:hAnsi="Arial"/>
          <w:sz w:val="15"/>
          <w:szCs w:val="15"/>
          <w:b w:val="1"/>
          <w:bCs w:val="1"/>
          <w:color w:val="auto"/>
        </w:rPr>
      </w:pPr>
      <w:r>
        <w:rPr>
          <w:rFonts w:ascii="Arial" w:cs="Arial" w:eastAsia="Arial" w:hAnsi="Arial"/>
          <w:sz w:val="17"/>
          <w:szCs w:val="17"/>
          <w:color w:val="auto"/>
        </w:rPr>
        <w:t>The Complaint further alleges that the Madoff Trustee filed an adversary proceeding against Fairfield, seeking to avoid and recover the initial transfers of monies from BLMIS to Fairfield; that on June 7 and 10, 2011, the Bankruptcy Court approved a settlement among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and redeemed funds from BLMIS.</w:t>
      </w:r>
    </w:p>
    <w:p>
      <w:pPr>
        <w:spacing w:after="0" w:line="172" w:lineRule="exact"/>
        <w:rPr>
          <w:rFonts w:ascii="Arial" w:cs="Arial" w:eastAsia="Arial" w:hAnsi="Arial"/>
          <w:sz w:val="15"/>
          <w:szCs w:val="15"/>
          <w:b w:val="1"/>
          <w:bCs w:val="1"/>
          <w:color w:val="auto"/>
        </w:rPr>
      </w:pPr>
    </w:p>
    <w:p>
      <w:pPr>
        <w:ind w:left="500" w:right="60"/>
        <w:spacing w:after="0" w:line="302" w:lineRule="auto"/>
        <w:rPr>
          <w:rFonts w:ascii="Arial" w:cs="Arial" w:eastAsia="Arial" w:hAnsi="Arial"/>
          <w:sz w:val="15"/>
          <w:szCs w:val="15"/>
          <w:b w:val="1"/>
          <w:bCs w:val="1"/>
          <w:color w:val="auto"/>
        </w:rPr>
      </w:pPr>
      <w:r>
        <w:rPr>
          <w:rFonts w:ascii="Arial" w:cs="Arial" w:eastAsia="Arial" w:hAnsi="Arial"/>
          <w:sz w:val="16"/>
          <w:szCs w:val="16"/>
          <w:color w:val="auto"/>
        </w:rPr>
        <w:t>In addition, ASB, as well as other defendants, filed a motion to withdraw the reference to Bankruptcy Court. ASB´s Management considers that the case against ASB raises several important issues that it believes require interpretation of federal, non-bankruptcy law and which interpretation should be addressed by a U.S. federal district court as opposed to a federal bankruptcy court. In this regard, an administrative order entered by the Bankruptcy Court on March 5, 2012 provides that the defendants, including ASB, shall file one consolidated brief no later than May 3, 2012 regarding this issue.</w:t>
      </w:r>
    </w:p>
    <w:p>
      <w:pPr>
        <w:spacing w:after="0" w:line="154" w:lineRule="exact"/>
        <w:rPr>
          <w:rFonts w:ascii="Arial" w:cs="Arial" w:eastAsia="Arial" w:hAnsi="Arial"/>
          <w:sz w:val="15"/>
          <w:szCs w:val="15"/>
          <w:b w:val="1"/>
          <w:bCs w:val="1"/>
          <w:color w:val="auto"/>
        </w:rPr>
      </w:pPr>
    </w:p>
    <w:p>
      <w:pPr>
        <w:ind w:left="500" w:right="22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Management believes that ASB has substantial defenses against the Madoff Trustee’s claims alleged in the Complaint and intends to contest these claims vigorously, both in the Bankruptcy Court or District Court, as applicable.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that resulted in a net loss in the funds that ASB managed on behalf of its clients for approximately US$ 78 million as of December,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ASB counsel and the Trustee have agreed that ASB has until September 5, 2012 to move, answer or otherwise respond to the Complaint.</w:t>
      </w:r>
    </w:p>
    <w:p>
      <w:pPr>
        <w:spacing w:after="0" w:line="237" w:lineRule="exact"/>
        <w:rPr>
          <w:sz w:val="20"/>
          <w:szCs w:val="20"/>
          <w:color w:val="auto"/>
        </w:rPr>
      </w:pPr>
    </w:p>
    <w:p>
      <w:pPr>
        <w:jc w:val="both"/>
        <w:ind w:left="500" w:right="320"/>
        <w:spacing w:after="0" w:line="312" w:lineRule="auto"/>
        <w:rPr>
          <w:sz w:val="20"/>
          <w:szCs w:val="20"/>
          <w:color w:val="auto"/>
        </w:rPr>
      </w:pPr>
      <w:r>
        <w:rPr>
          <w:rFonts w:ascii="Arial" w:cs="Arial" w:eastAsia="Arial" w:hAnsi="Arial"/>
          <w:sz w:val="16"/>
          <w:szCs w:val="16"/>
          <w:color w:val="auto"/>
        </w:rPr>
        <w:t>In addition, on April 13, 2012 the liquidator of Fairfield filed a complaint in the U.S. Bankruptcy Court against ASB and the beneficial owners of accounts in the Fairfield funds held by ASB by which it seeks recovery of approximately US$115 million that were invested in Fairfield funds and redeemed prior to June 15, 2005 and Fairfield´s insolvency, alleging various common law claims grounded in British Virgin Islands law.</w:t>
      </w:r>
    </w:p>
    <w:p>
      <w:pPr>
        <w:spacing w:after="0" w:line="14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ASB´s time to move, answer or otherwise respond to the Fairfield complaint will not begin to run until ASB is formally served, so no immediate response to the Fairfield complaint is required. In addition, at present, all the actions by the Fairfield liquidator have been stayed, pending resolution of litigation in the British Virgin Islands, where a Court of Appeal is currently deciding whether the Fairfield liquidator may recover proceeds from their investors. Management believes that ASB has substantial defenses against the claims alleged in the complaint and intends to contest these claims vigorously.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Purchase agreement –</w:t>
      </w:r>
    </w:p>
    <w:p>
      <w:pPr>
        <w:spacing w:after="0" w:line="229" w:lineRule="exact"/>
        <w:rPr>
          <w:sz w:val="20"/>
          <w:szCs w:val="20"/>
          <w:color w:val="auto"/>
        </w:rPr>
      </w:pPr>
    </w:p>
    <w:p>
      <w:pPr>
        <w:ind w:left="500" w:right="40"/>
        <w:spacing w:after="0" w:line="279" w:lineRule="auto"/>
        <w:rPr>
          <w:sz w:val="20"/>
          <w:szCs w:val="20"/>
          <w:color w:val="auto"/>
        </w:rPr>
      </w:pPr>
      <w:r>
        <w:rPr>
          <w:rFonts w:ascii="Arial" w:cs="Arial" w:eastAsia="Arial" w:hAnsi="Arial"/>
          <w:sz w:val="17"/>
          <w:szCs w:val="17"/>
          <w:color w:val="auto"/>
        </w:rPr>
        <w:t>Credicorp, through its subsidiary BCP, reached an agreement on November 30, 2011 with the shareholders of Correval S.A. Sociedad Comisionista de Bolsa, a brokerage entity established in Bogota, Colombia, to acquire a 51 percent stake in such entity for approximately US$76.5 million. Closing of this transaction was subject to the approval from the authorities in Colombia and Peru, among other precedent conditions that were fulfilled on April 2012. According to Management of the Group, payment will take place in the upcoming days.</w:t>
      </w:r>
    </w:p>
    <w:p>
      <w:pPr>
        <w:spacing w:after="0" w:line="171"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Also, the Group, through its subsidiary BCP, on April 23, 2012, reached an agreement in principle with the shareholders of IMTrust S.A., a brokerage entity established in Santiago, Chile, to acquire a 60.6 percent stake in such entity for an amount approximately to 3.5 percent of Credicorp´s net equity. Closing of this transaction is subject to the completion of a due diligence process and the approval from the regulatory authorities in Chile and Peru.</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29" w:name="page130"/>
    <w:bookmarkEnd w:id="129"/>
    <w:p>
      <w:pPr>
        <w:spacing w:after="0"/>
        <w:tabs>
          <w:tab w:leader="none" w:pos="114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Index to 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Certification by the Chief Financial Officer pursuant to Section 302 of the U.S. Sarbanes-Oxley Act of 2002</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Certification by the Chief Financial Officer pursuant to Section 906 of the U.S. Sarbanes-Oxley Act of 2002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ALVARO CORREA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Alvaro Correa</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Tittle: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12.3  Certification by the Chief Executive Officer pursuant to Section 302 of the U.S.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12.4  Certification by the Chief Financial Officer pursuant to Section 302 of the U.S. Sarbanes-Oxley Act of 2002</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13.4  Certification by the Chief Financial Officer pursuant to Section 906 of the U.S. Sarbanes-Oxley Act of 2002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Exhibit 12.3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P., certify that:</w:t>
      </w:r>
    </w:p>
    <w:p>
      <w:pPr>
        <w:spacing w:after="0" w:line="23"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10" w:lineRule="exact"/>
        <w:rPr>
          <w:rFonts w:ascii="Arial" w:cs="Arial" w:eastAsia="Arial" w:hAnsi="Arial"/>
          <w:sz w:val="18"/>
          <w:szCs w:val="18"/>
          <w:color w:val="auto"/>
        </w:rPr>
      </w:pPr>
    </w:p>
    <w:p>
      <w:pPr>
        <w:ind w:firstLine="8"/>
        <w:spacing w:after="0" w:line="342" w:lineRule="auto"/>
        <w:tabs>
          <w:tab w:leader="none" w:pos="20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Exhibit 12.4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3" w:lineRule="exact"/>
        <w:rPr>
          <w:sz w:val="20"/>
          <w:szCs w:val="20"/>
          <w:color w:val="auto"/>
        </w:rPr>
      </w:pPr>
    </w:p>
    <w:p>
      <w:pPr>
        <w:ind w:left="280" w:hanging="182"/>
        <w:spacing w:after="0"/>
        <w:tabs>
          <w:tab w:leader="none" w:pos="2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10" w:lineRule="exact"/>
        <w:rPr>
          <w:rFonts w:ascii="Arial" w:cs="Arial" w:eastAsia="Arial" w:hAnsi="Arial"/>
          <w:sz w:val="18"/>
          <w:szCs w:val="18"/>
          <w:color w:val="auto"/>
        </w:rPr>
      </w:pPr>
    </w:p>
    <w:p>
      <w:pPr>
        <w:ind w:firstLine="8"/>
        <w:spacing w:after="0" w:line="342" w:lineRule="auto"/>
        <w:tabs>
          <w:tab w:leader="none" w:pos="20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Exhibit 13.3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600" w:hanging="592"/>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72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2011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36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Exhibit 13.4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600" w:hanging="592"/>
        <w:spacing w:after="0"/>
        <w:tabs>
          <w:tab w:leader="none" w:pos="6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72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2011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lowerRoman"/>
      <w:start w:val="1"/>
    </w:lvl>
    <w:lvl w:ilvl="1">
      <w:lvlJc w:val="left"/>
      <w:lvlText w:val="☐"/>
      <w:numFmt w:val="bullet"/>
      <w:start w:val="1"/>
    </w:lvl>
  </w:abstractNum>
  <w:abstractNum w:abstractNumId="1">
    <w:nsid w:val="4962813B"/>
    <w:multiLevelType w:val="hybridMultilevel"/>
    <w:lvl w:ilvl="0">
      <w:lvlJc w:val="left"/>
      <w:lvlText w:val="☐"/>
      <w:numFmt w:val="bullet"/>
      <w:start w:val="1"/>
    </w:lvl>
    <w:lvl w:ilvl="1">
      <w:lvlJc w:val="left"/>
      <w:lvlText w:val="☐"/>
      <w:numFmt w:val="bullet"/>
      <w:start w:val="1"/>
    </w:lvl>
  </w:abstractNum>
  <w:abstractNum w:abstractNumId="2">
    <w:nsid w:val="60B6DF70"/>
    <w:multiLevelType w:val="hybridMultilevel"/>
    <w:lvl w:ilvl="0">
      <w:lvlJc w:val="left"/>
      <w:lvlText w:val="%1."/>
      <w:numFmt w:val="decimal"/>
      <w:start w:val="1"/>
    </w:lvl>
    <w:lvl w:ilvl="1">
      <w:lvlJc w:val="left"/>
      <w:lvlText w:val="(%2)"/>
      <w:numFmt w:val="lowerLetter"/>
      <w:start w:val="1"/>
    </w:lvl>
  </w:abstractNum>
  <w:abstractNum w:abstractNumId="3">
    <w:nsid w:val="6A5EE64"/>
    <w:multiLevelType w:val="hybridMultilevel"/>
    <w:lvl w:ilvl="0">
      <w:lvlJc w:val="left"/>
      <w:lvlText w:val="(%1)"/>
      <w:numFmt w:val="lowerLetter"/>
      <w:start w:val="2"/>
    </w:lvl>
  </w:abstractNum>
  <w:abstractNum w:abstractNumId="4">
    <w:nsid w:val="14330624"/>
    <w:multiLevelType w:val="hybridMultilevel"/>
    <w:lvl w:ilvl="0">
      <w:lvlJc w:val="left"/>
      <w:lvlText w:val="(%1)"/>
      <w:numFmt w:val="lowerLetter"/>
      <w:start w:val="3"/>
    </w:lvl>
  </w:abstractNum>
  <w:abstractNum w:abstractNumId="5">
    <w:nsid w:val="7FFFCA11"/>
    <w:multiLevelType w:val="hybridMultilevel"/>
    <w:lvl w:ilvl="0">
      <w:lvlJc w:val="left"/>
      <w:lvlText w:val="%1."/>
      <w:numFmt w:val="decimal"/>
      <w:start w:val="3"/>
    </w:lvl>
    <w:lvl w:ilvl="1">
      <w:lvlJc w:val="left"/>
      <w:lvlText w:val="(%2)"/>
      <w:numFmt w:val="lowerLetter"/>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1)"/>
      <w:numFmt w:val="lowerLetter"/>
      <w:start w:val="2"/>
    </w:lvl>
  </w:abstractNum>
  <w:abstractNum w:abstractNumId="8">
    <w:nsid w:val="100F59DC"/>
    <w:multiLevelType w:val="hybridMultilevel"/>
    <w:lvl w:ilvl="0">
      <w:lvlJc w:val="left"/>
      <w:lvlText w:val="(%1)"/>
      <w:numFmt w:val="lowerRoman"/>
      <w:start w:val="1"/>
    </w:lvl>
  </w:abstractNum>
  <w:abstractNum w:abstractNumId="9">
    <w:nsid w:val="7FB7E0AA"/>
    <w:multiLevelType w:val="hybridMultilevel"/>
    <w:lvl w:ilvl="0">
      <w:lvlJc w:val="left"/>
      <w:lvlText w:val="(%1)"/>
      <w:numFmt w:val="lowerLetter"/>
      <w:start w:val="3"/>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1)"/>
      <w:numFmt w:val="lowerLetter"/>
      <w:start w:val="4"/>
    </w:lvl>
  </w:abstractNum>
  <w:abstractNum w:abstractNumId="12">
    <w:nsid w:val="94211F2"/>
    <w:multiLevelType w:val="hybridMultilevel"/>
    <w:lvl w:ilvl="0">
      <w:lvlJc w:val="left"/>
      <w:lvlText w:val="(%1)"/>
      <w:numFmt w:val="lowerLetter"/>
      <w:start w:val="5"/>
    </w:lvl>
  </w:abstractNum>
  <w:abstractNum w:abstractNumId="13">
    <w:nsid w:val="885E1B"/>
    <w:multiLevelType w:val="hybridMultilevel"/>
    <w:lvl w:ilvl="0">
      <w:lvlJc w:val="left"/>
      <w:lvlText w:val="(%1)"/>
      <w:numFmt w:val="lowerRoman"/>
      <w:start w:val="1"/>
    </w:lvl>
  </w:abstractNum>
  <w:abstractNum w:abstractNumId="14">
    <w:nsid w:val="76272110"/>
    <w:multiLevelType w:val="hybridMultilevel"/>
    <w:lvl w:ilvl="0">
      <w:lvlJc w:val="left"/>
      <w:lvlText w:val="(%1)"/>
      <w:numFmt w:val="lowerRoman"/>
      <w:start w:val="2"/>
    </w:lvl>
  </w:abstractNum>
  <w:abstractNum w:abstractNumId="15">
    <w:nsid w:val="4C04A8AF"/>
    <w:multiLevelType w:val="hybridMultilevel"/>
    <w:lvl w:ilvl="0">
      <w:lvlJc w:val="left"/>
      <w:lvlText w:val="(%1)"/>
      <w:numFmt w:val="lowerRoman"/>
      <w:start w:val="1"/>
    </w:lvl>
  </w:abstractNum>
  <w:abstractNum w:abstractNumId="16">
    <w:nsid w:val="1716703B"/>
    <w:multiLevelType w:val="hybridMultilevel"/>
    <w:lvl w:ilvl="0">
      <w:lvlJc w:val="left"/>
      <w:lvlText w:val="(%1)"/>
      <w:numFmt w:val="lowerRoman"/>
      <w:start w:val="2"/>
    </w:lvl>
  </w:abstractNum>
  <w:abstractNum w:abstractNumId="17">
    <w:nsid w:val="14E17E33"/>
    <w:multiLevelType w:val="hybridMultilevel"/>
    <w:lvl w:ilvl="0">
      <w:lvlJc w:val="left"/>
      <w:lvlText w:val="(%1)"/>
      <w:numFmt w:val="lowerRoman"/>
      <w:start w:val="1"/>
    </w:lvl>
  </w:abstractNum>
  <w:abstractNum w:abstractNumId="18">
    <w:nsid w:val="3222E7CD"/>
    <w:multiLevelType w:val="hybridMultilevel"/>
    <w:lvl w:ilvl="0">
      <w:lvlJc w:val="left"/>
      <w:lvlText w:val="(%1)"/>
      <w:numFmt w:val="lowerLetter"/>
      <w:start w:val="6"/>
    </w:lvl>
  </w:abstractNum>
  <w:abstractNum w:abstractNumId="19">
    <w:nsid w:val="74DE0EE3"/>
    <w:multiLevelType w:val="hybridMultilevel"/>
    <w:lvl w:ilvl="0">
      <w:lvlJc w:val="left"/>
      <w:lvlText w:val="(%1)"/>
      <w:numFmt w:val="lowerRoman"/>
      <w:start w:val="1"/>
    </w:lvl>
    <w:lvl w:ilvl="1">
      <w:lvlJc w:val="left"/>
      <w:lvlText w:val="-"/>
      <w:numFmt w:val="bullet"/>
      <w:start w:val="1"/>
    </w:lvl>
  </w:abstractNum>
  <w:abstractNum w:abstractNumId="20">
    <w:nsid w:val="68EBC550"/>
    <w:multiLevelType w:val="hybridMultilevel"/>
    <w:lvl w:ilvl="0">
      <w:lvlJc w:val="left"/>
      <w:lvlText w:val="(%1)"/>
      <w:numFmt w:val="lowerRoman"/>
      <w:start w:val="2"/>
    </w:lvl>
  </w:abstractNum>
  <w:abstractNum w:abstractNumId="21">
    <w:nsid w:val="2DF6D648"/>
    <w:multiLevelType w:val="hybridMultilevel"/>
    <w:lvl w:ilvl="0">
      <w:lvlJc w:val="left"/>
      <w:lvlText w:val="(%1)"/>
      <w:numFmt w:val="lowerRoman"/>
      <w:start w:val="3"/>
    </w:lvl>
  </w:abstractNum>
  <w:abstractNum w:abstractNumId="22">
    <w:nsid w:val="46B7D447"/>
    <w:multiLevelType w:val="hybridMultilevel"/>
    <w:lvl w:ilvl="0">
      <w:lvlJc w:val="left"/>
      <w:lvlText w:val="%1"/>
      <w:numFmt w:val="lowerLetter"/>
      <w:start w:val="1"/>
    </w:lvl>
    <w:lvl w:ilvl="1">
      <w:lvlJc w:val="left"/>
      <w:lvlText w:val="(%2)"/>
      <w:numFmt w:val="lowerRoman"/>
      <w:start w:val="4"/>
    </w:lvl>
  </w:abstractNum>
  <w:abstractNum w:abstractNumId="23">
    <w:nsid w:val="4A2AC315"/>
    <w:multiLevelType w:val="hybridMultilevel"/>
    <w:lvl w:ilvl="0">
      <w:lvlJc w:val="left"/>
      <w:lvlText w:val="(%1)"/>
      <w:numFmt w:val="lowerLetter"/>
      <w:start w:val="7"/>
    </w:lvl>
    <w:lvl w:ilvl="1">
      <w:lvlJc w:val="left"/>
      <w:lvlText w:val="%2"/>
      <w:numFmt w:val="lowerRoman"/>
      <w:start w:val="1"/>
    </w:lvl>
  </w:abstractNum>
  <w:abstractNum w:abstractNumId="24">
    <w:nsid w:val="39EE015C"/>
    <w:multiLevelType w:val="hybridMultilevel"/>
    <w:lvl w:ilvl="0">
      <w:lvlJc w:val="left"/>
      <w:lvlText w:val="(%1)"/>
      <w:numFmt w:val="lowerLetter"/>
      <w:start w:val="8"/>
    </w:lvl>
  </w:abstractNum>
  <w:abstractNum w:abstractNumId="25">
    <w:nsid w:val="57FC4FBB"/>
    <w:multiLevelType w:val="hybridMultilevel"/>
    <w:lvl w:ilvl="0">
      <w:lvlJc w:val="left"/>
      <w:lvlText w:val="(%1)"/>
      <w:numFmt w:val="lowerRoman"/>
      <w:start w:val="1"/>
    </w:lvl>
  </w:abstractNum>
  <w:abstractNum w:abstractNumId="26">
    <w:nsid w:val="CC1016F"/>
    <w:multiLevelType w:val="hybridMultilevel"/>
    <w:lvl w:ilvl="0">
      <w:lvlJc w:val="left"/>
      <w:lvlText w:val="(%1)"/>
      <w:numFmt w:val="lowerRoman"/>
      <w:start w:val="1"/>
    </w:lvl>
  </w:abstractNum>
  <w:abstractNum w:abstractNumId="27">
    <w:nsid w:val="43F18422"/>
    <w:multiLevelType w:val="hybridMultilevel"/>
    <w:lvl w:ilvl="0">
      <w:lvlJc w:val="left"/>
      <w:lvlText w:val="(%1)"/>
      <w:numFmt w:val="lowerRoman"/>
      <w:start w:val="2"/>
    </w:lvl>
  </w:abstractNum>
  <w:abstractNum w:abstractNumId="28">
    <w:nsid w:val="60EF0119"/>
    <w:multiLevelType w:val="hybridMultilevel"/>
    <w:lvl w:ilvl="0">
      <w:lvlJc w:val="left"/>
      <w:lvlText w:val="%1"/>
      <w:numFmt w:val="lowerLetter"/>
      <w:start w:val="1"/>
    </w:lvl>
    <w:lvl w:ilvl="1">
      <w:lvlJc w:val="left"/>
      <w:lvlText w:val="(%2)"/>
      <w:numFmt w:val="lowerLetter"/>
      <w:start w:val="61"/>
    </w:lvl>
  </w:abstractNum>
  <w:abstractNum w:abstractNumId="29">
    <w:nsid w:val="26F324BA"/>
    <w:multiLevelType w:val="hybridMultilevel"/>
    <w:lvl w:ilvl="0">
      <w:lvlJc w:val="left"/>
      <w:lvlText w:val="(%1)"/>
      <w:numFmt w:val="lowerLetter"/>
      <w:start w:val="10"/>
    </w:lvl>
    <w:lvl w:ilvl="1">
      <w:lvlJc w:val="left"/>
      <w:lvlText w:val="%2"/>
      <w:numFmt w:val="lowerLetter"/>
      <w:start w:val="1"/>
    </w:lvl>
  </w:abstractNum>
  <w:abstractNum w:abstractNumId="30">
    <w:nsid w:val="7F01579B"/>
    <w:multiLevelType w:val="hybridMultilevel"/>
    <w:lvl w:ilvl="0">
      <w:lvlJc w:val="left"/>
      <w:lvlText w:val="(%1)"/>
      <w:numFmt w:val="lowerLetter"/>
      <w:start w:val="11"/>
    </w:lvl>
  </w:abstractNum>
  <w:abstractNum w:abstractNumId="31">
    <w:nsid w:val="49DA307D"/>
    <w:multiLevelType w:val="hybridMultilevel"/>
    <w:lvl w:ilvl="0">
      <w:lvlJc w:val="left"/>
      <w:lvlText w:val="(%1)"/>
      <w:numFmt w:val="lowerLetter"/>
      <w:start w:val="12"/>
    </w:lvl>
  </w:abstractNum>
  <w:abstractNum w:abstractNumId="32">
    <w:nsid w:val="7055A5F5"/>
    <w:multiLevelType w:val="hybridMultilevel"/>
    <w:lvl w:ilvl="0">
      <w:lvlJc w:val="left"/>
      <w:lvlText w:val="(%1)"/>
      <w:numFmt w:val="lowerLetter"/>
      <w:start w:val="13"/>
    </w:lvl>
  </w:abstractNum>
  <w:abstractNum w:abstractNumId="33">
    <w:nsid w:val="5FB8370B"/>
    <w:multiLevelType w:val="hybridMultilevel"/>
    <w:lvl w:ilvl="0">
      <w:lvlJc w:val="left"/>
      <w:lvlText w:val="(%1)"/>
      <w:numFmt w:val="lowerLetter"/>
      <w:start w:val="14"/>
    </w:lvl>
  </w:abstractNum>
  <w:abstractNum w:abstractNumId="34">
    <w:nsid w:val="50801EE1"/>
    <w:multiLevelType w:val="hybridMultilevel"/>
    <w:lvl w:ilvl="0">
      <w:lvlJc w:val="left"/>
      <w:lvlText w:val="(%1)"/>
      <w:numFmt w:val="lowerLetter"/>
      <w:start w:val="15"/>
    </w:lvl>
  </w:abstractNum>
  <w:abstractNum w:abstractNumId="35">
    <w:nsid w:val="488AC1A"/>
    <w:multiLevelType w:val="hybridMultilevel"/>
    <w:lvl w:ilvl="0">
      <w:lvlJc w:val="left"/>
      <w:lvlText w:val="(%1)"/>
      <w:numFmt w:val="lowerLetter"/>
      <w:start w:val="16"/>
    </w:lvl>
  </w:abstractNum>
  <w:abstractNum w:abstractNumId="36">
    <w:nsid w:val="5FB8011C"/>
    <w:multiLevelType w:val="hybridMultilevel"/>
    <w:lvl w:ilvl="0">
      <w:lvlJc w:val="left"/>
      <w:lvlText w:val="(%1)"/>
      <w:numFmt w:val="lowerLetter"/>
      <w:start w:val="17"/>
    </w:lvl>
  </w:abstractNum>
  <w:abstractNum w:abstractNumId="37">
    <w:nsid w:val="6AA78F7F"/>
    <w:multiLevelType w:val="hybridMultilevel"/>
    <w:lvl w:ilvl="0">
      <w:lvlJc w:val="left"/>
      <w:lvlText w:val="(%1)"/>
      <w:numFmt w:val="lowerLetter"/>
      <w:start w:val="18"/>
    </w:lvl>
  </w:abstractNum>
  <w:abstractNum w:abstractNumId="38">
    <w:nsid w:val="7672BD23"/>
    <w:multiLevelType w:val="hybridMultilevel"/>
    <w:lvl w:ilvl="0">
      <w:lvlJc w:val="left"/>
      <w:lvlText w:val="(%1)"/>
      <w:numFmt w:val="lowerLetter"/>
      <w:start w:val="19"/>
    </w:lvl>
  </w:abstractNum>
  <w:abstractNum w:abstractNumId="39">
    <w:nsid w:val="6FC75AF8"/>
    <w:multiLevelType w:val="hybridMultilevel"/>
    <w:lvl w:ilvl="0">
      <w:lvlJc w:val="left"/>
      <w:lvlText w:val="(%1)"/>
      <w:numFmt w:val="lowerLetter"/>
      <w:start w:val="20"/>
    </w:lvl>
  </w:abstractNum>
  <w:abstractNum w:abstractNumId="40">
    <w:nsid w:val="6A5F7029"/>
    <w:multiLevelType w:val="hybridMultilevel"/>
    <w:lvl w:ilvl="0">
      <w:lvlJc w:val="left"/>
      <w:lvlText w:val="(%1)"/>
      <w:numFmt w:val="lowerLetter"/>
      <w:start w:val="21"/>
    </w:lvl>
  </w:abstractNum>
  <w:abstractNum w:abstractNumId="41">
    <w:nsid w:val="7D5E18F8"/>
    <w:multiLevelType w:val="hybridMultilevel"/>
    <w:lvl w:ilvl="0">
      <w:lvlJc w:val="left"/>
      <w:lvlText w:val="(%1)"/>
      <w:numFmt w:val="lowerRoman"/>
      <w:start w:val="5"/>
    </w:lvl>
  </w:abstractNum>
  <w:abstractNum w:abstractNumId="42">
    <w:nsid w:val="5F3534A4"/>
    <w:multiLevelType w:val="hybridMultilevel"/>
    <w:lvl w:ilvl="0">
      <w:lvlJc w:val="left"/>
      <w:lvlText w:val="(%1)"/>
      <w:numFmt w:val="lowerLetter"/>
      <w:start w:val="23"/>
    </w:lvl>
    <w:lvl w:ilvl="1">
      <w:lvlJc w:val="left"/>
      <w:lvlText w:val="(%2)"/>
      <w:numFmt w:val="lowerLetter"/>
      <w:start w:val="9"/>
    </w:lvl>
  </w:abstractNum>
  <w:abstractNum w:abstractNumId="43">
    <w:nsid w:val="73A1821B"/>
    <w:multiLevelType w:val="hybridMultilevel"/>
    <w:lvl w:ilvl="0">
      <w:lvlJc w:val="left"/>
      <w:lvlText w:val="(%1)"/>
      <w:numFmt w:val="lowerRoman"/>
      <w:start w:val="2"/>
    </w:lvl>
  </w:abstractNum>
  <w:abstractNum w:abstractNumId="44">
    <w:nsid w:val="7DE67713"/>
    <w:multiLevelType w:val="hybridMultilevel"/>
    <w:lvl w:ilvl="0">
      <w:lvlJc w:val="left"/>
      <w:lvlText w:val="(%1)"/>
      <w:numFmt w:val="lowerRoman"/>
      <w:start w:val="10"/>
    </w:lvl>
  </w:abstractNum>
  <w:abstractNum w:abstractNumId="45">
    <w:nsid w:val="555C55B5"/>
    <w:multiLevelType w:val="hybridMultilevel"/>
    <w:lvl w:ilvl="0">
      <w:lvlJc w:val="left"/>
      <w:lvlText w:val="(%1)"/>
      <w:numFmt w:val="lowerRoman"/>
      <w:start w:val="1"/>
    </w:lvl>
  </w:abstractNum>
  <w:abstractNum w:abstractNumId="46">
    <w:nsid w:val="3FA62ACA"/>
    <w:multiLevelType w:val="hybridMultilevel"/>
    <w:lvl w:ilvl="0">
      <w:lvlJc w:val="left"/>
      <w:lvlText w:val="(%1)"/>
      <w:numFmt w:val="lowerRoman"/>
      <w:start w:val="2"/>
    </w:lvl>
  </w:abstractNum>
  <w:abstractNum w:abstractNumId="47">
    <w:nsid w:val="14FCE74E"/>
    <w:multiLevelType w:val="hybridMultilevel"/>
    <w:lvl w:ilvl="0">
      <w:lvlJc w:val="left"/>
      <w:lvlText w:val="(%1)"/>
      <w:numFmt w:val="lowerLetter"/>
      <w:start w:val="25"/>
    </w:lvl>
  </w:abstractNum>
  <w:abstractNum w:abstractNumId="48">
    <w:nsid w:val="6A3DD3E8"/>
    <w:multiLevelType w:val="hybridMultilevel"/>
    <w:lvl w:ilvl="0">
      <w:lvlJc w:val="left"/>
      <w:lvlText w:val="(%1)"/>
      <w:numFmt w:val="lowerLetter"/>
      <w:start w:val="26"/>
    </w:lvl>
  </w:abstractNum>
  <w:abstractNum w:abstractNumId="49">
    <w:nsid w:val="71C91298"/>
    <w:multiLevelType w:val="hybridMultilevel"/>
    <w:lvl w:ilvl="0">
      <w:lvlJc w:val="left"/>
      <w:lvlText w:val="(%1)"/>
      <w:numFmt w:val="lowerLetter"/>
      <w:start w:val="27"/>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1)"/>
      <w:numFmt w:val="lowerLetter"/>
      <w:start w:val="2"/>
    </w:lvl>
  </w:abstractNum>
  <w:abstractNum w:abstractNumId="54">
    <w:nsid w:val="1D545C4D"/>
    <w:multiLevelType w:val="hybridMultilevel"/>
    <w:lvl w:ilvl="0">
      <w:lvlJc w:val="left"/>
      <w:lvlText w:val="(%1)"/>
      <w:numFmt w:val="lowerLetter"/>
      <w:start w:val="4"/>
    </w:lvl>
  </w:abstractNum>
  <w:abstractNum w:abstractNumId="55">
    <w:nsid w:val="59ADEA3D"/>
    <w:multiLevelType w:val="hybridMultilevel"/>
    <w:lvl w:ilvl="0">
      <w:lvlJc w:val="left"/>
      <w:lvlText w:val="(%1)"/>
      <w:numFmt w:val="lowerLetter"/>
      <w:start w:val="5"/>
    </w:lvl>
  </w:abstractNum>
  <w:abstractNum w:abstractNumId="56">
    <w:nsid w:val="288F1A34"/>
    <w:multiLevelType w:val="hybridMultilevel"/>
    <w:lvl w:ilvl="0">
      <w:lvlJc w:val="left"/>
      <w:lvlText w:val="(%1)"/>
      <w:numFmt w:val="lowerLetter"/>
      <w:start w:val="8"/>
    </w:lvl>
  </w:abstractNum>
  <w:abstractNum w:abstractNumId="57">
    <w:nsid w:val="2A155DBC"/>
    <w:multiLevelType w:val="hybridMultilevel"/>
    <w:lvl w:ilvl="0">
      <w:lvlJc w:val="left"/>
      <w:lvlText w:val="(%1)"/>
      <w:numFmt w:val="lowerRoman"/>
      <w:start w:val="1"/>
    </w:lvl>
  </w:abstractNum>
  <w:abstractNum w:abstractNumId="58">
    <w:nsid w:val="1D9F6E5F"/>
    <w:multiLevelType w:val="hybridMultilevel"/>
    <w:lvl w:ilvl="0">
      <w:lvlJc w:val="left"/>
      <w:lvlText w:val="(%1)"/>
      <w:numFmt w:val="lowerLetter"/>
      <w:start w:val="10"/>
    </w:lvl>
  </w:abstractNum>
  <w:abstractNum w:abstractNumId="59">
    <w:nsid w:val="97E1B4E"/>
    <w:multiLevelType w:val="hybridMultilevel"/>
    <w:lvl w:ilvl="0">
      <w:lvlJc w:val="left"/>
      <w:lvlText w:val="%1."/>
      <w:numFmt w:val="decimal"/>
      <w:start w:val="6"/>
    </w:lvl>
    <w:lvl w:ilvl="1">
      <w:lvlJc w:val="left"/>
      <w:lvlText w:val="(%2)"/>
      <w:numFmt w:val="lowerLetter"/>
      <w:start w:val="1"/>
    </w:lvl>
  </w:abstractNum>
  <w:abstractNum w:abstractNumId="60">
    <w:nsid w:val="51088277"/>
    <w:multiLevelType w:val="hybridMultilevel"/>
    <w:lvl w:ilvl="0">
      <w:lvlJc w:val="left"/>
      <w:lvlText w:val="(%1)"/>
      <w:numFmt w:val="lowerLetter"/>
      <w:start w:val="3"/>
    </w:lvl>
  </w:abstractNum>
  <w:abstractNum w:abstractNumId="61">
    <w:nsid w:val="1CA0C5FA"/>
    <w:multiLevelType w:val="hybridMultilevel"/>
    <w:lvl w:ilvl="0">
      <w:lvlJc w:val="left"/>
      <w:lvlText w:val="(%1)"/>
      <w:numFmt w:val="lowerLetter"/>
      <w:start w:val="4"/>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1)"/>
      <w:numFmt w:val="lowerLetter"/>
      <w:start w:val="5"/>
    </w:lvl>
  </w:abstractNum>
  <w:abstractNum w:abstractNumId="64">
    <w:nsid w:val="7C58FD05"/>
    <w:multiLevelType w:val="hybridMultilevel"/>
    <w:lvl w:ilvl="0">
      <w:lvlJc w:val="left"/>
      <w:lvlText w:val="%1."/>
      <w:numFmt w:val="decimal"/>
      <w:start w:val="7"/>
    </w:lvl>
    <w:lvl w:ilvl="1">
      <w:lvlJc w:val="left"/>
      <w:lvlText w:val="(%2)"/>
      <w:numFmt w:val="lowerLetter"/>
      <w:start w:val="1"/>
    </w:lvl>
  </w:abstractNum>
  <w:abstractNum w:abstractNumId="65">
    <w:nsid w:val="23D86AAC"/>
    <w:multiLevelType w:val="hybridMultilevel"/>
    <w:lvl w:ilvl="0">
      <w:lvlJc w:val="left"/>
      <w:lvlText w:val="(%1)"/>
      <w:numFmt w:val="lowerLetter"/>
      <w:start w:val="2"/>
    </w:lvl>
  </w:abstractNum>
  <w:abstractNum w:abstractNumId="66">
    <w:nsid w:val="45E6D486"/>
    <w:multiLevelType w:val="hybridMultilevel"/>
    <w:lvl w:ilvl="0">
      <w:lvlJc w:val="left"/>
      <w:lvlText w:val="(%1)"/>
      <w:numFmt w:val="lowerLetter"/>
      <w:start w:val="3"/>
    </w:lvl>
  </w:abstractNum>
  <w:abstractNum w:abstractNumId="67">
    <w:nsid w:val="5C10FE21"/>
    <w:multiLevelType w:val="hybridMultilevel"/>
    <w:lvl w:ilvl="0">
      <w:lvlJc w:val="left"/>
      <w:lvlText w:val="%1."/>
      <w:numFmt w:val="decimal"/>
      <w:start w:val="8"/>
    </w:lvl>
    <w:lvl w:ilvl="1">
      <w:lvlJc w:val="left"/>
      <w:lvlText w:val="(%2)"/>
      <w:numFmt w:val="lowerLetter"/>
      <w:start w:val="1"/>
    </w:lvl>
  </w:abstractNum>
  <w:abstractNum w:abstractNumId="68">
    <w:nsid w:val="E7FFA2B"/>
    <w:multiLevelType w:val="hybridMultilevel"/>
    <w:lvl w:ilvl="0">
      <w:lvlJc w:val="left"/>
      <w:lvlText w:val="(%1)"/>
      <w:numFmt w:val="lowerLetter"/>
      <w:start w:val="2"/>
    </w:lvl>
  </w:abstractNum>
  <w:abstractNum w:abstractNumId="69">
    <w:nsid w:val="3C5991AA"/>
    <w:multiLevelType w:val="hybridMultilevel"/>
    <w:lvl w:ilvl="0">
      <w:lvlJc w:val="left"/>
      <w:lvlText w:val="%1."/>
      <w:numFmt w:val="decimal"/>
      <w:start w:val="9"/>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lowerLetter"/>
      <w:start w:val="2"/>
    </w:lvl>
  </w:abstractNum>
  <w:abstractNum w:abstractNumId="72">
    <w:nsid w:val="39B7AAA2"/>
    <w:multiLevelType w:val="hybridMultilevel"/>
    <w:lvl w:ilvl="0">
      <w:lvlJc w:val="left"/>
      <w:lvlText w:val="%1."/>
      <w:numFmt w:val="decimal"/>
      <w:start w:val="10"/>
    </w:lvl>
    <w:lvl w:ilvl="1">
      <w:lvlJc w:val="left"/>
      <w:lvlText w:val="(%2)"/>
      <w:numFmt w:val="lowerLetter"/>
      <w:start w:val="1"/>
    </w:lvl>
  </w:abstractNum>
  <w:abstractNum w:abstractNumId="73">
    <w:nsid w:val="2B0D8DBE"/>
    <w:multiLevelType w:val="hybridMultilevel"/>
    <w:lvl w:ilvl="0">
      <w:lvlJc w:val="left"/>
      <w:lvlText w:val="(%1)"/>
      <w:numFmt w:val="lowerRoman"/>
      <w:start w:val="1"/>
    </w:lvl>
  </w:abstractNum>
  <w:abstractNum w:abstractNumId="74">
    <w:nsid w:val="6C80EC70"/>
    <w:multiLevelType w:val="hybridMultilevel"/>
    <w:lvl w:ilvl="0">
      <w:lvlJc w:val="left"/>
      <w:lvlText w:val="(%1)"/>
      <w:numFmt w:val="lowerRoman"/>
      <w:start w:val="2"/>
    </w:lvl>
  </w:abstractNum>
  <w:abstractNum w:abstractNumId="75">
    <w:nsid w:val="379E21B5"/>
    <w:multiLevelType w:val="hybridMultilevel"/>
    <w:lvl w:ilvl="0">
      <w:lvlJc w:val="left"/>
      <w:lvlText w:val="(%1)"/>
      <w:numFmt w:val="lowerLetter"/>
      <w:start w:val="2"/>
    </w:lvl>
  </w:abstractNum>
  <w:abstractNum w:abstractNumId="76">
    <w:nsid w:val="69E373"/>
    <w:multiLevelType w:val="hybridMultilevel"/>
    <w:lvl w:ilvl="0">
      <w:lvlJc w:val="left"/>
      <w:lvlText w:val="(%1)"/>
      <w:numFmt w:val="lowerRoman"/>
      <w:start w:val="1"/>
    </w:lvl>
  </w:abstractNum>
  <w:abstractNum w:abstractNumId="77">
    <w:nsid w:val="2C27173B"/>
    <w:multiLevelType w:val="hybridMultilevel"/>
    <w:lvl w:ilvl="0">
      <w:lvlJc w:val="left"/>
      <w:lvlText w:val="(%1)"/>
      <w:numFmt w:val="lowerLetter"/>
      <w:start w:val="3"/>
    </w:lvl>
  </w:abstractNum>
  <w:abstractNum w:abstractNumId="78">
    <w:nsid w:val="4C9B0904"/>
    <w:multiLevelType w:val="hybridMultilevel"/>
    <w:lvl w:ilvl="0">
      <w:lvlJc w:val="left"/>
      <w:lvlText w:val="%1"/>
      <w:numFmt w:val="decimal"/>
      <w:start w:val="1"/>
    </w:lvl>
    <w:lvl w:ilvl="1">
      <w:lvlJc w:val="left"/>
      <w:lvlText w:val="(%2)"/>
      <w:numFmt w:val="lowerLetter"/>
      <w:start w:val="5"/>
    </w:lvl>
  </w:abstractNum>
  <w:abstractNum w:abstractNumId="79">
    <w:nsid w:val="6AA7B75C"/>
    <w:multiLevelType w:val="hybridMultilevel"/>
    <w:lvl w:ilvl="0">
      <w:lvlJc w:val="left"/>
      <w:lvlText w:val="%1."/>
      <w:numFmt w:val="decimal"/>
      <w:start w:val="12"/>
    </w:lvl>
    <w:lvl w:ilvl="1">
      <w:lvlJc w:val="left"/>
      <w:lvlText w:val="(%2)"/>
      <w:numFmt w:val="lowerLetter"/>
      <w:start w:val="1"/>
    </w:lvl>
  </w:abstractNum>
  <w:abstractNum w:abstractNumId="80">
    <w:nsid w:val="1DF029D3"/>
    <w:multiLevelType w:val="hybridMultilevel"/>
    <w:lvl w:ilvl="0">
      <w:lvlJc w:val="left"/>
      <w:lvlText w:val="(%1)"/>
      <w:numFmt w:val="lowerLetter"/>
      <w:start w:val="2"/>
    </w:lvl>
  </w:abstractNum>
  <w:abstractNum w:abstractNumId="81">
    <w:nsid w:val="5675FF36"/>
    <w:multiLevelType w:val="hybridMultilevel"/>
    <w:lvl w:ilvl="0">
      <w:lvlJc w:val="left"/>
      <w:lvlText w:val="(%1)"/>
      <w:numFmt w:val="lowerLetter"/>
      <w:start w:val="3"/>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lowerLetter"/>
      <w:start w:val="1"/>
    </w:lvl>
    <w:lvl w:ilvl="1">
      <w:lvlJc w:val="left"/>
      <w:lvlText w:val="(%2)"/>
      <w:numFmt w:val="lowerLetter"/>
      <w:start w:val="35"/>
    </w:lvl>
  </w:abstractNum>
  <w:abstractNum w:abstractNumId="84">
    <w:nsid w:val="2708C9AF"/>
    <w:multiLevelType w:val="hybridMultilevel"/>
    <w:lvl w:ilvl="0">
      <w:lvlJc w:val="left"/>
      <w:lvlText w:val="(%1)"/>
      <w:numFmt w:val="lowerLetter"/>
      <w:start w:val="2"/>
    </w:lvl>
    <w:lvl w:ilvl="1">
      <w:lvlJc w:val="left"/>
      <w:lvlText w:val="%2"/>
      <w:numFmt w:val="lowerLetter"/>
      <w:start w:val="1"/>
    </w:lvl>
  </w:abstractNum>
  <w:abstractNum w:abstractNumId="85">
    <w:nsid w:val="5B25ACE2"/>
    <w:multiLevelType w:val="hybridMultilevel"/>
    <w:lvl w:ilvl="0">
      <w:lvlJc w:val="left"/>
      <w:lvlText w:val="(%1)"/>
      <w:numFmt w:val="lowerLetter"/>
      <w:start w:val="3"/>
    </w:lvl>
  </w:abstractNum>
  <w:abstractNum w:abstractNumId="86">
    <w:nsid w:val="175DFCF0"/>
    <w:multiLevelType w:val="hybridMultilevel"/>
    <w:lvl w:ilvl="0">
      <w:lvlJc w:val="left"/>
      <w:lvlText w:val="%1."/>
      <w:numFmt w:val="decimal"/>
      <w:start w:val="14"/>
    </w:lvl>
    <w:lvl w:ilvl="1">
      <w:lvlJc w:val="left"/>
      <w:lvlText w:val="(%2)"/>
      <w:numFmt w:val="lowerLetter"/>
      <w:start w:val="1"/>
    </w:lvl>
  </w:abstractNum>
  <w:abstractNum w:abstractNumId="87">
    <w:nsid w:val="4F97E3E4"/>
    <w:multiLevelType w:val="hybridMultilevel"/>
    <w:lvl w:ilvl="0">
      <w:lvlJc w:val="left"/>
      <w:lvlText w:val="(%1)"/>
      <w:numFmt w:val="lowerLetter"/>
      <w:start w:val="2"/>
    </w:lvl>
  </w:abstractNum>
  <w:abstractNum w:abstractNumId="88">
    <w:nsid w:val="53B0A9E"/>
    <w:multiLevelType w:val="hybridMultilevel"/>
    <w:lvl w:ilvl="0">
      <w:lvlJc w:val="left"/>
      <w:lvlText w:val="(%1)"/>
      <w:numFmt w:val="lowerRoman"/>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1)"/>
      <w:numFmt w:val="lowerRoman"/>
      <w:start w:val="2"/>
    </w:lvl>
  </w:abstractNum>
  <w:abstractNum w:abstractNumId="93">
    <w:nsid w:val="2C6E4AFD"/>
    <w:multiLevelType w:val="hybridMultilevel"/>
    <w:lvl w:ilvl="0">
      <w:lvlJc w:val="left"/>
      <w:lvlText w:val="%1"/>
      <w:numFmt w:val="lowerLetter"/>
      <w:start w:val="1"/>
    </w:lvl>
    <w:lvl w:ilvl="1">
      <w:lvlJc w:val="left"/>
      <w:lvlText w:val="(%2)"/>
      <w:numFmt w:val="lowerRoman"/>
      <w:start w:val="7"/>
    </w:lvl>
  </w:abstractNum>
  <w:abstractNum w:abstractNumId="94">
    <w:nsid w:val="17A1B582"/>
    <w:multiLevelType w:val="hybridMultilevel"/>
    <w:lvl w:ilvl="0">
      <w:lvlJc w:val="left"/>
      <w:lvlText w:val="(%1)"/>
      <w:numFmt w:val="lowerLetter"/>
      <w:start w:val="2"/>
    </w:lvl>
    <w:lvl w:ilvl="1">
      <w:lvlJc w:val="left"/>
      <w:lvlText w:val="%2"/>
      <w:numFmt w:val="lowerRoman"/>
      <w:start w:val="1"/>
    </w:lvl>
  </w:abstractNum>
  <w:abstractNum w:abstractNumId="95">
    <w:nsid w:val="4DF72E4E"/>
    <w:multiLevelType w:val="hybridMultilevel"/>
    <w:lvl w:ilvl="0">
      <w:lvlJc w:val="left"/>
      <w:lvlText w:val="%1."/>
      <w:numFmt w:val="decimal"/>
      <w:start w:val="16"/>
    </w:lvl>
    <w:lvl w:ilvl="1">
      <w:lvlJc w:val="left"/>
      <w:lvlText w:val="(%2)"/>
      <w:numFmt w:val="lowerLetter"/>
      <w:start w:val="1"/>
    </w:lvl>
  </w:abstractNum>
  <w:abstractNum w:abstractNumId="96">
    <w:nsid w:val="5046B5A9"/>
    <w:multiLevelType w:val="hybridMultilevel"/>
    <w:lvl w:ilvl="0">
      <w:lvlJc w:val="left"/>
      <w:lvlText w:val="(%1)"/>
      <w:numFmt w:val="lowerLetter"/>
      <w:start w:val="2"/>
    </w:lvl>
  </w:abstractNum>
  <w:abstractNum w:abstractNumId="97">
    <w:nsid w:val="5D888A08"/>
    <w:multiLevelType w:val="hybridMultilevel"/>
    <w:lvl w:ilvl="0">
      <w:lvlJc w:val="left"/>
      <w:lvlText w:val="(%1)"/>
      <w:numFmt w:val="lowerLetter"/>
      <w:start w:val="3"/>
    </w:lvl>
  </w:abstractNum>
  <w:abstractNum w:abstractNumId="98">
    <w:nsid w:val="2A082C70"/>
    <w:multiLevelType w:val="hybridMultilevel"/>
    <w:lvl w:ilvl="0">
      <w:lvlJc w:val="left"/>
      <w:lvlText w:val="(%1)"/>
      <w:numFmt w:val="lowerLetter"/>
      <w:start w:val="4"/>
    </w:lvl>
  </w:abstractNum>
  <w:abstractNum w:abstractNumId="99">
    <w:nsid w:val="5EC6AFD4"/>
    <w:multiLevelType w:val="hybridMultilevel"/>
    <w:lvl w:ilvl="0">
      <w:lvlJc w:val="left"/>
      <w:lvlText w:val="(%1)"/>
      <w:numFmt w:val="lowerLetter"/>
      <w:start w:val="5"/>
    </w:lvl>
  </w:abstractNum>
  <w:abstractNum w:abstractNumId="100">
    <w:nsid w:val="19E21BB2"/>
    <w:multiLevelType w:val="hybridMultilevel"/>
    <w:lvl w:ilvl="0">
      <w:lvlJc w:val="left"/>
      <w:lvlText w:val="%1"/>
      <w:numFmt w:val="decimal"/>
      <w:start w:val="1"/>
    </w:lvl>
    <w:lvl w:ilvl="1">
      <w:lvlJc w:val="left"/>
      <w:lvlText w:val="(%2)"/>
      <w:numFmt w:val="lowerLetter"/>
      <w:start w:val="6"/>
    </w:lvl>
  </w:abstractNum>
  <w:abstractNum w:abstractNumId="101">
    <w:nsid w:val="75E0858A"/>
    <w:multiLevelType w:val="hybridMultilevel"/>
    <w:lvl w:ilvl="0">
      <w:lvlJc w:val="left"/>
      <w:lvlText w:val="%1."/>
      <w:numFmt w:val="decimal"/>
      <w:start w:val="17"/>
    </w:lvl>
    <w:lvl w:ilvl="1">
      <w:lvlJc w:val="left"/>
      <w:lvlText w:val="(%2)"/>
      <w:numFmt w:val="lowerLetter"/>
      <w:start w:val="1"/>
    </w:lvl>
  </w:abstractNum>
  <w:abstractNum w:abstractNumId="102">
    <w:nsid w:val="57A61A29"/>
    <w:multiLevelType w:val="hybridMultilevel"/>
    <w:lvl w:ilvl="0">
      <w:lvlJc w:val="left"/>
      <w:lvlText w:val="(%1)"/>
      <w:numFmt w:val="lowerLetter"/>
      <w:start w:val="2"/>
    </w:lvl>
  </w:abstractNum>
  <w:abstractNum w:abstractNumId="103">
    <w:nsid w:val="5399C654"/>
    <w:multiLevelType w:val="hybridMultilevel"/>
    <w:lvl w:ilvl="0">
      <w:lvlJc w:val="left"/>
      <w:lvlText w:val="(%1)"/>
      <w:numFmt w:val="lowerLetter"/>
      <w:start w:val="3"/>
    </w:lvl>
  </w:abstractNum>
  <w:abstractNum w:abstractNumId="104">
    <w:nsid w:val="20EE1348"/>
    <w:multiLevelType w:val="hybridMultilevel"/>
    <w:lvl w:ilvl="0">
      <w:lvlJc w:val="left"/>
      <w:lvlText w:val="(%1)"/>
      <w:numFmt w:val="lowerLetter"/>
      <w:start w:val="4"/>
    </w:lvl>
  </w:abstractNum>
  <w:abstractNum w:abstractNumId="105">
    <w:nsid w:val="4427069A"/>
    <w:multiLevelType w:val="hybridMultilevel"/>
    <w:lvl w:ilvl="0">
      <w:lvlJc w:val="left"/>
      <w:lvlText w:val="%1."/>
      <w:numFmt w:val="decimal"/>
      <w:start w:val="18"/>
    </w:lvl>
    <w:lvl w:ilvl="1">
      <w:lvlJc w:val="left"/>
      <w:lvlText w:val="(%2)"/>
      <w:numFmt w:val="lowerLetter"/>
      <w:start w:val="1"/>
    </w:lvl>
  </w:abstractNum>
  <w:abstractNum w:abstractNumId="106">
    <w:nsid w:val="B37E80A"/>
    <w:multiLevelType w:val="hybridMultilevel"/>
    <w:lvl w:ilvl="0">
      <w:lvlJc w:val="left"/>
      <w:lvlText w:val="(%1)"/>
      <w:numFmt w:val="lowerLetter"/>
      <w:start w:val="2"/>
    </w:lvl>
  </w:abstractNum>
  <w:abstractNum w:abstractNumId="107">
    <w:nsid w:val="2157F6BC"/>
    <w:multiLevelType w:val="hybridMultilevel"/>
    <w:lvl w:ilvl="0">
      <w:lvlJc w:val="left"/>
      <w:lvlText w:val="(%1)"/>
      <w:numFmt w:val="lowerLetter"/>
      <w:start w:val="2"/>
    </w:lvl>
  </w:abstractNum>
  <w:abstractNum w:abstractNumId="108">
    <w:nsid w:val="704E1DD5"/>
    <w:multiLevelType w:val="hybridMultilevel"/>
    <w:lvl w:ilvl="0">
      <w:lvlJc w:val="left"/>
      <w:lvlText w:val="%1"/>
      <w:numFmt w:val="decimal"/>
      <w:start w:val="1"/>
    </w:lvl>
    <w:lvl w:ilvl="1">
      <w:lvlJc w:val="left"/>
      <w:lvlText w:val="(%2)"/>
      <w:numFmt w:val="lowerLetter"/>
      <w:start w:val="3"/>
    </w:lvl>
  </w:abstractNum>
  <w:abstractNum w:abstractNumId="109">
    <w:nsid w:val="57D2F10E"/>
    <w:multiLevelType w:val="hybridMultilevel"/>
    <w:lvl w:ilvl="0">
      <w:lvlJc w:val="left"/>
      <w:lvlText w:val="%1."/>
      <w:numFmt w:val="decimal"/>
      <w:start w:val="20"/>
    </w:lvl>
    <w:lvl w:ilvl="1">
      <w:lvlJc w:val="left"/>
      <w:lvlText w:val="%2"/>
      <w:numFmt w:val="lowerLetter"/>
      <w:start w:val="1"/>
    </w:lvl>
  </w:abstractNum>
  <w:abstractNum w:abstractNumId="110">
    <w:nsid w:val="BFFAE18"/>
    <w:multiLevelType w:val="hybridMultilevel"/>
    <w:lvl w:ilvl="0">
      <w:lvlJc w:val="left"/>
      <w:lvlText w:val="%1."/>
      <w:numFmt w:val="decimal"/>
      <w:start w:val="2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13">
    <w:nsid w:val="49D0FEAC"/>
    <w:multiLevelType w:val="hybridMultilevel"/>
    <w:lvl w:ilvl="0">
      <w:lvlJc w:val="left"/>
      <w:lvlText w:val="%1."/>
      <w:numFmt w:val="decimal"/>
      <w:start w:val="23"/>
    </w:lvl>
    <w:lvl w:ilvl="1">
      <w:lvlJc w:val="left"/>
      <w:lvlText w:val="(**)"/>
      <w:numFmt w:val="bullet"/>
      <w:start w:val="1"/>
    </w:lvl>
    <w:lvl w:ilvl="2">
      <w:lvlJc w:val="left"/>
      <w:lvlText w:val="%3"/>
      <w:numFmt w:val="lowerRoman"/>
      <w:start w:val="1"/>
    </w:lvl>
  </w:abstractNum>
  <w:abstractNum w:abstractNumId="114">
    <w:nsid w:val="4BEE5A5B"/>
    <w:multiLevelType w:val="hybridMultilevel"/>
    <w:lvl w:ilvl="0">
      <w:lvlJc w:val="left"/>
      <w:lvlText w:val="%1."/>
      <w:numFmt w:val="decimal"/>
      <w:start w:val="25"/>
    </w:lvl>
  </w:abstractNum>
  <w:abstractNum w:abstractNumId="115">
    <w:nsid w:val="5551B9F3"/>
    <w:multiLevelType w:val="hybridMultilevel"/>
    <w:lvl w:ilvl="0">
      <w:lvlJc w:val="left"/>
      <w:lvlText w:val="%1."/>
      <w:numFmt w:val="decimal"/>
      <w:start w:val="26"/>
    </w:lvl>
  </w:abstractNum>
  <w:abstractNum w:abstractNumId="116">
    <w:nsid w:val="24F6AB8E"/>
    <w:multiLevelType w:val="hybridMultilevel"/>
    <w:lvl w:ilvl="0">
      <w:lvlJc w:val="left"/>
      <w:lvlText w:val="(%1)"/>
      <w:numFmt w:val="lowerRoman"/>
      <w:start w:val="1"/>
    </w:lvl>
  </w:abstractNum>
  <w:abstractNum w:abstractNumId="117">
    <w:nsid w:val="634C574C"/>
    <w:multiLevelType w:val="hybridMultilevel"/>
    <w:lvl w:ilvl="0">
      <w:lvlJc w:val="left"/>
      <w:lvlText w:val="(%1)"/>
      <w:numFmt w:val="lowerRoman"/>
      <w:start w:val="2"/>
    </w:lvl>
  </w:abstractNum>
  <w:abstractNum w:abstractNumId="118">
    <w:nsid w:val="24E99DD7"/>
    <w:multiLevelType w:val="hybridMultilevel"/>
    <w:lvl w:ilvl="0">
      <w:lvlJc w:val="left"/>
      <w:lvlText w:val="(*)"/>
      <w:numFmt w:val="bullet"/>
      <w:start w:val="1"/>
    </w:lvl>
  </w:abstractNum>
  <w:abstractNum w:abstractNumId="119">
    <w:nsid w:val="2A31B62D"/>
    <w:multiLevelType w:val="hybridMultilevel"/>
    <w:lvl w:ilvl="0">
      <w:lvlJc w:val="left"/>
      <w:lvlText w:val="(**)"/>
      <w:numFmt w:val="bullet"/>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1."/>
      <w:numFmt w:val="decimal"/>
      <w:start w:val="27"/>
    </w:lvl>
    <w:lvl w:ilvl="1">
      <w:lvlJc w:val="left"/>
      <w:lvlText w:val="(%2)"/>
      <w:numFmt w:val="lowerLetter"/>
      <w:start w:val="1"/>
    </w:lvl>
  </w:abstractNum>
  <w:abstractNum w:abstractNumId="122">
    <w:nsid w:val="754342"/>
    <w:multiLevelType w:val="hybridMultilevel"/>
    <w:lvl w:ilvl="0">
      <w:lvlJc w:val="left"/>
      <w:lvlText w:val="(%1)"/>
      <w:numFmt w:val="lowerLetter"/>
      <w:start w:val="3"/>
    </w:lvl>
  </w:abstractNum>
  <w:abstractNum w:abstractNumId="123">
    <w:nsid w:val="69E7F3E5"/>
    <w:multiLevelType w:val="hybridMultilevel"/>
    <w:lvl w:ilvl="0">
      <w:lvlJc w:val="left"/>
      <w:lvlText w:val="(%1)"/>
      <w:numFmt w:val="lowerLetter"/>
      <w:start w:val="5"/>
    </w:lvl>
  </w:abstractNum>
  <w:abstractNum w:abstractNumId="124">
    <w:nsid w:val="2A6DE806"/>
    <w:multiLevelType w:val="hybridMultilevel"/>
    <w:lvl w:ilvl="0">
      <w:lvlJc w:val="left"/>
      <w:lvlText w:val="(%1)"/>
      <w:numFmt w:val="lowerLetter"/>
      <w:start w:val="6"/>
    </w:lvl>
  </w:abstractNum>
  <w:abstractNum w:abstractNumId="125">
    <w:nsid w:val="1816F8C4"/>
    <w:multiLevelType w:val="hybridMultilevel"/>
    <w:lvl w:ilvl="0">
      <w:lvlJc w:val="left"/>
      <w:lvlText w:val="%1."/>
      <w:numFmt w:val="decimal"/>
      <w:start w:val="28"/>
    </w:lvl>
  </w:abstractNum>
  <w:abstractNum w:abstractNumId="126">
    <w:nsid w:val="37DF2233"/>
    <w:multiLevelType w:val="hybridMultilevel"/>
    <w:lvl w:ilvl="0">
      <w:lvlJc w:val="left"/>
      <w:lvlText w:val="%1."/>
      <w:numFmt w:val="decimal"/>
      <w:start w:val="29"/>
    </w:lvl>
  </w:abstractNum>
  <w:abstractNum w:abstractNumId="127">
    <w:nsid w:val="7AB49DAF"/>
    <w:multiLevelType w:val="hybridMultilevel"/>
    <w:lvl w:ilvl="0">
      <w:lvlJc w:val="left"/>
      <w:lvlText w:val="(%1)"/>
      <w:numFmt w:val="lowerLetter"/>
      <w:start w:val="1"/>
    </w:lvl>
  </w:abstractNum>
  <w:abstractNum w:abstractNumId="128">
    <w:nsid w:val="759F82CD"/>
    <w:multiLevelType w:val="hybridMultilevel"/>
    <w:lvl w:ilvl="0">
      <w:lvlJc w:val="left"/>
      <w:lvlText w:val="(%1)"/>
      <w:numFmt w:val="lowerRoman"/>
      <w:start w:val="1"/>
    </w:lvl>
  </w:abstractNum>
  <w:abstractNum w:abstractNumId="129">
    <w:nsid w:val="61E74EA3"/>
    <w:multiLevelType w:val="hybridMultilevel"/>
    <w:lvl w:ilvl="0">
      <w:lvlJc w:val="left"/>
      <w:lvlText w:val="(%1)"/>
      <w:numFmt w:val="lowerRoman"/>
      <w:start w:val="2"/>
    </w:lvl>
  </w:abstractNum>
  <w:abstractNum w:abstractNumId="130">
    <w:nsid w:val="597B4D84"/>
    <w:multiLevelType w:val="hybridMultilevel"/>
    <w:lvl w:ilvl="0">
      <w:lvlJc w:val="left"/>
      <w:lvlText w:val="(%1)"/>
      <w:numFmt w:val="lowerLetter"/>
      <w:start w:val="2"/>
    </w:lvl>
  </w:abstractNum>
  <w:abstractNum w:abstractNumId="131">
    <w:nsid w:val="F819E7F"/>
    <w:multiLevelType w:val="hybridMultilevel"/>
    <w:lvl w:ilvl="0">
      <w:lvlJc w:val="left"/>
      <w:lvlText w:val="(%1)"/>
      <w:numFmt w:val="lowerLetter"/>
      <w:start w:val="3"/>
    </w:lvl>
  </w:abstractNum>
  <w:abstractNum w:abstractNumId="132">
    <w:nsid w:val="57C7D42D"/>
    <w:multiLevelType w:val="hybridMultilevel"/>
    <w:lvl w:ilvl="0">
      <w:lvlJc w:val="left"/>
      <w:lvlText w:val="(%1)"/>
      <w:numFmt w:val="lowerLetter"/>
      <w:start w:val="4"/>
    </w:lvl>
  </w:abstractNum>
  <w:abstractNum w:abstractNumId="133">
    <w:nsid w:val="312167AD"/>
    <w:multiLevelType w:val="hybridMultilevel"/>
    <w:lvl w:ilvl="0">
      <w:lvlJc w:val="left"/>
      <w:lvlText w:val="(%1)"/>
      <w:numFmt w:val="lowerLetter"/>
      <w:start w:val="1"/>
    </w:lvl>
  </w:abstractNum>
  <w:abstractNum w:abstractNumId="134">
    <w:nsid w:val="631B64D4"/>
    <w:multiLevelType w:val="hybridMultilevel"/>
    <w:lvl w:ilvl="0">
      <w:lvlJc w:val="left"/>
      <w:lvlText w:val="(%1)"/>
      <w:numFmt w:val="lowerRoman"/>
      <w:start w:val="1"/>
    </w:lvl>
  </w:abstractNum>
  <w:abstractNum w:abstractNumId="135">
    <w:nsid w:val="78B5E776"/>
    <w:multiLevelType w:val="hybridMultilevel"/>
    <w:lvl w:ilvl="0">
      <w:lvlJc w:val="left"/>
      <w:lvlText w:val="(%1)"/>
      <w:numFmt w:val="lowerRoman"/>
      <w:start w:val="2"/>
    </w:lvl>
  </w:abstractNum>
  <w:abstractNum w:abstractNumId="136">
    <w:nsid w:val="75486E47"/>
    <w:multiLevelType w:val="hybridMultilevel"/>
    <w:lvl w:ilvl="0">
      <w:lvlJc w:val="left"/>
      <w:lvlText w:val="(%1)"/>
      <w:numFmt w:val="lowerLetter"/>
      <w:start w:val="2"/>
    </w:lvl>
    <w:lvl w:ilvl="1">
      <w:lvlJc w:val="left"/>
      <w:lvlText w:val="-"/>
      <w:numFmt w:val="bullet"/>
      <w:start w:val="1"/>
    </w:lvl>
  </w:abstractNum>
  <w:abstractNum w:abstractNumId="137">
    <w:nsid w:val="6E534CDE"/>
    <w:multiLevelType w:val="hybridMultilevel"/>
    <w:lvl w:ilvl="0">
      <w:lvlJc w:val="left"/>
      <w:lvlText w:val="(%1)"/>
      <w:numFmt w:val="lowerLetter"/>
      <w:start w:val="4"/>
    </w:lvl>
  </w:abstractNum>
  <w:abstractNum w:abstractNumId="138">
    <w:nsid w:val="1A0DDE32"/>
    <w:multiLevelType w:val="hybridMultilevel"/>
    <w:lvl w:ilvl="0">
      <w:lvlJc w:val="left"/>
      <w:lvlText w:val="(%1)"/>
      <w:numFmt w:val="lowerLetter"/>
      <w:start w:val="5"/>
    </w:lvl>
  </w:abstractNum>
  <w:abstractNum w:abstractNumId="139">
    <w:nsid w:val="65968C1C"/>
    <w:multiLevelType w:val="hybridMultilevel"/>
    <w:lvl w:ilvl="0">
      <w:lvlJc w:val="left"/>
      <w:lvlText w:val="(%1)"/>
      <w:numFmt w:val="lowerLetter"/>
      <w:start w:val="1"/>
    </w:lvl>
  </w:abstractNum>
  <w:abstractNum w:abstractNumId="140">
    <w:nsid w:val="46263DEC"/>
    <w:multiLevelType w:val="hybridMultilevel"/>
    <w:lvl w:ilvl="0">
      <w:lvlJc w:val="left"/>
      <w:lvlText w:val="(%1)"/>
      <w:numFmt w:val="lowerRoman"/>
      <w:start w:val="1"/>
    </w:lvl>
  </w:abstractNum>
  <w:abstractNum w:abstractNumId="141">
    <w:nsid w:val="260D8C4A"/>
    <w:multiLevelType w:val="hybridMultilevel"/>
    <w:lvl w:ilvl="0">
      <w:lvlJc w:val="left"/>
      <w:lvlText w:val="(%1)"/>
      <w:numFmt w:val="lowerRoman"/>
      <w:start w:val="1"/>
    </w:lvl>
  </w:abstractNum>
  <w:abstractNum w:abstractNumId="142">
    <w:nsid w:val="73D4D3C4"/>
    <w:multiLevelType w:val="hybridMultilevel"/>
    <w:lvl w:ilvl="0">
      <w:lvlJc w:val="left"/>
      <w:lvlText w:val="(%1)"/>
      <w:numFmt w:val="lowerRoman"/>
      <w:start w:val="2"/>
    </w:lvl>
  </w:abstractNum>
  <w:abstractNum w:abstractNumId="143">
    <w:nsid w:val="746F2E30"/>
    <w:multiLevelType w:val="hybridMultilevel"/>
    <w:lvl w:ilvl="0">
      <w:lvlJc w:val="left"/>
      <w:lvlText w:val="(%1)"/>
      <w:numFmt w:val="lowerLetter"/>
      <w:start w:val="1"/>
    </w:lvl>
  </w:abstractNum>
  <w:abstractNum w:abstractNumId="144">
    <w:nsid w:val="6FDE8AF6"/>
    <w:multiLevelType w:val="hybridMultilevel"/>
    <w:lvl w:ilvl="0">
      <w:lvlJc w:val="left"/>
      <w:lvlText w:val="(%1)"/>
      <w:numFmt w:val="lowerLetter"/>
      <w:start w:val="2"/>
    </w:lvl>
  </w:abstractNum>
  <w:abstractNum w:abstractNumId="145">
    <w:nsid w:val="3FC32E20"/>
    <w:multiLevelType w:val="hybridMultilevel"/>
    <w:lvl w:ilvl="0">
      <w:lvlJc w:val="left"/>
      <w:lvlText w:val="(%1)"/>
      <w:numFmt w:val="lowerLetter"/>
      <w:start w:val="3"/>
    </w:lvl>
  </w:abstractNum>
  <w:abstractNum w:abstractNumId="146">
    <w:nsid w:val="49C0E823"/>
    <w:multiLevelType w:val="hybridMultilevel"/>
    <w:lvl w:ilvl="0">
      <w:lvlJc w:val="left"/>
      <w:lvlText w:val="-"/>
      <w:numFmt w:val="bullet"/>
      <w:start w:val="1"/>
    </w:lvl>
  </w:abstractNum>
  <w:abstractNum w:abstractNumId="147">
    <w:nsid w:val="14D53685"/>
    <w:multiLevelType w:val="hybridMultilevel"/>
    <w:lvl w:ilvl="0">
      <w:lvlJc w:val="left"/>
      <w:lvlText w:val="-"/>
      <w:numFmt w:val="bullet"/>
      <w:start w:val="1"/>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Roman"/>
      <w:start w:val="1"/>
    </w:lvl>
  </w:abstractNum>
  <w:abstractNum w:abstractNumId="150">
    <w:nsid w:val="3F06ECB2"/>
    <w:multiLevelType w:val="hybridMultilevel"/>
    <w:lvl w:ilvl="0">
      <w:lvlJc w:val="left"/>
      <w:lvlText w:val="(%1)"/>
      <w:numFmt w:val="lowerLetter"/>
      <w:start w:val="2"/>
    </w:lvl>
  </w:abstractNum>
  <w:abstractNum w:abstractNumId="151">
    <w:nsid w:val="3B594807"/>
    <w:multiLevelType w:val="hybridMultilevel"/>
    <w:lvl w:ilvl="0">
      <w:lvlJc w:val="left"/>
      <w:lvlText w:val="%1."/>
      <w:numFmt w:val="decimal"/>
      <w:start w:val="30"/>
    </w:lvl>
  </w:abstractNum>
  <w:abstractNum w:abstractNumId="152">
    <w:nsid w:val="6CAA2304"/>
    <w:multiLevelType w:val="hybridMultilevel"/>
    <w:lvl w:ilvl="0">
      <w:lvlJc w:val="left"/>
      <w:lvlText w:val="%1."/>
      <w:numFmt w:val="decimal"/>
      <w:start w:val="1"/>
    </w:lvl>
  </w:abstractNum>
  <w:abstractNum w:abstractNumId="153">
    <w:nsid w:val="3F7C2FF4"/>
    <w:multiLevelType w:val="hybridMultilevel"/>
    <w:lvl w:ilvl="0">
      <w:lvlJc w:val="left"/>
      <w:lvlText w:val="%1"/>
      <w:numFmt w:val="decimal"/>
      <w:start w:val="1"/>
    </w:lvl>
    <w:lvl w:ilvl="1">
      <w:lvlJc w:val="left"/>
      <w:lvlText w:val="%2."/>
      <w:numFmt w:val="decimal"/>
      <w:start w:val="1"/>
    </w:lvl>
  </w:abstractNum>
  <w:abstractNum w:abstractNumId="154">
    <w:nsid w:val="25413BEC"/>
    <w:multiLevelType w:val="hybridMultilevel"/>
    <w:lvl w:ilvl="0">
      <w:lvlJc w:val="left"/>
      <w:lvlText w:val="%1."/>
      <w:numFmt w:val="decimal"/>
      <w:start w:val="2"/>
    </w:lvl>
    <w:lvl w:ilvl="1">
      <w:lvlJc w:val="left"/>
      <w:lvlText w:val="%2"/>
      <w:numFmt w:val="decimal"/>
      <w:start w:val="1"/>
    </w:lvl>
  </w:abstractNum>
  <w:abstractNum w:abstractNumId="155">
    <w:nsid w:val="17180B0B"/>
    <w:multiLevelType w:val="hybridMultilevel"/>
    <w:lvl w:ilvl="0">
      <w:lvlJc w:val="left"/>
      <w:lvlText w:val="%1."/>
      <w:numFmt w:val="decimal"/>
      <w:start w:val="1"/>
    </w:lvl>
  </w:abstractNum>
  <w:abstractNum w:abstractNumId="156">
    <w:nsid w:val="579328B9"/>
    <w:multiLevelType w:val="hybridMultilevel"/>
    <w:lvl w:ilvl="0">
      <w:lvlJc w:val="left"/>
      <w:lvlText w:val="(%1)"/>
      <w:numFmt w:val="upp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2019-12-09T11:20:09Z</dcterms:created>
  <dcterms:modified xsi:type="dcterms:W3CDTF">2019-12-09T11:20:09Z</dcterms:modified>
</cp:coreProperties>
</file>