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9"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For the month of May 2016</w:t>
      </w:r>
    </w:p>
    <w:p>
      <w:pPr>
        <w:spacing w:after="0" w:line="229"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22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3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Clarendon House</w:t>
      </w:r>
    </w:p>
    <w:p>
      <w:pPr>
        <w:spacing w:after="0" w:line="3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Church Street</w:t>
      </w:r>
    </w:p>
    <w:p>
      <w:pPr>
        <w:spacing w:after="0" w:line="9"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Hamilton HM 11 Bermuda</w:t>
      </w:r>
    </w:p>
    <w:p>
      <w:pPr>
        <w:spacing w:after="0" w:line="9"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7" w:lineRule="exact"/>
        <w:rPr>
          <w:sz w:val="24"/>
          <w:szCs w:val="24"/>
          <w:color w:val="auto"/>
        </w:rPr>
      </w:pPr>
    </w:p>
    <w:p>
      <w:pPr>
        <w:ind w:left="3820"/>
        <w:spacing w:after="0" w:line="207" w:lineRule="exact"/>
        <w:tabs>
          <w:tab w:leader="none" w:pos="4840" w:val="left"/>
          <w:tab w:leader="none" w:pos="6020" w:val="left"/>
        </w:tabs>
        <w:rPr>
          <w:sz w:val="20"/>
          <w:szCs w:val="20"/>
          <w:color w:val="auto"/>
        </w:rPr>
      </w:pPr>
      <w:r>
        <w:rPr>
          <w:rFonts w:ascii="Times New Roman" w:cs="Times New Roman" w:eastAsia="Times New Roman" w:hAnsi="Times New Roman"/>
          <w:sz w:val="18"/>
          <w:szCs w:val="18"/>
          <w:color w:val="auto"/>
        </w:rPr>
        <w:t>Form 20-F</w:t>
        <w:tab/>
        <w:t>x Form 40-F</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-438785</wp:posOffset>
            </wp:positionH>
            <wp:positionV relativeFrom="paragraph">
              <wp:posOffset>573405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19"/>
          </w:cols>
          <w:pgMar w:left="940" w:top="441"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5363210</wp:posOffset>
            </wp:positionH>
            <wp:positionV relativeFrom="page">
              <wp:posOffset>448945</wp:posOffset>
            </wp:positionV>
            <wp:extent cx="2040890"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40890" cy="57467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Lima, May 12, 2016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SUPERINTENDENCIA DEL MERCADO DE VALORES - SMV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Peruvian Regulations for Material Events and Restricted Information approved by SMV Resolution N° 005-2014-SMV-01, and with Form 6-K submitted on December 30, 2015, Credicorp Ltd. complies with notifying you as a Material Event that Banco de Crédito del Perú (“BCP”) sold its shares of Banco de Crédito de Bolivia (“BCB”) to Inversiones Credicorp Bolivia S.A. (“ICBSA”), an indirect subsidiary of Credicorp Ltd. The latter took place in Bolivian Stock Exchange as part of the rearrangement of Credicorp’s organizational structure in Bolivia to efficiently manage its investments in that country and to comply with applicable Bolivian rules and regulations.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transaction was executed today, May 12, 2016, in the Bolivian Stock Exchange. A total of 43,237 shares were sold at a price of Bs.25,811.00 per share, which account for Bs.1,115,990,207.00 of revenue, equivalent to US$162,680,788.19.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aforementioned transfer is subject to approval by the Bolivian Financial System Supervisory Authority (ASFI).</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finance the acquisition by ICBSA, Grupo Crédito S.A. -shareholder of this company and subsidiary of Credicorp Ltd.- made a capital contribution in Bolivianos to ICBSA, which was equivalent to US$163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above, Credicorp’s new organizational structure in Bolivia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154940</wp:posOffset>
            </wp:positionV>
            <wp:extent cx="2838450" cy="2958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8450" cy="295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Guillermo Morales Valentín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May 12, 2016</w:t>
      </w:r>
    </w:p>
    <w:p>
      <w:pPr>
        <w:spacing w:after="0" w:line="200" w:lineRule="exact"/>
        <w:rPr>
          <w:sz w:val="20"/>
          <w:szCs w:val="20"/>
          <w:color w:val="auto"/>
        </w:rPr>
      </w:pPr>
    </w:p>
    <w:p>
      <w:pPr>
        <w:spacing w:after="0" w:line="24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ind w:left="5960"/>
        <w:spacing w:after="0"/>
        <w:tabs>
          <w:tab w:leader="none" w:pos="6380" w:val="left"/>
        </w:tabs>
        <w:rPr>
          <w:sz w:val="20"/>
          <w:szCs w:val="20"/>
          <w:color w:val="auto"/>
        </w:rPr>
      </w:pPr>
      <w:r>
        <w:rPr>
          <w:rFonts w:ascii="Times New Roman" w:cs="Times New Roman" w:eastAsia="Times New Roman" w:hAnsi="Times New Roman"/>
          <w:sz w:val="18"/>
          <w:szCs w:val="18"/>
          <w:color w:val="auto"/>
        </w:rPr>
        <w:t>By:</w:t>
        <w:tab/>
        <w:t>/s/ Guillermo Morales Valentín</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Guillermo Morales Valentín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0"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2019-12-06T08:01:26Z</dcterms:created>
  <dcterms:modified xsi:type="dcterms:W3CDTF">2019-12-06T08:01:26Z</dcterms:modified>
</cp:coreProperties>
</file>