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October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235585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5903595</wp:posOffset>
            </wp:positionH>
            <wp:positionV relativeFrom="page">
              <wp:posOffset>88900</wp:posOffset>
            </wp:positionV>
            <wp:extent cx="1500505" cy="42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Lima, October 28,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Att. Registro Público del Mercado de Valores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CONASEV Resolution for Material Events, Reserved Information and Other Communications N° 107-2002-EF/94.10, Credicorp Ltd.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complies with notifying you of the following Material Events.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Credicorp’s Board of Directors, in its session held on October 27, 2010, agreed to appoint Mr. Raimundo Morales, a Director of Credicorp, as a new member of Credicorp’s Audit Committee. The members of this Committee will be now: Mr. Reynaldo Llosa Barber, Mr. Germán Suárez Chávez and Mr. Raimundo Morales Dasso.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60"/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Mario Ferrari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72390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044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28,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363855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364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2019-12-10T13:17:25Z</dcterms:created>
  <dcterms:modified xsi:type="dcterms:W3CDTF">2019-12-10T13:17:25Z</dcterms:modified>
</cp:coreProperties>
</file>